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연구-결과-초안"/>
    <w:p>
      <w:pPr>
        <w:pStyle w:val="Heading1"/>
      </w:pPr>
      <w:r>
        <w:t xml:space="preserve">연구 결과 (초안)</w:t>
      </w:r>
    </w:p>
    <w:p>
      <w:pPr>
        <w:pStyle w:val="BlockText"/>
      </w:pPr>
      <w:r>
        <w:t xml:space="preserve">상태: 초안 v1. 수치는</w:t>
      </w:r>
      <w:r>
        <w:t xml:space="preserve"> </w:t>
      </w:r>
      <w:r>
        <w:rPr>
          <w:rStyle w:val="VerbatimChar"/>
        </w:rPr>
        <w:t xml:space="preserve">frame_results_summary.md</w:t>
      </w:r>
      <w:r>
        <w:t xml:space="preserve">,</w:t>
      </w:r>
      <w:r>
        <w:t xml:space="preserve"> </w:t>
      </w:r>
      <w:r>
        <w:rPr>
          <w:rStyle w:val="VerbatimChar"/>
        </w:rPr>
        <w:t xml:space="preserve">sensitivity_results.md</w:t>
      </w:r>
      <w:r>
        <w:t xml:space="preserve"> </w:t>
      </w:r>
      <w:r>
        <w:t xml:space="preserve">및 분석 기록에서 옮겼다. 프레임 비율은 층별 표본(층당 10건)에서 추정한 값이며 신뢰구간이 넓다. 표·그림 번호는 투고본에서 다시 매긴다.</w:t>
      </w:r>
    </w:p>
    <w:bookmarkStart w:id="20" w:name="코퍼스-개요"/>
    <w:p>
      <w:pPr>
        <w:pStyle w:val="Heading2"/>
      </w:pPr>
      <w:r>
        <w:t xml:space="preserve">1. 코퍼스 개요</w:t>
      </w:r>
    </w:p>
    <w:p>
      <w:pPr>
        <w:pStyle w:val="FirstParagraph"/>
      </w:pPr>
      <w:r>
        <w:t xml:space="preserve">분석 대상은 2019년 5월부터 2026년 9월까지의 학술논문 669편(기본 코퍼스)과 신문기사 4,631건(기본 코퍼스)이다. 두 코퍼스 모두 2023년 이후 급증하였다. 논문은 2019년 12편, 2020년 31편, 2021년 37편, 2022년 38편에서 2023년 51편, 2024년 105편, 2025년 199편, 2026년 196편으로 늘었고, 기사는 2019~2022년 연 47~66건에서 2023년 711건, 2024년 798건, 2025년 1,225건, 2026년 1,679건으로 늘었다. 2019~2022년 구간은 건수가 적어 하나로 묶어 제시한다.</w:t>
      </w:r>
    </w:p>
    <w:bookmarkEnd w:id="20"/>
    <w:bookmarkStart w:id="24" w:name="주제-비교"/>
    <w:p>
      <w:pPr>
        <w:pStyle w:val="Heading2"/>
      </w:pPr>
      <w:r>
        <w:t xml:space="preserve">2. 주제 비교</w:t>
      </w:r>
    </w:p>
    <w:bookmarkStart w:id="21" w:name="학계-토픽"/>
    <w:p>
      <w:pPr>
        <w:pStyle w:val="Heading3"/>
      </w:pPr>
      <w:r>
        <w:t xml:space="preserve">2.1 학계 토픽</w:t>
      </w:r>
    </w:p>
    <w:p>
      <w:pPr>
        <w:pStyle w:val="FirstParagraph"/>
      </w:pPr>
      <w:r>
        <w:t xml:space="preserve">학계 코퍼스에 K=7 LDA 모형을 추정하였다(표 1). 가장 큰 토픽은 국가 전략·미중 경쟁(186편, 27.8%)이며, 데이터·개인정보·알고리즘 규제(146편, 21.8%)와 EU 입법(91편, 13.6%)이 뒤를 잇는다. 윤리·국제규범(87편, 13.0%), 저작권(86편, 12.9%), 책임·제조물책임(44편, 6.6%), 특허·발명자성(29편, 4.3%)이 나머지를 이룬다. 학계 토픽 7개 가운데 저작권, 책임, 특허를 합하면 약 24%이며, 이 토픽들은 국내 법리 논의의 성격이 강하다.</w:t>
      </w:r>
    </w:p>
    <w:p>
      <w:pPr>
        <w:pStyle w:val="BodyText"/>
      </w:pPr>
      <w:r>
        <w:rPr>
          <w:bCs/>
          <w:b/>
        </w:rPr>
        <w:t xml:space="preserve">표 1. 학계 토픽 (K=7)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토픽</w:t>
            </w:r>
          </w:p>
        </w:tc>
        <w:tc>
          <w:tcPr/>
          <w:p>
            <w:pPr>
              <w:pStyle w:val="Compact"/>
              <w:jc w:val="left"/>
            </w:pPr>
            <w:r>
              <w:t xml:space="preserve">문서 수</w:t>
            </w:r>
          </w:p>
        </w:tc>
        <w:tc>
          <w:tcPr/>
          <w:p>
            <w:pPr>
              <w:pStyle w:val="Compact"/>
              <w:jc w:val="left"/>
            </w:pPr>
            <w:r>
              <w:t xml:space="preserve">비중</w:t>
            </w:r>
          </w:p>
        </w:tc>
        <w:tc>
          <w:tcPr/>
          <w:p>
            <w:pPr>
              <w:pStyle w:val="Compact"/>
              <w:jc w:val="left"/>
            </w:pPr>
            <w:r>
              <w:t xml:space="preserve">주요 단어</w:t>
            </w:r>
          </w:p>
        </w:tc>
      </w:tr>
      <w:tr>
        <w:tc>
          <w:tcPr/>
          <w:p>
            <w:pPr>
              <w:pStyle w:val="Compact"/>
              <w:jc w:val="left"/>
            </w:pPr>
            <w:r>
              <w:t xml:space="preserve">국가 전략·미중 경쟁</w:t>
            </w:r>
          </w:p>
        </w:tc>
        <w:tc>
          <w:tcPr/>
          <w:p>
            <w:pPr>
              <w:pStyle w:val="Compact"/>
              <w:jc w:val="left"/>
            </w:pPr>
            <w:r>
              <w:t xml:space="preserve">186</w:t>
            </w:r>
          </w:p>
        </w:tc>
        <w:tc>
          <w:tcPr/>
          <w:p>
            <w:pPr>
              <w:pStyle w:val="Compact"/>
              <w:jc w:val="left"/>
            </w:pPr>
            <w:r>
              <w:t xml:space="preserve">27.8%</w:t>
            </w:r>
          </w:p>
        </w:tc>
        <w:tc>
          <w:tcPr/>
          <w:p>
            <w:pPr>
              <w:pStyle w:val="Compact"/>
              <w:jc w:val="left"/>
            </w:pPr>
            <w:r>
              <w:t xml:space="preserve">국가, 중국, 전략, 산업, 거버넌스, 안보, 경쟁</w:t>
            </w:r>
          </w:p>
        </w:tc>
      </w:tr>
      <w:tr>
        <w:tc>
          <w:tcPr/>
          <w:p>
            <w:pPr>
              <w:pStyle w:val="Compact"/>
              <w:jc w:val="left"/>
            </w:pPr>
            <w:r>
              <w:t xml:space="preserve">데이터·개인정보·알고리즘 규제</w:t>
            </w:r>
          </w:p>
        </w:tc>
        <w:tc>
          <w:tcPr/>
          <w:p>
            <w:pPr>
              <w:pStyle w:val="Compact"/>
              <w:jc w:val="left"/>
            </w:pPr>
            <w:r>
              <w:t xml:space="preserve">146</w:t>
            </w:r>
          </w:p>
        </w:tc>
        <w:tc>
          <w:tcPr/>
          <w:p>
            <w:pPr>
              <w:pStyle w:val="Compact"/>
              <w:jc w:val="left"/>
            </w:pPr>
            <w:r>
              <w:t xml:space="preserve">21.8%</w:t>
            </w:r>
          </w:p>
        </w:tc>
        <w:tc>
          <w:tcPr/>
          <w:p>
            <w:pPr>
              <w:pStyle w:val="Compact"/>
              <w:jc w:val="left"/>
            </w:pPr>
            <w:r>
              <w:t xml:space="preserve">데이터, 정보, 개인, 보호, 규제, 알고리즘, 위험</w:t>
            </w:r>
          </w:p>
        </w:tc>
      </w:tr>
      <w:tr>
        <w:tc>
          <w:tcPr/>
          <w:p>
            <w:pPr>
              <w:pStyle w:val="Compact"/>
              <w:jc w:val="left"/>
            </w:pPr>
            <w:r>
              <w:t xml:space="preserve">EU 입법</w:t>
            </w:r>
          </w:p>
        </w:tc>
        <w:tc>
          <w:tcPr/>
          <w:p>
            <w:pPr>
              <w:pStyle w:val="Compact"/>
              <w:jc w:val="left"/>
            </w:pPr>
            <w:r>
              <w:t xml:space="preserve">91</w:t>
            </w:r>
          </w:p>
        </w:tc>
        <w:tc>
          <w:tcPr/>
          <w:p>
            <w:pPr>
              <w:pStyle w:val="Compact"/>
              <w:jc w:val="left"/>
            </w:pPr>
            <w:r>
              <w:t xml:space="preserve">13.6%</w:t>
            </w:r>
          </w:p>
        </w:tc>
        <w:tc>
          <w:tcPr/>
          <w:p>
            <w:pPr>
              <w:pStyle w:val="Compact"/>
              <w:jc w:val="left"/>
            </w:pPr>
            <w:r>
              <w:t xml:space="preserve">규제, EU, 기본법, 위험, 입법, 법안</w:t>
            </w:r>
          </w:p>
        </w:tc>
      </w:tr>
      <w:tr>
        <w:tc>
          <w:tcPr/>
          <w:p>
            <w:pPr>
              <w:pStyle w:val="Compact"/>
              <w:jc w:val="left"/>
            </w:pPr>
            <w:r>
              <w:t xml:space="preserve">윤리·국제규범</w:t>
            </w:r>
          </w:p>
        </w:tc>
        <w:tc>
          <w:tcPr/>
          <w:p>
            <w:pPr>
              <w:pStyle w:val="Compact"/>
              <w:jc w:val="left"/>
            </w:pPr>
            <w:r>
              <w:t xml:space="preserve">87</w:t>
            </w:r>
          </w:p>
        </w:tc>
        <w:tc>
          <w:tcPr/>
          <w:p>
            <w:pPr>
              <w:pStyle w:val="Compact"/>
              <w:jc w:val="left"/>
            </w:pPr>
            <w:r>
              <w:t xml:space="preserve">13.0%</w:t>
            </w:r>
          </w:p>
        </w:tc>
        <w:tc>
          <w:tcPr/>
          <w:p>
            <w:pPr>
              <w:pStyle w:val="Compact"/>
              <w:jc w:val="left"/>
            </w:pPr>
            <w:r>
              <w:t xml:space="preserve">윤리, 위험, 원칙, 규범, 책임, 투명, 국제</w:t>
            </w:r>
          </w:p>
        </w:tc>
      </w:tr>
      <w:tr>
        <w:tc>
          <w:tcPr/>
          <w:p>
            <w:pPr>
              <w:pStyle w:val="Compact"/>
              <w:jc w:val="left"/>
            </w:pPr>
            <w:r>
              <w:t xml:space="preserve">저작권</w:t>
            </w:r>
          </w:p>
        </w:tc>
        <w:tc>
          <w:tcPr/>
          <w:p>
            <w:pPr>
              <w:pStyle w:val="Compact"/>
              <w:jc w:val="left"/>
            </w:pPr>
            <w:r>
              <w:t xml:space="preserve">86</w:t>
            </w:r>
          </w:p>
        </w:tc>
        <w:tc>
          <w:tcPr/>
          <w:p>
            <w:pPr>
              <w:pStyle w:val="Compact"/>
              <w:jc w:val="left"/>
            </w:pPr>
            <w:r>
              <w:t xml:space="preserve">12.9%</w:t>
            </w:r>
          </w:p>
        </w:tc>
        <w:tc>
          <w:tcPr/>
          <w:p>
            <w:pPr>
              <w:pStyle w:val="Compact"/>
              <w:jc w:val="left"/>
            </w:pPr>
            <w:r>
              <w:t xml:space="preserve">저작, 생성형, 학습, 저작물, 공정, 침해</w:t>
            </w:r>
          </w:p>
        </w:tc>
      </w:tr>
      <w:tr>
        <w:tc>
          <w:tcPr/>
          <w:p>
            <w:pPr>
              <w:pStyle w:val="Compact"/>
              <w:jc w:val="left"/>
            </w:pPr>
            <w:r>
              <w:t xml:space="preserve">책임·제조물책임</w:t>
            </w:r>
          </w:p>
        </w:tc>
        <w:tc>
          <w:tcPr/>
          <w:p>
            <w:pPr>
              <w:pStyle w:val="Compact"/>
              <w:jc w:val="left"/>
            </w:pPr>
            <w:r>
              <w:t xml:space="preserve">44</w:t>
            </w:r>
          </w:p>
        </w:tc>
        <w:tc>
          <w:tcPr/>
          <w:p>
            <w:pPr>
              <w:pStyle w:val="Compact"/>
              <w:jc w:val="left"/>
            </w:pPr>
            <w:r>
              <w:t xml:space="preserve">6.6%</w:t>
            </w:r>
          </w:p>
        </w:tc>
        <w:tc>
          <w:tcPr/>
          <w:p>
            <w:pPr>
              <w:pStyle w:val="Compact"/>
              <w:jc w:val="left"/>
            </w:pPr>
            <w:r>
              <w:t xml:space="preserve">책임, 제조, 의료, 지침, 의무, 결함</w:t>
            </w:r>
          </w:p>
        </w:tc>
      </w:tr>
      <w:tr>
        <w:tc>
          <w:tcPr/>
          <w:p>
            <w:pPr>
              <w:pStyle w:val="Compact"/>
              <w:jc w:val="left"/>
            </w:pPr>
            <w:r>
              <w:t xml:space="preserve">특허·발명자성</w:t>
            </w:r>
          </w:p>
        </w:tc>
        <w:tc>
          <w:tcPr/>
          <w:p>
            <w:pPr>
              <w:pStyle w:val="Compact"/>
              <w:jc w:val="left"/>
            </w:pPr>
            <w:r>
              <w:t xml:space="preserve">29</w:t>
            </w:r>
          </w:p>
        </w:tc>
        <w:tc>
          <w:tcPr/>
          <w:p>
            <w:pPr>
              <w:pStyle w:val="Compact"/>
              <w:jc w:val="left"/>
            </w:pPr>
            <w:r>
              <w:t xml:space="preserve">4.3%</w:t>
            </w:r>
          </w:p>
        </w:tc>
        <w:tc>
          <w:tcPr/>
          <w:p>
            <w:pPr>
              <w:pStyle w:val="Compact"/>
              <w:jc w:val="left"/>
            </w:pPr>
            <w:r>
              <w:t xml:space="preserve">특허, 발명, 판단, 인간, 진보</w:t>
            </w:r>
          </w:p>
        </w:tc>
      </w:tr>
    </w:tbl>
    <w:bookmarkEnd w:id="21"/>
    <w:bookmarkStart w:id="22" w:name="뉴스의-주제-분포"/>
    <w:p>
      <w:pPr>
        <w:pStyle w:val="Heading3"/>
      </w:pPr>
      <w:r>
        <w:t xml:space="preserve">2.2 뉴스의 주제 분포</w:t>
      </w:r>
    </w:p>
    <w:p>
      <w:pPr>
        <w:pStyle w:val="FirstParagraph"/>
      </w:pPr>
      <w:r>
        <w:t xml:space="preserve">뉴스는 위 학계 모형에 투영하였다. 기사의 78.7%가 국가 전략·미중 경쟁 토픽에 할당되었고, EU 입법 9.2%, 데이터·개인정보 6.2%, 윤리·국제규범 3.9%, 저작권 1.2% 순이었다. 책임과 특허 토픽은 각각 0.4%였다. 학계와 뉴스의 토픽 분포 거리(Jensen-Shannon divergence)는 0.156이다. 학계 토픽 가운데 저작권(12.9% 대 1.2%), 윤리·국제규범(13.0% 대 3.9%), 데이터·개인정보(21.8% 대 6.2%)는 뉴스에서 훨씬 작게 나타났다.</w:t>
      </w:r>
    </w:p>
    <w:p>
      <w:pPr>
        <w:pStyle w:val="BodyText"/>
      </w:pPr>
      <w:r>
        <w:t xml:space="preserve">다만 이 78.7%에는 학계 모형에서 하나의 토픽으로 합쳐진 이질적 기사가 섞여 있다. 무작위로 읽은 기사 30건에는 반도체 수출통제, 전쟁 AI, 정상 외교, 산업 육성, 국제회의가 함께 들어 있었다. 이를 풀기 위해 해당 기사 3,643건에 별도 LDA(K=6)를 추정하였다(표 2). 반도체 수출통제(17.8%), 군사·전쟁 AI(18.3%), 미중·트럼프 정상 외교(16.4%), 딥시크·중국 오픈소스(16.4%), 국가 AI 경쟁력·인재(17.8%), 국제회의·거버넌스(13.3%)의 여섯 하위 토픽이 비슷한 비중으로 나타났다. 같은 모형에 투영한 학계의 해당 토픽 186편은 65.1%가 국가 AI 경쟁력·인재 하위 토픽에 속하고 군사·전쟁 AI가 20.4%이며, 반도체 수출통제(1.1%)와 정상 외교(1.6%)는 거의 없었다. 즉 학계의 국가 전략 논의는 뉴스의 지정학 소재(수출통제, 정상 외교)보다 국가 경쟁력과 산업 정책 쪽에 놓여 있다.</w:t>
      </w:r>
    </w:p>
    <w:p>
      <w:pPr>
        <w:pStyle w:val="BodyText"/>
      </w:pPr>
      <w:r>
        <w:rPr>
          <w:bCs/>
          <w:b/>
        </w:rPr>
        <w:t xml:space="preserve">표 2. 뉴스 T1 하위 토픽 (K=6, 3,643건)</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하위 토픽</w:t>
            </w:r>
          </w:p>
        </w:tc>
        <w:tc>
          <w:tcPr/>
          <w:p>
            <w:pPr>
              <w:pStyle w:val="Compact"/>
              <w:jc w:val="left"/>
            </w:pPr>
            <w:r>
              <w:t xml:space="preserve">비중</w:t>
            </w:r>
          </w:p>
        </w:tc>
        <w:tc>
          <w:tcPr/>
          <w:p>
            <w:pPr>
              <w:pStyle w:val="Compact"/>
              <w:jc w:val="left"/>
            </w:pPr>
            <w:r>
              <w:t xml:space="preserve">학계 T1(186편) 투영 비중</w:t>
            </w:r>
          </w:p>
        </w:tc>
      </w:tr>
      <w:tr>
        <w:tc>
          <w:tcPr/>
          <w:p>
            <w:pPr>
              <w:pStyle w:val="Compact"/>
              <w:jc w:val="left"/>
            </w:pPr>
            <w:r>
              <w:t xml:space="preserve">반도체 수출통제</w:t>
            </w:r>
          </w:p>
        </w:tc>
        <w:tc>
          <w:tcPr/>
          <w:p>
            <w:pPr>
              <w:pStyle w:val="Compact"/>
              <w:jc w:val="left"/>
            </w:pPr>
            <w:r>
              <w:t xml:space="preserve">17.8%</w:t>
            </w:r>
          </w:p>
        </w:tc>
        <w:tc>
          <w:tcPr/>
          <w:p>
            <w:pPr>
              <w:pStyle w:val="Compact"/>
              <w:jc w:val="left"/>
            </w:pPr>
            <w:r>
              <w:t xml:space="preserve">1.1%</w:t>
            </w:r>
          </w:p>
        </w:tc>
      </w:tr>
      <w:tr>
        <w:tc>
          <w:tcPr/>
          <w:p>
            <w:pPr>
              <w:pStyle w:val="Compact"/>
              <w:jc w:val="left"/>
            </w:pPr>
            <w:r>
              <w:t xml:space="preserve">군사·전쟁 AI</w:t>
            </w:r>
          </w:p>
        </w:tc>
        <w:tc>
          <w:tcPr/>
          <w:p>
            <w:pPr>
              <w:pStyle w:val="Compact"/>
              <w:jc w:val="left"/>
            </w:pPr>
            <w:r>
              <w:t xml:space="preserve">18.3%</w:t>
            </w:r>
          </w:p>
        </w:tc>
        <w:tc>
          <w:tcPr/>
          <w:p>
            <w:pPr>
              <w:pStyle w:val="Compact"/>
              <w:jc w:val="left"/>
            </w:pPr>
            <w:r>
              <w:t xml:space="preserve">20.4%</w:t>
            </w:r>
          </w:p>
        </w:tc>
      </w:tr>
      <w:tr>
        <w:tc>
          <w:tcPr/>
          <w:p>
            <w:pPr>
              <w:pStyle w:val="Compact"/>
              <w:jc w:val="left"/>
            </w:pPr>
            <w:r>
              <w:t xml:space="preserve">미중·트럼프 정상 외교</w:t>
            </w:r>
          </w:p>
        </w:tc>
        <w:tc>
          <w:tcPr/>
          <w:p>
            <w:pPr>
              <w:pStyle w:val="Compact"/>
              <w:jc w:val="left"/>
            </w:pPr>
            <w:r>
              <w:t xml:space="preserve">16.4%</w:t>
            </w:r>
          </w:p>
        </w:tc>
        <w:tc>
          <w:tcPr/>
          <w:p>
            <w:pPr>
              <w:pStyle w:val="Compact"/>
              <w:jc w:val="left"/>
            </w:pPr>
            <w:r>
              <w:t xml:space="preserve">1.6%</w:t>
            </w:r>
          </w:p>
        </w:tc>
      </w:tr>
      <w:tr>
        <w:tc>
          <w:tcPr/>
          <w:p>
            <w:pPr>
              <w:pStyle w:val="Compact"/>
              <w:jc w:val="left"/>
            </w:pPr>
            <w:r>
              <w:t xml:space="preserve">딥시크·중국 오픈소스</w:t>
            </w:r>
          </w:p>
        </w:tc>
        <w:tc>
          <w:tcPr/>
          <w:p>
            <w:pPr>
              <w:pStyle w:val="Compact"/>
              <w:jc w:val="left"/>
            </w:pPr>
            <w:r>
              <w:t xml:space="preserve">16.4%</w:t>
            </w:r>
          </w:p>
        </w:tc>
        <w:tc>
          <w:tcPr/>
          <w:p>
            <w:pPr>
              <w:pStyle w:val="Compact"/>
              <w:jc w:val="left"/>
            </w:pPr>
            <w:r>
              <w:t xml:space="preserve">4.8%</w:t>
            </w:r>
          </w:p>
        </w:tc>
      </w:tr>
      <w:tr>
        <w:tc>
          <w:tcPr/>
          <w:p>
            <w:pPr>
              <w:pStyle w:val="Compact"/>
              <w:jc w:val="left"/>
            </w:pPr>
            <w:r>
              <w:t xml:space="preserve">국가 AI 경쟁력·인재</w:t>
            </w:r>
          </w:p>
        </w:tc>
        <w:tc>
          <w:tcPr/>
          <w:p>
            <w:pPr>
              <w:pStyle w:val="Compact"/>
              <w:jc w:val="left"/>
            </w:pPr>
            <w:r>
              <w:t xml:space="preserve">17.8%</w:t>
            </w:r>
          </w:p>
        </w:tc>
        <w:tc>
          <w:tcPr/>
          <w:p>
            <w:pPr>
              <w:pStyle w:val="Compact"/>
              <w:jc w:val="left"/>
            </w:pPr>
            <w:r>
              <w:t xml:space="preserve">65.1%</w:t>
            </w:r>
          </w:p>
        </w:tc>
      </w:tr>
      <w:tr>
        <w:tc>
          <w:tcPr/>
          <w:p>
            <w:pPr>
              <w:pStyle w:val="Compact"/>
              <w:jc w:val="left"/>
            </w:pPr>
            <w:r>
              <w:t xml:space="preserve">국제회의·거버넌스</w:t>
            </w:r>
          </w:p>
        </w:tc>
        <w:tc>
          <w:tcPr/>
          <w:p>
            <w:pPr>
              <w:pStyle w:val="Compact"/>
              <w:jc w:val="left"/>
            </w:pPr>
            <w:r>
              <w:t xml:space="preserve">13.3%</w:t>
            </w:r>
          </w:p>
        </w:tc>
        <w:tc>
          <w:tcPr/>
          <w:p>
            <w:pPr>
              <w:pStyle w:val="Compact"/>
              <w:jc w:val="left"/>
            </w:pPr>
            <w:r>
              <w:t xml:space="preserve">7.0%</w:t>
            </w:r>
          </w:p>
        </w:tc>
      </w:tr>
    </w:tbl>
    <w:bookmarkEnd w:id="22"/>
    <w:bookmarkStart w:id="23" w:name="시기별-변화"/>
    <w:p>
      <w:pPr>
        <w:pStyle w:val="Heading3"/>
      </w:pPr>
      <w:r>
        <w:t xml:space="preserve">2.3 시기별 변화</w:t>
      </w:r>
    </w:p>
    <w:p>
      <w:pPr>
        <w:pStyle w:val="FirstParagraph"/>
      </w:pPr>
      <w:r>
        <w:t xml:space="preserve">학계에서는 EU 입법 토픽이 2023~2024년에 가장 컸고(각 19.6%, 21.9%) 2025년에 7.5%로 줄었다. 저작권 토픽은 2019~2022년 4.2%에서 2024년 19.0%로 커졌으며, 데이터·개인정보 토픽은 2025~2026년에 25% 안팎으로 증가했다. 국가 전략·미중 경쟁 토픽은 2019~2022년 32.2%에서 2023~2024년 약 20%로 낮아졌다가 2025~2026년 약 30%로 돌아왔다.</w:t>
      </w:r>
    </w:p>
    <w:p>
      <w:pPr>
        <w:pStyle w:val="BodyText"/>
      </w:pPr>
      <w:r>
        <w:t xml:space="preserve">뉴스에서는 국가 전략·미중 경쟁 토픽의 비중이 2019~2022년 68.8%, 2023년 59.5%, 2024년 70.9%에서 2025년 89.2%, 2026년 84.0%로 커졌다. EU 입법 토픽은 2023년 23.3%, 2024년 14.8%에서 2025년 4.5%, 2026년 4.7%로 줄었다. 하위 토픽으로는 2019~2022년에 국가 AI 경쟁력·인재가 44.0%로 가장 컸고(150건 기준), 2025년에는 딥시크·중국 오픈소스가 24.2%로 커졌으며, 2026년에는 정상 외교(29.8%)와 군사·전쟁 AI(26.4%)가 두드러졌다. 이들 토픽은 특정 사건(2025년 딥시크 공개, 2026년 미중 정상회담과 이란전)과 시기가 겹친다.</w:t>
      </w:r>
    </w:p>
    <w:bookmarkEnd w:id="23"/>
    <w:bookmarkEnd w:id="24"/>
    <w:bookmarkStart w:id="32" w:name="프레임-비교"/>
    <w:p>
      <w:pPr>
        <w:pStyle w:val="Heading2"/>
      </w:pPr>
      <w:r>
        <w:t xml:space="preserve">3. 프레임 비교</w:t>
      </w:r>
    </w:p>
    <w:bookmarkStart w:id="25" w:name="코딩-신뢰도"/>
    <w:p>
      <w:pPr>
        <w:pStyle w:val="Heading3"/>
      </w:pPr>
      <w:r>
        <w:t xml:space="preserve">3.1 코딩 신뢰도</w:t>
      </w:r>
    </w:p>
    <w:p>
      <w:pPr>
        <w:pStyle w:val="FirstParagraph"/>
      </w:pPr>
      <w:r>
        <w:t xml:space="preserve">프레임 코딩은 핵심 논거를 기준으로 현실주의(국가의 힘·경쟁력·안보), 자유주의(규칙·제도의 설계·조화), 구성주의(권리·윤리·책임·가치), 해당없음으로 분류하였다. 연구자와 Claude가 독립적으로 코딩한 파일럿 60건에서 프레임 Cohen’s κ는 0.544(95% CI 0.30~0.75)와 0.459(95% CI 0.21~0.70)였고, 두 라운드를 합하면 일치율 65%, κ 0.51이다. 본 코딩 120건은 Claude 제안을 연구자가 검토해 21건(17.5%)을 수정하였다. 가장 많이 수정된 방향은 구성에서 현실로(7건)였고, 이는 미국 정부·국방부·기업이 관련된 위험·윤리 기사를 연구자가 현실로 본 경우였다. 이 120건의 값은 검토 앵커링이 있으므로 독립 신뢰도로 보고하지 않는다.</w:t>
      </w:r>
    </w:p>
    <w:bookmarkEnd w:id="25"/>
    <w:bookmarkStart w:id="26" w:name="토픽별-프레임"/>
    <w:p>
      <w:pPr>
        <w:pStyle w:val="Heading3"/>
      </w:pPr>
      <w:r>
        <w:t xml:space="preserve">3.2 토픽별 프레임</w:t>
      </w:r>
    </w:p>
    <w:p>
      <w:pPr>
        <w:pStyle w:val="FirstParagraph"/>
      </w:pPr>
      <w:r>
        <w:t xml:space="preserve">층(토픽)별 표본 10건에서 같은 프레임이 60% 이상이면 그 프레임으로 대응시켰다(표 3). 18개 층 중 9개가 대응되었다. 뉴스에서는 군사·전쟁 AI(60%), 국가 AI 경쟁력·인재(70%), 반도체 수출통제(80%), 딥시크·중국 오픈소스(100%)가 현실주의로 대응되었고, 저작권 토픽(60%)은 구성주의로 대응되었다. 학계에서는 EU 입법이 자유주의(70%), 윤리·국제규범과 책임·제조물책임이 구성주의(각 70%), 특허가 구성주의(60%)로 대응되었다. 학계의 국가 전략·미중 경쟁 토픽은 현실주의가 40%뿐이고 해당없음이 30%여서 혼합으로 남았다. 학계에서 국가 전략이라는 이름의 토픽이 지정학 프레임으로 구성된 것은 아니었다.</w:t>
      </w:r>
    </w:p>
    <w:p>
      <w:pPr>
        <w:pStyle w:val="BodyText"/>
      </w:pPr>
      <w:r>
        <w:rPr>
          <w:bCs/>
          <w:b/>
        </w:rPr>
        <w:t xml:space="preserve">표 3. 층별 프레임 비율 (%, 연구자 최종, 층당 n=10)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층</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c>
          <w:tcPr/>
          <w:p>
            <w:pPr>
              <w:pStyle w:val="Compact"/>
              <w:jc w:val="left"/>
            </w:pPr>
            <w:r>
              <w:t xml:space="preserve">대응</w:t>
            </w:r>
          </w:p>
        </w:tc>
      </w:tr>
      <w:tr>
        <w:tc>
          <w:tcPr/>
          <w:p>
            <w:pPr>
              <w:pStyle w:val="Compact"/>
              <w:jc w:val="left"/>
            </w:pPr>
            <w:r>
              <w:t xml:space="preserve">학계 특허</w:t>
            </w:r>
          </w:p>
        </w:tc>
        <w:tc>
          <w:tcPr/>
          <w:p>
            <w:pPr>
              <w:pStyle w:val="Compact"/>
              <w:jc w:val="left"/>
            </w:pPr>
            <w:r>
              <w:t xml:space="preserve">10</w:t>
            </w:r>
          </w:p>
        </w:tc>
        <w:tc>
          <w:tcPr/>
          <w:p>
            <w:pPr>
              <w:pStyle w:val="Compact"/>
              <w:jc w:val="left"/>
            </w:pPr>
            <w:r>
              <w:t xml:space="preserve">30</w:t>
            </w:r>
          </w:p>
        </w:tc>
        <w:tc>
          <w:tcPr/>
          <w:p>
            <w:pPr>
              <w:pStyle w:val="Compact"/>
              <w:jc w:val="left"/>
            </w:pPr>
            <w:r>
              <w:t xml:space="preserve">60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국가 전략·미중 경쟁</w:t>
            </w:r>
          </w:p>
        </w:tc>
        <w:tc>
          <w:tcPr/>
          <w:p>
            <w:pPr>
              <w:pStyle w:val="Compact"/>
              <w:jc w:val="left"/>
            </w:pPr>
            <w:r>
              <w:t xml:space="preserve">40</w:t>
            </w:r>
          </w:p>
        </w:tc>
        <w:tc>
          <w:tcPr/>
          <w:p>
            <w:pPr>
              <w:pStyle w:val="Compact"/>
              <w:jc w:val="left"/>
            </w:pPr>
            <w:r>
              <w:t xml:space="preserve">20</w:t>
            </w:r>
          </w:p>
        </w:tc>
        <w:tc>
          <w:tcPr/>
          <w:p>
            <w:pPr>
              <w:pStyle w:val="Compact"/>
              <w:jc w:val="left"/>
            </w:pPr>
            <w:r>
              <w:t xml:space="preserve">10</w:t>
            </w:r>
          </w:p>
        </w:tc>
        <w:tc>
          <w:tcPr/>
          <w:p>
            <w:pPr>
              <w:pStyle w:val="Compact"/>
              <w:jc w:val="left"/>
            </w:pPr>
            <w:r>
              <w:t xml:space="preserve">30</w:t>
            </w:r>
          </w:p>
        </w:tc>
        <w:tc>
          <w:tcPr/>
          <w:p>
            <w:pPr>
              <w:pStyle w:val="Compact"/>
              <w:jc w:val="left"/>
            </w:pPr>
            <w:r>
              <w:t xml:space="preserve">혼합(현실)</w:t>
            </w:r>
          </w:p>
        </w:tc>
      </w:tr>
      <w:tr>
        <w:tc>
          <w:tcPr/>
          <w:p>
            <w:pPr>
              <w:pStyle w:val="Compact"/>
              <w:jc w:val="left"/>
            </w:pPr>
            <w:r>
              <w:t xml:space="preserve">학계 EU 입법</w:t>
            </w:r>
          </w:p>
        </w:tc>
        <w:tc>
          <w:tcPr/>
          <w:p>
            <w:pPr>
              <w:pStyle w:val="Compact"/>
              <w:jc w:val="left"/>
            </w:pPr>
            <w:r>
              <w:t xml:space="preserve">0</w:t>
            </w:r>
          </w:p>
        </w:tc>
        <w:tc>
          <w:tcPr/>
          <w:p>
            <w:pPr>
              <w:pStyle w:val="Compact"/>
              <w:jc w:val="left"/>
            </w:pPr>
            <w:r>
              <w:t xml:space="preserve">70</w:t>
            </w:r>
          </w:p>
        </w:tc>
        <w:tc>
          <w:tcPr/>
          <w:p>
            <w:pPr>
              <w:pStyle w:val="Compact"/>
              <w:jc w:val="left"/>
            </w:pPr>
            <w:r>
              <w:t xml:space="preserve">30</w:t>
            </w:r>
          </w:p>
        </w:tc>
        <w:tc>
          <w:tcPr/>
          <w:p>
            <w:pPr>
              <w:pStyle w:val="Compact"/>
              <w:jc w:val="left"/>
            </w:pPr>
            <w:r>
              <w:t xml:space="preserve">0</w:t>
            </w:r>
          </w:p>
        </w:tc>
        <w:tc>
          <w:tcPr/>
          <w:p>
            <w:pPr>
              <w:pStyle w:val="Compact"/>
              <w:jc w:val="left"/>
            </w:pPr>
            <w:r>
              <w:t xml:space="preserve">자유</w:t>
            </w:r>
          </w:p>
        </w:tc>
      </w:tr>
      <w:tr>
        <w:tc>
          <w:tcPr/>
          <w:p>
            <w:pPr>
              <w:pStyle w:val="Compact"/>
              <w:jc w:val="left"/>
            </w:pPr>
            <w:r>
              <w:t xml:space="preserve">학계 윤리·국제규범</w:t>
            </w:r>
          </w:p>
        </w:tc>
        <w:tc>
          <w:tcPr/>
          <w:p>
            <w:pPr>
              <w:pStyle w:val="Compact"/>
              <w:jc w:val="left"/>
            </w:pPr>
            <w:r>
              <w:t xml:space="preserve">10</w:t>
            </w:r>
          </w:p>
        </w:tc>
        <w:tc>
          <w:tcPr/>
          <w:p>
            <w:pPr>
              <w:pStyle w:val="Compact"/>
              <w:jc w:val="left"/>
            </w:pPr>
            <w:r>
              <w:t xml:space="preserve">20</w:t>
            </w:r>
          </w:p>
        </w:tc>
        <w:tc>
          <w:tcPr/>
          <w:p>
            <w:pPr>
              <w:pStyle w:val="Compact"/>
              <w:jc w:val="left"/>
            </w:pPr>
            <w:r>
              <w:t xml:space="preserve">70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저작권</w:t>
            </w:r>
          </w:p>
        </w:tc>
        <w:tc>
          <w:tcPr/>
          <w:p>
            <w:pPr>
              <w:pStyle w:val="Compact"/>
              <w:jc w:val="left"/>
            </w:pPr>
            <w:r>
              <w:t xml:space="preserve">10</w:t>
            </w:r>
          </w:p>
        </w:tc>
        <w:tc>
          <w:tcPr/>
          <w:p>
            <w:pPr>
              <w:pStyle w:val="Compact"/>
              <w:jc w:val="left"/>
            </w:pPr>
            <w:r>
              <w:t xml:space="preserve">30</w:t>
            </w:r>
          </w:p>
        </w:tc>
        <w:tc>
          <w:tcPr/>
          <w:p>
            <w:pPr>
              <w:pStyle w:val="Compact"/>
              <w:jc w:val="left"/>
            </w:pPr>
            <w:r>
              <w:t xml:space="preserve">50</w:t>
            </w:r>
          </w:p>
        </w:tc>
        <w:tc>
          <w:tcPr/>
          <w:p>
            <w:pPr>
              <w:pStyle w:val="Compact"/>
              <w:jc w:val="left"/>
            </w:pPr>
            <w:r>
              <w:t xml:space="preserve">10</w:t>
            </w:r>
          </w:p>
        </w:tc>
        <w:tc>
          <w:tcPr/>
          <w:p>
            <w:pPr>
              <w:pStyle w:val="Compact"/>
              <w:jc w:val="left"/>
            </w:pPr>
            <w:r>
              <w:t xml:space="preserve">혼합(구성)</w:t>
            </w:r>
          </w:p>
        </w:tc>
      </w:tr>
      <w:tr>
        <w:tc>
          <w:tcPr/>
          <w:p>
            <w:pPr>
              <w:pStyle w:val="Compact"/>
              <w:jc w:val="left"/>
            </w:pPr>
            <w:r>
              <w:t xml:space="preserve">학계 책임·제조물책임</w:t>
            </w:r>
          </w:p>
        </w:tc>
        <w:tc>
          <w:tcPr/>
          <w:p>
            <w:pPr>
              <w:pStyle w:val="Compact"/>
              <w:jc w:val="left"/>
            </w:pPr>
            <w:r>
              <w:t xml:space="preserve">10</w:t>
            </w:r>
          </w:p>
        </w:tc>
        <w:tc>
          <w:tcPr/>
          <w:p>
            <w:pPr>
              <w:pStyle w:val="Compact"/>
              <w:jc w:val="left"/>
            </w:pPr>
            <w:r>
              <w:t xml:space="preserve">20</w:t>
            </w:r>
          </w:p>
        </w:tc>
        <w:tc>
          <w:tcPr/>
          <w:p>
            <w:pPr>
              <w:pStyle w:val="Compact"/>
              <w:jc w:val="left"/>
            </w:pPr>
            <w:r>
              <w:t xml:space="preserve">70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데이터·개인정보</w:t>
            </w:r>
          </w:p>
        </w:tc>
        <w:tc>
          <w:tcPr/>
          <w:p>
            <w:pPr>
              <w:pStyle w:val="Compact"/>
              <w:jc w:val="left"/>
            </w:pPr>
            <w:r>
              <w:t xml:space="preserve">30</w:t>
            </w:r>
          </w:p>
        </w:tc>
        <w:tc>
          <w:tcPr/>
          <w:p>
            <w:pPr>
              <w:pStyle w:val="Compact"/>
              <w:jc w:val="left"/>
            </w:pPr>
            <w:r>
              <w:t xml:space="preserve">40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정상 외교</w:t>
            </w:r>
          </w:p>
        </w:tc>
        <w:tc>
          <w:tcPr/>
          <w:p>
            <w:pPr>
              <w:pStyle w:val="Compact"/>
              <w:jc w:val="left"/>
            </w:pPr>
            <w:r>
              <w:t xml:space="preserve">40</w:t>
            </w:r>
          </w:p>
        </w:tc>
        <w:tc>
          <w:tcPr/>
          <w:p>
            <w:pPr>
              <w:pStyle w:val="Compact"/>
              <w:jc w:val="left"/>
            </w:pPr>
            <w:r>
              <w:t xml:space="preserve">30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혼합(현실)</w:t>
            </w:r>
          </w:p>
        </w:tc>
      </w:tr>
      <w:tr>
        <w:tc>
          <w:tcPr/>
          <w:p>
            <w:pPr>
              <w:pStyle w:val="Compact"/>
              <w:jc w:val="left"/>
            </w:pPr>
            <w:r>
              <w:t xml:space="preserve">뉴스 군사·전쟁 AI</w:t>
            </w:r>
          </w:p>
        </w:tc>
        <w:tc>
          <w:tcPr/>
          <w:p>
            <w:pPr>
              <w:pStyle w:val="Compact"/>
              <w:jc w:val="left"/>
            </w:pPr>
            <w:r>
              <w:t xml:space="preserve">60</w:t>
            </w:r>
          </w:p>
        </w:tc>
        <w:tc>
          <w:tcPr/>
          <w:p>
            <w:pPr>
              <w:pStyle w:val="Compact"/>
              <w:jc w:val="left"/>
            </w:pPr>
            <w:r>
              <w:t xml:space="preserve">20</w:t>
            </w:r>
          </w:p>
        </w:tc>
        <w:tc>
          <w:tcPr/>
          <w:p>
            <w:pPr>
              <w:pStyle w:val="Compact"/>
              <w:jc w:val="left"/>
            </w:pPr>
            <w:r>
              <w:t xml:space="preserve">20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국제회의·거버넌스</w:t>
            </w:r>
          </w:p>
        </w:tc>
        <w:tc>
          <w:tcPr/>
          <w:p>
            <w:pPr>
              <w:pStyle w:val="Compact"/>
              <w:jc w:val="left"/>
            </w:pPr>
            <w:r>
              <w:t xml:space="preserve">30</w:t>
            </w:r>
          </w:p>
        </w:tc>
        <w:tc>
          <w:tcPr/>
          <w:p>
            <w:pPr>
              <w:pStyle w:val="Compact"/>
              <w:jc w:val="left"/>
            </w:pPr>
            <w:r>
              <w:t xml:space="preserve">40</w:t>
            </w:r>
          </w:p>
        </w:tc>
        <w:tc>
          <w:tcPr/>
          <w:p>
            <w:pPr>
              <w:pStyle w:val="Compact"/>
              <w:jc w:val="left"/>
            </w:pPr>
            <w:r>
              <w:t xml:space="preserve">10</w:t>
            </w:r>
          </w:p>
        </w:tc>
        <w:tc>
          <w:tcPr/>
          <w:p>
            <w:pPr>
              <w:pStyle w:val="Compact"/>
              <w:jc w:val="left"/>
            </w:pPr>
            <w:r>
              <w:t xml:space="preserve">20</w:t>
            </w:r>
          </w:p>
        </w:tc>
        <w:tc>
          <w:tcPr/>
          <w:p>
            <w:pPr>
              <w:pStyle w:val="Compact"/>
              <w:jc w:val="left"/>
            </w:pPr>
            <w:r>
              <w:t xml:space="preserve">혼합(자유)</w:t>
            </w:r>
          </w:p>
        </w:tc>
      </w:tr>
      <w:tr>
        <w:tc>
          <w:tcPr/>
          <w:p>
            <w:pPr>
              <w:pStyle w:val="Compact"/>
              <w:jc w:val="left"/>
            </w:pPr>
            <w:r>
              <w:t xml:space="preserve">뉴스 국가 AI 경쟁력·인재</w:t>
            </w:r>
          </w:p>
        </w:tc>
        <w:tc>
          <w:tcPr/>
          <w:p>
            <w:pPr>
              <w:pStyle w:val="Compact"/>
              <w:jc w:val="left"/>
            </w:pPr>
            <w:r>
              <w:t xml:space="preserve">70</w:t>
            </w:r>
          </w:p>
        </w:tc>
        <w:tc>
          <w:tcPr/>
          <w:p>
            <w:pPr>
              <w:pStyle w:val="Compact"/>
              <w:jc w:val="left"/>
            </w:pPr>
            <w:r>
              <w:t xml:space="preserve">0</w:t>
            </w:r>
          </w:p>
        </w:tc>
        <w:tc>
          <w:tcPr/>
          <w:p>
            <w:pPr>
              <w:pStyle w:val="Compact"/>
              <w:jc w:val="left"/>
            </w:pPr>
            <w:r>
              <w:t xml:space="preserve">0</w:t>
            </w:r>
          </w:p>
        </w:tc>
        <w:tc>
          <w:tcPr/>
          <w:p>
            <w:pPr>
              <w:pStyle w:val="Compact"/>
              <w:jc w:val="left"/>
            </w:pPr>
            <w:r>
              <w:t xml:space="preserve">30</w:t>
            </w:r>
          </w:p>
        </w:tc>
        <w:tc>
          <w:tcPr/>
          <w:p>
            <w:pPr>
              <w:pStyle w:val="Compact"/>
              <w:jc w:val="left"/>
            </w:pPr>
            <w:r>
              <w:t xml:space="preserve">현실</w:t>
            </w:r>
          </w:p>
        </w:tc>
      </w:tr>
      <w:tr>
        <w:tc>
          <w:tcPr/>
          <w:p>
            <w:pPr>
              <w:pStyle w:val="Compact"/>
              <w:jc w:val="left"/>
            </w:pPr>
            <w:r>
              <w:t xml:space="preserve">뉴스 반도체 수출통제</w:t>
            </w:r>
          </w:p>
        </w:tc>
        <w:tc>
          <w:tcPr/>
          <w:p>
            <w:pPr>
              <w:pStyle w:val="Compact"/>
              <w:jc w:val="left"/>
            </w:pPr>
            <w:r>
              <w:t xml:space="preserve">80</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딥시크·오픈소스</w:t>
            </w:r>
          </w:p>
        </w:tc>
        <w:tc>
          <w:tcPr/>
          <w:p>
            <w:pPr>
              <w:pStyle w:val="Compact"/>
              <w:jc w:val="left"/>
            </w:pPr>
            <w:r>
              <w:t xml:space="preserve">100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EU 입법</w:t>
            </w:r>
          </w:p>
        </w:tc>
        <w:tc>
          <w:tcPr/>
          <w:p>
            <w:pPr>
              <w:pStyle w:val="Compact"/>
              <w:jc w:val="left"/>
            </w:pPr>
            <w:r>
              <w:t xml:space="preserve">20</w:t>
            </w:r>
          </w:p>
        </w:tc>
        <w:tc>
          <w:tcPr/>
          <w:p>
            <w:pPr>
              <w:pStyle w:val="Compact"/>
              <w:jc w:val="left"/>
            </w:pPr>
            <w:r>
              <w:t xml:space="preserve">50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윤리·국제규범</w:t>
            </w:r>
          </w:p>
        </w:tc>
        <w:tc>
          <w:tcPr/>
          <w:p>
            <w:pPr>
              <w:pStyle w:val="Compact"/>
              <w:jc w:val="left"/>
            </w:pPr>
            <w:r>
              <w:t xml:space="preserve">10</w:t>
            </w:r>
          </w:p>
        </w:tc>
        <w:tc>
          <w:tcPr/>
          <w:p>
            <w:pPr>
              <w:pStyle w:val="Compact"/>
              <w:jc w:val="left"/>
            </w:pPr>
            <w:r>
              <w:t xml:space="preserve">50</w:t>
            </w:r>
          </w:p>
        </w:tc>
        <w:tc>
          <w:tcPr/>
          <w:p>
            <w:pPr>
              <w:pStyle w:val="Compact"/>
              <w:jc w:val="left"/>
            </w:pPr>
            <w:r>
              <w:t xml:space="preserve">40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저작권</w:t>
            </w:r>
          </w:p>
        </w:tc>
        <w:tc>
          <w:tcPr/>
          <w:p>
            <w:pPr>
              <w:pStyle w:val="Compact"/>
              <w:jc w:val="left"/>
            </w:pPr>
            <w:r>
              <w:t xml:space="preserve">10</w:t>
            </w:r>
          </w:p>
        </w:tc>
        <w:tc>
          <w:tcPr/>
          <w:p>
            <w:pPr>
              <w:pStyle w:val="Compact"/>
              <w:jc w:val="left"/>
            </w:pPr>
            <w:r>
              <w:t xml:space="preserve">20</w:t>
            </w:r>
          </w:p>
        </w:tc>
        <w:tc>
          <w:tcPr/>
          <w:p>
            <w:pPr>
              <w:pStyle w:val="Compact"/>
              <w:jc w:val="left"/>
            </w:pPr>
            <w:r>
              <w:t xml:space="preserve">60</w:t>
            </w:r>
          </w:p>
        </w:tc>
        <w:tc>
          <w:tcPr/>
          <w:p>
            <w:pPr>
              <w:pStyle w:val="Compact"/>
              <w:jc w:val="left"/>
            </w:pPr>
            <w:r>
              <w:t xml:space="preserve">10</w:t>
            </w:r>
          </w:p>
        </w:tc>
        <w:tc>
          <w:tcPr/>
          <w:p>
            <w:pPr>
              <w:pStyle w:val="Compact"/>
              <w:jc w:val="left"/>
            </w:pPr>
            <w:r>
              <w:t xml:space="preserve">구성</w:t>
            </w:r>
          </w:p>
        </w:tc>
      </w:tr>
      <w:tr>
        <w:tc>
          <w:tcPr/>
          <w:p>
            <w:pPr>
              <w:pStyle w:val="Compact"/>
              <w:jc w:val="left"/>
            </w:pPr>
            <w:r>
              <w:t xml:space="preserve">뉴스 책임·제조물책임</w:t>
            </w:r>
          </w:p>
        </w:tc>
        <w:tc>
          <w:tcPr/>
          <w:p>
            <w:pPr>
              <w:pStyle w:val="Compact"/>
              <w:jc w:val="left"/>
            </w:pPr>
            <w:r>
              <w:t xml:space="preserve">40</w:t>
            </w:r>
          </w:p>
        </w:tc>
        <w:tc>
          <w:tcPr/>
          <w:p>
            <w:pPr>
              <w:pStyle w:val="Compact"/>
              <w:jc w:val="left"/>
            </w:pPr>
            <w:r>
              <w:t xml:space="preserve">20</w:t>
            </w:r>
          </w:p>
        </w:tc>
        <w:tc>
          <w:tcPr/>
          <w:p>
            <w:pPr>
              <w:pStyle w:val="Compact"/>
              <w:jc w:val="left"/>
            </w:pPr>
            <w:r>
              <w:t xml:space="preserve">40</w:t>
            </w:r>
          </w:p>
        </w:tc>
        <w:tc>
          <w:tcPr/>
          <w:p>
            <w:pPr>
              <w:pStyle w:val="Compact"/>
              <w:jc w:val="left"/>
            </w:pPr>
            <w:r>
              <w:t xml:space="preserve">0</w:t>
            </w:r>
          </w:p>
        </w:tc>
        <w:tc>
          <w:tcPr/>
          <w:p>
            <w:pPr>
              <w:pStyle w:val="Compact"/>
              <w:jc w:val="left"/>
            </w:pPr>
            <w:r>
              <w:t xml:space="preserve">혼합(구성)</w:t>
            </w:r>
          </w:p>
        </w:tc>
      </w:tr>
      <w:tr>
        <w:tc>
          <w:tcPr/>
          <w:p>
            <w:pPr>
              <w:pStyle w:val="Compact"/>
              <w:jc w:val="left"/>
            </w:pPr>
            <w:r>
              <w:t xml:space="preserve">뉴스 데이터·개인정보</w:t>
            </w:r>
          </w:p>
        </w:tc>
        <w:tc>
          <w:tcPr/>
          <w:p>
            <w:pPr>
              <w:pStyle w:val="Compact"/>
              <w:jc w:val="left"/>
            </w:pPr>
            <w:r>
              <w:t xml:space="preserve">10</w:t>
            </w:r>
          </w:p>
        </w:tc>
        <w:tc>
          <w:tcPr/>
          <w:p>
            <w:pPr>
              <w:pStyle w:val="Compact"/>
              <w:jc w:val="left"/>
            </w:pPr>
            <w:r>
              <w:t xml:space="preserve">40</w:t>
            </w:r>
          </w:p>
        </w:tc>
        <w:tc>
          <w:tcPr/>
          <w:p>
            <w:pPr>
              <w:pStyle w:val="Compact"/>
              <w:jc w:val="left"/>
            </w:pPr>
            <w:r>
              <w:t xml:space="preserve">30</w:t>
            </w:r>
          </w:p>
        </w:tc>
        <w:tc>
          <w:tcPr/>
          <w:p>
            <w:pPr>
              <w:pStyle w:val="Compact"/>
              <w:jc w:val="left"/>
            </w:pPr>
            <w:r>
              <w:t xml:space="preserve">20</w:t>
            </w:r>
          </w:p>
        </w:tc>
        <w:tc>
          <w:tcPr/>
          <w:p>
            <w:pPr>
              <w:pStyle w:val="Compact"/>
              <w:jc w:val="left"/>
            </w:pPr>
            <w:r>
              <w:t xml:space="preserve">혼합(자유)</w:t>
            </w:r>
          </w:p>
        </w:tc>
      </w:tr>
    </w:tbl>
    <w:p>
      <w:pPr>
        <w:pStyle w:val="BodyText"/>
      </w:pPr>
      <w:r>
        <w:t xml:space="preserve">주: 60%에 정확히 걸린 대응(학계 특허, 뉴스 군사·전쟁 AI, 뉴스 저작권)은 한 건의 변화로 혼합이 될 수 있다. 뉴스 책임·제조물책임 층은 코퍼스에서 18건뿐이다.</w:t>
      </w:r>
    </w:p>
    <w:bookmarkEnd w:id="26"/>
    <w:bookmarkStart w:id="27" w:name="뉴스와-학계의-프레임-비율"/>
    <w:p>
      <w:pPr>
        <w:pStyle w:val="Heading3"/>
      </w:pPr>
      <w:r>
        <w:t xml:space="preserve">3.3 뉴스와 학계의 프레임 비율</w:t>
      </w:r>
    </w:p>
    <w:p>
      <w:pPr>
        <w:pStyle w:val="FirstParagraph"/>
      </w:pPr>
      <w:r>
        <w:t xml:space="preserve">층 크기로 가중한 프레임 비율은 뉴스에서 현실주의 54%(95% CI 46~63), 자유주의 23%(15~32), 구성주의 15%(9~22), 해당없음 8%였고, 학계에서 현실주의 21%(11~32), 자유주의 33%(22~45), 구성주의 36%(26~47), 해당없음 10%였다(표 4). 현실주의 비중의 차이는 약 33%p이고 두 신뢰구간은 겹치지 않는다. 학계에서 자유주의와 구성주의를 합하면 69%이며 뉴스에서는 38%이다. Claude 코딩만으로 계산해도 현실주의는 뉴스 53%, 학계 24%로 같은 방향이다. 다만 학계에서 구성주의 비중은 연구자 코딩 36%, Claude 코딩 32%로, 뉴스에서는 15% 대 23%로 코더에 따라 달랐다.</w:t>
      </w:r>
    </w:p>
    <w:p>
      <w:pPr>
        <w:pStyle w:val="BodyText"/>
      </w:pPr>
      <w:r>
        <w:rPr>
          <w:bCs/>
          <w:b/>
        </w:rPr>
        <w:t xml:space="preserve">표 4. 가중 프레임 비율 (%, 괄호는 95% 부트스트랩 CI)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구분</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뉴스 (연구자 최종)</w:t>
            </w:r>
          </w:p>
        </w:tc>
        <w:tc>
          <w:tcPr/>
          <w:p>
            <w:pPr>
              <w:pStyle w:val="Compact"/>
              <w:jc w:val="left"/>
            </w:pPr>
            <w:r>
              <w:t xml:space="preserve">54 (46–63)</w:t>
            </w:r>
          </w:p>
        </w:tc>
        <w:tc>
          <w:tcPr/>
          <w:p>
            <w:pPr>
              <w:pStyle w:val="Compact"/>
              <w:jc w:val="left"/>
            </w:pPr>
            <w:r>
              <w:t xml:space="preserve">23 (15–32)</w:t>
            </w:r>
          </w:p>
        </w:tc>
        <w:tc>
          <w:tcPr/>
          <w:p>
            <w:pPr>
              <w:pStyle w:val="Compact"/>
              <w:jc w:val="left"/>
            </w:pPr>
            <w:r>
              <w:t xml:space="preserve">15 (9–22)</w:t>
            </w:r>
          </w:p>
        </w:tc>
        <w:tc>
          <w:tcPr/>
          <w:p>
            <w:pPr>
              <w:pStyle w:val="Compact"/>
              <w:jc w:val="left"/>
            </w:pPr>
            <w:r>
              <w:t xml:space="preserve">8 (3–13)</w:t>
            </w:r>
          </w:p>
        </w:tc>
      </w:tr>
      <w:tr>
        <w:tc>
          <w:tcPr/>
          <w:p>
            <w:pPr>
              <w:pStyle w:val="Compact"/>
              <w:jc w:val="left"/>
            </w:pPr>
            <w:r>
              <w:t xml:space="preserve">학계 (연구자 최종)</w:t>
            </w:r>
          </w:p>
        </w:tc>
        <w:tc>
          <w:tcPr/>
          <w:p>
            <w:pPr>
              <w:pStyle w:val="Compact"/>
              <w:jc w:val="left"/>
            </w:pPr>
            <w:r>
              <w:t xml:space="preserve">21 (11–32)</w:t>
            </w:r>
          </w:p>
        </w:tc>
        <w:tc>
          <w:tcPr/>
          <w:p>
            <w:pPr>
              <w:pStyle w:val="Compact"/>
              <w:jc w:val="left"/>
            </w:pPr>
            <w:r>
              <w:t xml:space="preserve">33 (22–45)</w:t>
            </w:r>
          </w:p>
        </w:tc>
        <w:tc>
          <w:tcPr/>
          <w:p>
            <w:pPr>
              <w:pStyle w:val="Compact"/>
              <w:jc w:val="left"/>
            </w:pPr>
            <w:r>
              <w:t xml:space="preserve">36 (26–47)</w:t>
            </w:r>
          </w:p>
        </w:tc>
        <w:tc>
          <w:tcPr/>
          <w:p>
            <w:pPr>
              <w:pStyle w:val="Compact"/>
              <w:jc w:val="left"/>
            </w:pPr>
            <w:r>
              <w:t xml:space="preserve">10 (3–18)</w:t>
            </w:r>
          </w:p>
        </w:tc>
      </w:tr>
      <w:tr>
        <w:tc>
          <w:tcPr/>
          <w:p>
            <w:pPr>
              <w:pStyle w:val="Compact"/>
              <w:jc w:val="left"/>
            </w:pPr>
            <w:r>
              <w:t xml:space="preserve">뉴스 (Claude 코딩만)</w:t>
            </w:r>
          </w:p>
        </w:tc>
        <w:tc>
          <w:tcPr/>
          <w:p>
            <w:pPr>
              <w:pStyle w:val="Compact"/>
              <w:jc w:val="left"/>
            </w:pPr>
            <w:r>
              <w:t xml:space="preserve">53 (46–61)</w:t>
            </w:r>
          </w:p>
        </w:tc>
        <w:tc>
          <w:tcPr/>
          <w:p>
            <w:pPr>
              <w:pStyle w:val="Compact"/>
              <w:jc w:val="left"/>
            </w:pPr>
            <w:r>
              <w:t xml:space="preserve">18 (12–24)</w:t>
            </w:r>
          </w:p>
        </w:tc>
        <w:tc>
          <w:tcPr/>
          <w:p>
            <w:pPr>
              <w:pStyle w:val="Compact"/>
              <w:jc w:val="left"/>
            </w:pPr>
            <w:r>
              <w:t xml:space="preserve">23 (16–30)</w:t>
            </w:r>
          </w:p>
        </w:tc>
        <w:tc>
          <w:tcPr/>
          <w:p>
            <w:pPr>
              <w:pStyle w:val="Compact"/>
              <w:jc w:val="left"/>
            </w:pPr>
            <w:r>
              <w:t xml:space="preserve">6 (1–10)</w:t>
            </w:r>
          </w:p>
        </w:tc>
      </w:tr>
      <w:tr>
        <w:tc>
          <w:tcPr/>
          <w:p>
            <w:pPr>
              <w:pStyle w:val="Compact"/>
              <w:jc w:val="left"/>
            </w:pPr>
            <w:r>
              <w:t xml:space="preserve">학계 (Claude 코딩만)</w:t>
            </w:r>
          </w:p>
        </w:tc>
        <w:tc>
          <w:tcPr/>
          <w:p>
            <w:pPr>
              <w:pStyle w:val="Compact"/>
              <w:jc w:val="left"/>
            </w:pPr>
            <w:r>
              <w:t xml:space="preserve">24 (14–34)</w:t>
            </w:r>
          </w:p>
        </w:tc>
        <w:tc>
          <w:tcPr/>
          <w:p>
            <w:pPr>
              <w:pStyle w:val="Compact"/>
              <w:jc w:val="left"/>
            </w:pPr>
            <w:r>
              <w:t xml:space="preserve">39 (29–51)</w:t>
            </w:r>
          </w:p>
        </w:tc>
        <w:tc>
          <w:tcPr/>
          <w:p>
            <w:pPr>
              <w:pStyle w:val="Compact"/>
              <w:jc w:val="left"/>
            </w:pPr>
            <w:r>
              <w:t xml:space="preserve">32 (23–41)</w:t>
            </w:r>
          </w:p>
        </w:tc>
        <w:tc>
          <w:tcPr/>
          <w:p>
            <w:pPr>
              <w:pStyle w:val="Compact"/>
              <w:jc w:val="left"/>
            </w:pPr>
            <w:r>
              <w:t xml:space="preserve">4 (0–11)</w:t>
            </w:r>
          </w:p>
        </w:tc>
      </w:tr>
    </w:tbl>
    <w:bookmarkEnd w:id="27"/>
    <w:bookmarkStart w:id="31" w:name="연도별-프레임-추정"/>
    <w:p>
      <w:pPr>
        <w:pStyle w:val="Heading3"/>
      </w:pPr>
      <w:r>
        <w:t xml:space="preserve">3.4 연도별 프레임 추정</w:t>
      </w:r>
    </w:p>
    <w:p>
      <w:pPr>
        <w:pStyle w:val="FirstParagraph"/>
      </w:pPr>
      <w:r>
        <w:t xml:space="preserve">각 층의 표본 프레임 비율이 연도에 따라 변하지 않는다는 가정 아래 층의 연도별 문서 수로 합산해 연도별 비율을 추정하였다(표 5, 그림 1). 뉴스의 현실주의 비중은 2019~2022년 51%, 2023년 42%, 2024년 49%에서 2025년 65%로 가장 높아졌고 2026년에 54%였다. 학계의 현실주의 비중은 17~23%로 연도에 따라 거의 변하지 않았고 자유주의 31~37%, 구성주의 34~42%도 큰 변화가 없었다. 매년 뉴스와 학계의 현실주의 비중 차이는 25~42%p였고 모든 연도에서 두 신뢰구간이 겹치지 않았다. 뉴스의 연도별 변화는 어떤 토픽이 커졌는지(2025년 수출통제·딥시크, 2026년 정상 외교·군사)에서 비롯된 것이며 같은 토픽 안의 프레임이 변했는지는 이 표본으로 확인할 수 없다.</w:t>
      </w:r>
    </w:p>
    <w:p>
      <w:pPr>
        <w:pStyle w:val="BodyText"/>
      </w:pPr>
      <w:r>
        <w:rPr>
          <w:bCs/>
          <w:b/>
        </w:rPr>
        <w:t xml:space="preserve">표 5. 연도별 프레임 추정 (%, 괄호는 95% CI)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구분</w:t>
            </w:r>
          </w:p>
        </w:tc>
        <w:tc>
          <w:tcPr/>
          <w:p>
            <w:pPr>
              <w:pStyle w:val="Compact"/>
              <w:jc w:val="left"/>
            </w:pPr>
            <w:r>
              <w:t xml:space="preserve">연도</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뉴스</w:t>
            </w:r>
          </w:p>
        </w:tc>
        <w:tc>
          <w:tcPr/>
          <w:p>
            <w:pPr>
              <w:pStyle w:val="Compact"/>
              <w:jc w:val="left"/>
            </w:pPr>
            <w:r>
              <w:t xml:space="preserve">2019–22</w:t>
            </w:r>
          </w:p>
        </w:tc>
        <w:tc>
          <w:tcPr/>
          <w:p>
            <w:pPr>
              <w:pStyle w:val="Compact"/>
              <w:jc w:val="left"/>
            </w:pPr>
            <w:r>
              <w:t xml:space="preserve">211</w:t>
            </w:r>
          </w:p>
        </w:tc>
        <w:tc>
          <w:tcPr/>
          <w:p>
            <w:pPr>
              <w:pStyle w:val="Compact"/>
              <w:jc w:val="left"/>
            </w:pPr>
            <w:r>
              <w:t xml:space="preserve">51 (39–63)</w:t>
            </w:r>
          </w:p>
        </w:tc>
        <w:tc>
          <w:tcPr/>
          <w:p>
            <w:pPr>
              <w:pStyle w:val="Compact"/>
              <w:jc w:val="left"/>
            </w:pPr>
            <w:r>
              <w:t xml:space="preserve">21 (15–29)</w:t>
            </w:r>
          </w:p>
        </w:tc>
        <w:tc>
          <w:tcPr/>
          <w:p>
            <w:pPr>
              <w:pStyle w:val="Compact"/>
              <w:jc w:val="left"/>
            </w:pPr>
            <w:r>
              <w:t xml:space="preserve">15 (8–21)</w:t>
            </w:r>
          </w:p>
        </w:tc>
        <w:tc>
          <w:tcPr/>
          <w:p>
            <w:pPr>
              <w:pStyle w:val="Compact"/>
              <w:jc w:val="left"/>
            </w:pPr>
            <w:r>
              <w:t xml:space="preserve">13 (4–22)</w:t>
            </w:r>
          </w:p>
        </w:tc>
      </w:tr>
      <w:tr>
        <w:tc>
          <w:tcPr/>
          <w:p>
            <w:pPr>
              <w:pStyle w:val="Compact"/>
              <w:jc w:val="left"/>
            </w:pPr>
            <w:r>
              <w:t xml:space="preserve">뉴스</w:t>
            </w:r>
          </w:p>
        </w:tc>
        <w:tc>
          <w:tcPr/>
          <w:p>
            <w:pPr>
              <w:pStyle w:val="Compact"/>
              <w:jc w:val="left"/>
            </w:pPr>
            <w:r>
              <w:t xml:space="preserve">2023</w:t>
            </w:r>
          </w:p>
        </w:tc>
        <w:tc>
          <w:tcPr/>
          <w:p>
            <w:pPr>
              <w:pStyle w:val="Compact"/>
              <w:jc w:val="left"/>
            </w:pPr>
            <w:r>
              <w:t xml:space="preserve">709</w:t>
            </w:r>
          </w:p>
        </w:tc>
        <w:tc>
          <w:tcPr/>
          <w:p>
            <w:pPr>
              <w:pStyle w:val="Compact"/>
              <w:jc w:val="left"/>
            </w:pPr>
            <w:r>
              <w:t xml:space="preserve">42 (33–51)</w:t>
            </w:r>
          </w:p>
        </w:tc>
        <w:tc>
          <w:tcPr/>
          <w:p>
            <w:pPr>
              <w:pStyle w:val="Compact"/>
              <w:jc w:val="left"/>
            </w:pPr>
            <w:r>
              <w:t xml:space="preserve">32 (21–43)</w:t>
            </w:r>
          </w:p>
        </w:tc>
        <w:tc>
          <w:tcPr/>
          <w:p>
            <w:pPr>
              <w:pStyle w:val="Compact"/>
              <w:jc w:val="left"/>
            </w:pPr>
            <w:r>
              <w:t xml:space="preserve">19 (11–27)</w:t>
            </w:r>
          </w:p>
        </w:tc>
        <w:tc>
          <w:tcPr/>
          <w:p>
            <w:pPr>
              <w:pStyle w:val="Compact"/>
              <w:jc w:val="left"/>
            </w:pPr>
            <w:r>
              <w:t xml:space="preserve">8 (3–13)</w:t>
            </w:r>
          </w:p>
        </w:tc>
      </w:tr>
      <w:tr>
        <w:tc>
          <w:tcPr/>
          <w:p>
            <w:pPr>
              <w:pStyle w:val="Compact"/>
              <w:jc w:val="left"/>
            </w:pPr>
            <w:r>
              <w:t xml:space="preserve">뉴스</w:t>
            </w:r>
          </w:p>
        </w:tc>
        <w:tc>
          <w:tcPr/>
          <w:p>
            <w:pPr>
              <w:pStyle w:val="Compact"/>
              <w:jc w:val="left"/>
            </w:pPr>
            <w:r>
              <w:t xml:space="preserve">2024</w:t>
            </w:r>
          </w:p>
        </w:tc>
        <w:tc>
          <w:tcPr/>
          <w:p>
            <w:pPr>
              <w:pStyle w:val="Compact"/>
              <w:jc w:val="left"/>
            </w:pPr>
            <w:r>
              <w:t xml:space="preserve">796</w:t>
            </w:r>
          </w:p>
        </w:tc>
        <w:tc>
          <w:tcPr/>
          <w:p>
            <w:pPr>
              <w:pStyle w:val="Compact"/>
              <w:jc w:val="left"/>
            </w:pPr>
            <w:r>
              <w:t xml:space="preserve">49 (40–59)</w:t>
            </w:r>
          </w:p>
        </w:tc>
        <w:tc>
          <w:tcPr/>
          <w:p>
            <w:pPr>
              <w:pStyle w:val="Compact"/>
              <w:jc w:val="left"/>
            </w:pPr>
            <w:r>
              <w:t xml:space="preserve">27 (18–37)</w:t>
            </w:r>
          </w:p>
        </w:tc>
        <w:tc>
          <w:tcPr/>
          <w:p>
            <w:pPr>
              <w:pStyle w:val="Compact"/>
              <w:jc w:val="left"/>
            </w:pPr>
            <w:r>
              <w:t xml:space="preserve">16 (9–23)</w:t>
            </w:r>
          </w:p>
        </w:tc>
        <w:tc>
          <w:tcPr/>
          <w:p>
            <w:pPr>
              <w:pStyle w:val="Compact"/>
              <w:jc w:val="left"/>
            </w:pPr>
            <w:r>
              <w:t xml:space="preserve">8 (3–14)</w:t>
            </w:r>
          </w:p>
        </w:tc>
      </w:tr>
      <w:tr>
        <w:tc>
          <w:tcPr/>
          <w:p>
            <w:pPr>
              <w:pStyle w:val="Compact"/>
              <w:jc w:val="left"/>
            </w:pPr>
            <w:r>
              <w:t xml:space="preserve">뉴스</w:t>
            </w:r>
          </w:p>
        </w:tc>
        <w:tc>
          <w:tcPr/>
          <w:p>
            <w:pPr>
              <w:pStyle w:val="Compact"/>
              <w:jc w:val="left"/>
            </w:pPr>
            <w:r>
              <w:t xml:space="preserve">2025</w:t>
            </w:r>
          </w:p>
        </w:tc>
        <w:tc>
          <w:tcPr/>
          <w:p>
            <w:pPr>
              <w:pStyle w:val="Compact"/>
              <w:jc w:val="left"/>
            </w:pPr>
            <w:r>
              <w:t xml:space="preserve">1,223</w:t>
            </w:r>
          </w:p>
        </w:tc>
        <w:tc>
          <w:tcPr/>
          <w:p>
            <w:pPr>
              <w:pStyle w:val="Compact"/>
              <w:jc w:val="left"/>
            </w:pPr>
            <w:r>
              <w:t xml:space="preserve">65 (55–74)</w:t>
            </w:r>
          </w:p>
        </w:tc>
        <w:tc>
          <w:tcPr/>
          <w:p>
            <w:pPr>
              <w:pStyle w:val="Compact"/>
              <w:jc w:val="left"/>
            </w:pPr>
            <w:r>
              <w:t xml:space="preserve">17 (10–26)</w:t>
            </w:r>
          </w:p>
        </w:tc>
        <w:tc>
          <w:tcPr/>
          <w:p>
            <w:pPr>
              <w:pStyle w:val="Compact"/>
              <w:jc w:val="left"/>
            </w:pPr>
            <w:r>
              <w:t xml:space="preserve">8 (5–12)</w:t>
            </w:r>
          </w:p>
        </w:tc>
        <w:tc>
          <w:tcPr/>
          <w:p>
            <w:pPr>
              <w:pStyle w:val="Compact"/>
              <w:jc w:val="left"/>
            </w:pPr>
            <w:r>
              <w:t xml:space="preserve">9 (3–16)</w:t>
            </w:r>
          </w:p>
        </w:tc>
      </w:tr>
      <w:tr>
        <w:tc>
          <w:tcPr/>
          <w:p>
            <w:pPr>
              <w:pStyle w:val="Compact"/>
              <w:jc w:val="left"/>
            </w:pPr>
            <w:r>
              <w:t xml:space="preserve">뉴스</w:t>
            </w:r>
          </w:p>
        </w:tc>
        <w:tc>
          <w:tcPr/>
          <w:p>
            <w:pPr>
              <w:pStyle w:val="Compact"/>
              <w:jc w:val="left"/>
            </w:pPr>
            <w:r>
              <w:t xml:space="preserve">2026</w:t>
            </w:r>
          </w:p>
        </w:tc>
        <w:tc>
          <w:tcPr/>
          <w:p>
            <w:pPr>
              <w:pStyle w:val="Compact"/>
              <w:jc w:val="left"/>
            </w:pPr>
            <w:r>
              <w:t xml:space="preserve">1,675</w:t>
            </w:r>
          </w:p>
        </w:tc>
        <w:tc>
          <w:tcPr/>
          <w:p>
            <w:pPr>
              <w:pStyle w:val="Compact"/>
              <w:jc w:val="left"/>
            </w:pPr>
            <w:r>
              <w:t xml:space="preserve">54 (43–65)</w:t>
            </w:r>
          </w:p>
        </w:tc>
        <w:tc>
          <w:tcPr/>
          <w:p>
            <w:pPr>
              <w:pStyle w:val="Compact"/>
              <w:jc w:val="left"/>
            </w:pPr>
            <w:r>
              <w:t xml:space="preserve">22 (13–32)</w:t>
            </w:r>
          </w:p>
        </w:tc>
        <w:tc>
          <w:tcPr/>
          <w:p>
            <w:pPr>
              <w:pStyle w:val="Compact"/>
              <w:jc w:val="left"/>
            </w:pPr>
            <w:r>
              <w:t xml:space="preserve">18 (9–27)</w:t>
            </w:r>
          </w:p>
        </w:tc>
        <w:tc>
          <w:tcPr/>
          <w:p>
            <w:pPr>
              <w:pStyle w:val="Compact"/>
              <w:jc w:val="left"/>
            </w:pPr>
            <w:r>
              <w:t xml:space="preserve">6 (2–10)</w:t>
            </w:r>
          </w:p>
        </w:tc>
      </w:tr>
      <w:tr>
        <w:tc>
          <w:tcPr/>
          <w:p>
            <w:pPr>
              <w:pStyle w:val="Compact"/>
              <w:jc w:val="left"/>
            </w:pPr>
            <w:r>
              <w:t xml:space="preserve">학계</w:t>
            </w:r>
          </w:p>
        </w:tc>
        <w:tc>
          <w:tcPr/>
          <w:p>
            <w:pPr>
              <w:pStyle w:val="Compact"/>
              <w:jc w:val="left"/>
            </w:pPr>
            <w:r>
              <w:t xml:space="preserve">2019–22</w:t>
            </w:r>
          </w:p>
        </w:tc>
        <w:tc>
          <w:tcPr/>
          <w:p>
            <w:pPr>
              <w:pStyle w:val="Compact"/>
              <w:jc w:val="left"/>
            </w:pPr>
            <w:r>
              <w:t xml:space="preserve">118</w:t>
            </w:r>
          </w:p>
        </w:tc>
        <w:tc>
          <w:tcPr/>
          <w:p>
            <w:pPr>
              <w:pStyle w:val="Compact"/>
              <w:jc w:val="left"/>
            </w:pPr>
            <w:r>
              <w:t xml:space="preserve">21 (10–32)</w:t>
            </w:r>
          </w:p>
        </w:tc>
        <w:tc>
          <w:tcPr/>
          <w:p>
            <w:pPr>
              <w:pStyle w:val="Compact"/>
              <w:jc w:val="left"/>
            </w:pPr>
            <w:r>
              <w:t xml:space="preserve">31 (20–43)</w:t>
            </w:r>
          </w:p>
        </w:tc>
        <w:tc>
          <w:tcPr/>
          <w:p>
            <w:pPr>
              <w:pStyle w:val="Compact"/>
              <w:jc w:val="left"/>
            </w:pPr>
            <w:r>
              <w:t xml:space="preserve">37 (28–48)</w:t>
            </w:r>
          </w:p>
        </w:tc>
        <w:tc>
          <w:tcPr/>
          <w:p>
            <w:pPr>
              <w:pStyle w:val="Compact"/>
              <w:jc w:val="left"/>
            </w:pPr>
            <w:r>
              <w:t xml:space="preserve">10 (3–20)</w:t>
            </w:r>
          </w:p>
        </w:tc>
      </w:tr>
      <w:tr>
        <w:tc>
          <w:tcPr/>
          <w:p>
            <w:pPr>
              <w:pStyle w:val="Compact"/>
              <w:jc w:val="left"/>
            </w:pPr>
            <w:r>
              <w:t xml:space="preserve">학계</w:t>
            </w:r>
          </w:p>
        </w:tc>
        <w:tc>
          <w:tcPr/>
          <w:p>
            <w:pPr>
              <w:pStyle w:val="Compact"/>
              <w:jc w:val="left"/>
            </w:pPr>
            <w:r>
              <w:t xml:space="preserve">2023</w:t>
            </w:r>
          </w:p>
        </w:tc>
        <w:tc>
          <w:tcPr/>
          <w:p>
            <w:pPr>
              <w:pStyle w:val="Compact"/>
              <w:jc w:val="left"/>
            </w:pPr>
            <w:r>
              <w:t xml:space="preserve">51</w:t>
            </w:r>
          </w:p>
        </w:tc>
        <w:tc>
          <w:tcPr/>
          <w:p>
            <w:pPr>
              <w:pStyle w:val="Compact"/>
              <w:jc w:val="left"/>
            </w:pPr>
            <w:r>
              <w:t xml:space="preserve">17 (9–25)</w:t>
            </w:r>
          </w:p>
        </w:tc>
        <w:tc>
          <w:tcPr/>
          <w:p>
            <w:pPr>
              <w:pStyle w:val="Compact"/>
              <w:jc w:val="left"/>
            </w:pPr>
            <w:r>
              <w:t xml:space="preserve">35 (25–45)</w:t>
            </w:r>
          </w:p>
        </w:tc>
        <w:tc>
          <w:tcPr/>
          <w:p>
            <w:pPr>
              <w:pStyle w:val="Compact"/>
              <w:jc w:val="left"/>
            </w:pPr>
            <w:r>
              <w:t xml:space="preserve">42 (32–52)</w:t>
            </w:r>
          </w:p>
        </w:tc>
        <w:tc>
          <w:tcPr/>
          <w:p>
            <w:pPr>
              <w:pStyle w:val="Compact"/>
              <w:jc w:val="left"/>
            </w:pPr>
            <w:r>
              <w:t xml:space="preserve">7 (2–13)</w:t>
            </w:r>
          </w:p>
        </w:tc>
      </w:tr>
      <w:tr>
        <w:tc>
          <w:tcPr/>
          <w:p>
            <w:pPr>
              <w:pStyle w:val="Compact"/>
              <w:jc w:val="left"/>
            </w:pPr>
            <w:r>
              <w:t xml:space="preserve">학계</w:t>
            </w:r>
          </w:p>
        </w:tc>
        <w:tc>
          <w:tcPr/>
          <w:p>
            <w:pPr>
              <w:pStyle w:val="Compact"/>
              <w:jc w:val="left"/>
            </w:pPr>
            <w:r>
              <w:t xml:space="preserve">2024</w:t>
            </w:r>
          </w:p>
        </w:tc>
        <w:tc>
          <w:tcPr/>
          <w:p>
            <w:pPr>
              <w:pStyle w:val="Compact"/>
              <w:jc w:val="left"/>
            </w:pPr>
            <w:r>
              <w:t xml:space="preserve">105</w:t>
            </w:r>
          </w:p>
        </w:tc>
        <w:tc>
          <w:tcPr/>
          <w:p>
            <w:pPr>
              <w:pStyle w:val="Compact"/>
              <w:jc w:val="left"/>
            </w:pPr>
            <w:r>
              <w:t xml:space="preserve">18 (9–28)</w:t>
            </w:r>
          </w:p>
        </w:tc>
        <w:tc>
          <w:tcPr/>
          <w:p>
            <w:pPr>
              <w:pStyle w:val="Compact"/>
              <w:jc w:val="left"/>
            </w:pPr>
            <w:r>
              <w:t xml:space="preserve">37 (25–49)</w:t>
            </w:r>
          </w:p>
        </w:tc>
        <w:tc>
          <w:tcPr/>
          <w:p>
            <w:pPr>
              <w:pStyle w:val="Compact"/>
              <w:jc w:val="left"/>
            </w:pPr>
            <w:r>
              <w:t xml:space="preserve">37 (26–49)</w:t>
            </w:r>
          </w:p>
        </w:tc>
        <w:tc>
          <w:tcPr/>
          <w:p>
            <w:pPr>
              <w:pStyle w:val="Compact"/>
              <w:jc w:val="left"/>
            </w:pPr>
            <w:r>
              <w:t xml:space="preserve">8 (2–16)</w:t>
            </w:r>
          </w:p>
        </w:tc>
      </w:tr>
      <w:tr>
        <w:tc>
          <w:tcPr/>
          <w:p>
            <w:pPr>
              <w:pStyle w:val="Compact"/>
              <w:jc w:val="left"/>
            </w:pPr>
            <w:r>
              <w:t xml:space="preserve">학계</w:t>
            </w:r>
          </w:p>
        </w:tc>
        <w:tc>
          <w:tcPr/>
          <w:p>
            <w:pPr>
              <w:pStyle w:val="Compact"/>
              <w:jc w:val="left"/>
            </w:pPr>
            <w:r>
              <w:t xml:space="preserve">2025</w:t>
            </w:r>
          </w:p>
        </w:tc>
        <w:tc>
          <w:tcPr/>
          <w:p>
            <w:pPr>
              <w:pStyle w:val="Compact"/>
              <w:jc w:val="left"/>
            </w:pPr>
            <w:r>
              <w:t xml:space="preserve">199</w:t>
            </w:r>
          </w:p>
        </w:tc>
        <w:tc>
          <w:tcPr/>
          <w:p>
            <w:pPr>
              <w:pStyle w:val="Compact"/>
              <w:jc w:val="left"/>
            </w:pPr>
            <w:r>
              <w:t xml:space="preserve">23 (11–35)</w:t>
            </w:r>
          </w:p>
        </w:tc>
        <w:tc>
          <w:tcPr/>
          <w:p>
            <w:pPr>
              <w:pStyle w:val="Compact"/>
              <w:jc w:val="left"/>
            </w:pPr>
            <w:r>
              <w:t xml:space="preserve">31 (19–43)</w:t>
            </w:r>
          </w:p>
        </w:tc>
        <w:tc>
          <w:tcPr/>
          <w:p>
            <w:pPr>
              <w:pStyle w:val="Compact"/>
              <w:jc w:val="left"/>
            </w:pPr>
            <w:r>
              <w:t xml:space="preserve">35 (25–48)</w:t>
            </w:r>
          </w:p>
        </w:tc>
        <w:tc>
          <w:tcPr/>
          <w:p>
            <w:pPr>
              <w:pStyle w:val="Compact"/>
              <w:jc w:val="left"/>
            </w:pPr>
            <w:r>
              <w:t xml:space="preserve">11 (3–20)</w:t>
            </w:r>
          </w:p>
        </w:tc>
      </w:tr>
      <w:tr>
        <w:tc>
          <w:tcPr/>
          <w:p>
            <w:pPr>
              <w:pStyle w:val="Compact"/>
              <w:jc w:val="left"/>
            </w:pPr>
            <w:r>
              <w:t xml:space="preserve">학계</w:t>
            </w:r>
          </w:p>
        </w:tc>
        <w:tc>
          <w:tcPr/>
          <w:p>
            <w:pPr>
              <w:pStyle w:val="Compact"/>
              <w:jc w:val="left"/>
            </w:pPr>
            <w:r>
              <w:t xml:space="preserve">2026</w:t>
            </w:r>
          </w:p>
        </w:tc>
        <w:tc>
          <w:tcPr/>
          <w:p>
            <w:pPr>
              <w:pStyle w:val="Compact"/>
              <w:jc w:val="left"/>
            </w:pPr>
            <w:r>
              <w:t xml:space="preserve">196</w:t>
            </w:r>
          </w:p>
        </w:tc>
        <w:tc>
          <w:tcPr/>
          <w:p>
            <w:pPr>
              <w:pStyle w:val="Compact"/>
              <w:jc w:val="left"/>
            </w:pPr>
            <w:r>
              <w:t xml:space="preserve">22 (11–34)</w:t>
            </w:r>
          </w:p>
        </w:tc>
        <w:tc>
          <w:tcPr/>
          <w:p>
            <w:pPr>
              <w:pStyle w:val="Compact"/>
              <w:jc w:val="left"/>
            </w:pPr>
            <w:r>
              <w:t xml:space="preserve">33 (22–46)</w:t>
            </w:r>
          </w:p>
        </w:tc>
        <w:tc>
          <w:tcPr/>
          <w:p>
            <w:pPr>
              <w:pStyle w:val="Compact"/>
              <w:jc w:val="left"/>
            </w:pPr>
            <w:r>
              <w:t xml:space="preserve">34 (24–46)</w:t>
            </w:r>
          </w:p>
        </w:tc>
        <w:tc>
          <w:tcPr/>
          <w:p>
            <w:pPr>
              <w:pStyle w:val="Compact"/>
              <w:jc w:val="left"/>
            </w:pPr>
            <w:r>
              <w:t xml:space="preserve">10 (3–18)</w:t>
            </w:r>
          </w:p>
        </w:tc>
      </w:tr>
    </w:tbl>
    <w:p>
      <w:pPr>
        <w:pStyle w:val="CaptionedFigure"/>
      </w:pPr>
      <w:r>
        <w:drawing>
          <wp:inline>
            <wp:extent cx="5334000" cy="2346960"/>
            <wp:effectExtent b="0" l="0" r="0" t="0"/>
            <wp:docPr descr="그림 1. 연도별 프레임 비율 추정" title="" id="29" name="Picture"/>
            <a:graphic>
              <a:graphicData uri="http://schemas.openxmlformats.org/drawingml/2006/picture">
                <pic:pic>
                  <pic:nvPicPr>
                    <pic:cNvPr descr="frame_trend_by_year.png" id="30" name="Picture"/>
                    <pic:cNvPicPr>
                      <a:picLocks noChangeArrowheads="1" noChangeAspect="1"/>
                    </pic:cNvPicPr>
                  </pic:nvPicPr>
                  <pic:blipFill>
                    <a:blip r:embed="rId28"/>
                    <a:stretch>
                      <a:fillRect/>
                    </a:stretch>
                  </pic:blipFill>
                  <pic:spPr bwMode="auto">
                    <a:xfrm>
                      <a:off x="0" y="0"/>
                      <a:ext cx="5334000" cy="2346960"/>
                    </a:xfrm>
                    <a:prstGeom prst="rect">
                      <a:avLst/>
                    </a:prstGeom>
                    <a:noFill/>
                    <a:ln w="9525">
                      <a:noFill/>
                      <a:headEnd/>
                      <a:tailEnd/>
                    </a:ln>
                  </pic:spPr>
                </pic:pic>
              </a:graphicData>
            </a:graphic>
          </wp:inline>
        </w:drawing>
      </w:r>
    </w:p>
    <w:p>
      <w:pPr>
        <w:pStyle w:val="ImageCaption"/>
      </w:pPr>
      <w:r>
        <w:t xml:space="preserve">그림 1. 연도별 프레임 비율 추정</w:t>
      </w:r>
    </w:p>
    <w:bookmarkEnd w:id="31"/>
    <w:bookmarkEnd w:id="32"/>
    <w:bookmarkStart w:id="33" w:name="민감도-분석"/>
    <w:p>
      <w:pPr>
        <w:pStyle w:val="Heading2"/>
      </w:pPr>
      <w:r>
        <w:t xml:space="preserve">4. 민감도 분석</w:t>
      </w:r>
    </w:p>
    <w:p>
      <w:pPr>
        <w:pStyle w:val="FirstParagraph"/>
      </w:pPr>
      <w:r>
        <w:rPr>
          <w:bCs/>
          <w:b/>
        </w:rPr>
        <w:t xml:space="preserve">토픽 수.</w:t>
      </w:r>
      <w:r>
        <w:t xml:space="preserve"> </w:t>
      </w:r>
      <w:r>
        <w:t xml:space="preserve">K=5~9에서 학계 토픽 구조는 K=7과 대체로 일치하였다(문서 분할 일치도 NMI 0.57~0.81; K=8이 0.81로 가장 가깝다). K=8에서는 데이터·개인정보 토픽이 둘로 나뉘고 K=6에서는 특허 토픽이 데이터·개인정보 토픽에 합쳐졌다. 연도별 현실주의 비중의 패턴(뉴스 2025년 최고 57~62%, 학계 16~24%에서 평탄)은 모든 K에서 유지되었다. 전체 프레임 비율은 층 가중 추정 방식상 K에 거의 변하지 않아 구조 안정성을 주된 근거로 삼았다.</w:t>
      </w:r>
    </w:p>
    <w:p>
      <w:pPr>
        <w:pStyle w:val="BodyText"/>
      </w:pPr>
      <w:r>
        <w:rPr>
          <w:bCs/>
          <w:b/>
        </w:rPr>
        <w:t xml:space="preserve">확장 코퍼스.</w:t>
      </w:r>
      <w:r>
        <w:t xml:space="preserve"> </w:t>
      </w:r>
      <w:r>
        <w:t xml:space="preserve">논문 898편과 기사 5,919건(뉴스 T0 제외)에서도 전체 비율은 기본 코퍼스와 같았다(뉴스 현실주의 54%, 학계 21~22%). 이는 확장분에 기본 코퍼스의 층별 프레임 비율을 적용한 결과이며 확장분의 프레임을 직접 코딩하지 않았다.</w:t>
      </w:r>
    </w:p>
    <w:p>
      <w:pPr>
        <w:pStyle w:val="BodyText"/>
      </w:pPr>
      <w:r>
        <w:rPr>
          <w:bCs/>
          <w:b/>
        </w:rPr>
        <w:t xml:space="preserve">코더.</w:t>
      </w:r>
      <w:r>
        <w:t xml:space="preserve"> </w:t>
      </w:r>
      <w:r>
        <w:t xml:space="preserve">위 표 4와 같이 연구자 최종 라벨과 Claude 코딩만을 쓴 결과에서 현실주의 격차는 유지되었으나 구성주의·자유주의의 세부 비중은 달랐다.</w:t>
      </w:r>
    </w:p>
    <w:bookmarkEnd w:id="33"/>
    <w:bookmarkStart w:id="34" w:name="소결"/>
    <w:p>
      <w:pPr>
        <w:pStyle w:val="Heading2"/>
      </w:pPr>
      <w:r>
        <w:t xml:space="preserve">5. 소결</w:t>
      </w:r>
    </w:p>
    <w:p>
      <w:pPr>
        <w:pStyle w:val="FirstParagraph"/>
      </w:pPr>
      <w:r>
        <w:t xml:space="preserve">연구 설계 단계에서 세운 가설을 검토하면 다음과 같다. 첫째, 언론이 현실주의 프레임에 치우친다는 가설은 지지된다. 뉴스의 현실주의 비중은 54%로 학계(21%)의 약 2.6배이고, 이 격차는 모든 연도와 두 코더, 토픽 수와 코퍼스 범위를 바꾼 분석에서 유지되었다. 둘째, 학계가 제도·규범 논의에 머문다는 가설은 부분적으로 지지된다. 학계의 자유주의와 구성주의를 합한 비중은 69%이다. 그러나 구성주의만 두드러지는 것은 아니며 자유주의(33%)와 구성주의(36%)로 나뉜다. 또한 학계에서 국가 전략·미중 경쟁이라는 가장 큰 토픽은 지정학 프레임이 우세하지 않았다.</w:t>
      </w:r>
    </w:p>
    <w:p>
      <w:pPr>
        <w:pStyle w:val="BodyText"/>
      </w:pPr>
      <w:r>
        <w:t xml:space="preserve">이러한 결과는 법리·정책 문서에 논거 기준으로 붙인 프레임이라는 조작적 정의 위에서 해석해야 한다. 학계 코퍼스의 큰 부분이 규제·법제 논문이므로 자유주의·구성주의 비중이 구조적으로 높게 나올 수 있다. 층별 표본이 10건이어서 개별 토픽의 프레임 대응은 불확실하며, 연도별 추정은 토픽 안 프레임이 변하지 않는다는 가정에 의존한다.</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2026-10-13T15:53:52Z</dcterms:created>
  <dcterms:modified xsi:type="dcterms:W3CDTF">2026-10-13T15:53:52Z</dcterms:modified>
</cp:coreProperties>
</file>

<file path=docProps/custom.xml><?xml version="1.0" encoding="utf-8"?>
<Properties xmlns="http://schemas.openxmlformats.org/officeDocument/2006/custom-properties" xmlns:vt="http://schemas.openxmlformats.org/officeDocument/2006/docPropsVTypes"/>
</file>