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Integrace agentních systémů v softwarovém inženýrství</w:t>
      </w:r>
    </w:p>
    <w:p>
      <w:pPr>
        <w:pStyle w:val="Heading1"/>
      </w:pPr>
      <w:r>
        <w:t xml:space="preserve">Motivace</w:t>
      </w:r>
    </w:p>
    <w:p>
      <w:pPr>
        <w:spacing w:after="200"/>
      </w:pPr>
      <w:r>
        <w:t xml:space="preserve">Studie společnosti METR.ORG ukazuje, že LLM zkušené vývojáře spíše zpomaluje. S rychlým vývojem schopností modelů se situace pravděpodobně mění. Ale to neznamená, že je LLM samo o sobě dostatečné k vypracování dlouhotrvajících úkolů. Není to problém pouze LLM, když projekt roste, bývá těžší jej rozšiřovat jak pro člověka, tak i pro LLM. AI programování tenhle problém ještě více prohlubuje. Vývojáři přicházejí o kontext a hlubokou znalost kódové základny (codebase), zatímco velké jazykové modely (LLM) jsou limitovány omezenou pamětí (context window). Jak nastavit harness/scaffolding tak, aby v tom mohli fungovat agenti a lidé to stále měli pod kontrolou?</w:t>
      </w:r>
    </w:p>
    <w:p>
      <w:pPr>
        <w:pStyle w:val="Heading1"/>
      </w:pPr>
      <w:r>
        <w:t xml:space="preserve">Cíle práce</w:t>
      </w:r>
    </w:p>
    <w:p>
      <w:pPr>
        <w:pStyle w:val="ListParagraph"/>
        <w:numPr>
          <w:ilvl w:val="0"/>
          <w:numId w:val="2"/>
        </w:numPr>
      </w:pPr>
      <w:r>
        <w:t xml:space="preserve">Jaká je taxonomie řízení SWE projektů obecně?</w:t>
      </w:r>
    </w:p>
    <w:p>
      <w:pPr>
        <w:pStyle w:val="ListParagraph"/>
        <w:numPr>
          <w:ilvl w:val="0"/>
          <w:numId w:val="2"/>
        </w:numPr>
      </w:pPr>
      <w:r>
        <w:t xml:space="preserve">Jak se řízení SWE mění v kontextu agentních systémů?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 je součástí efektivního harness/scaffolding pro agentní systémy a co je naopak nadbytečné?</w:t>
      </w:r>
    </w:p>
    <w:p>
      <w:pPr>
        <w:pStyle w:val="Heading1"/>
      </w:pPr>
      <w:r>
        <w:t xml:space="preserve">Metodika</w:t>
      </w:r>
    </w:p>
    <w:p>
      <w:pPr>
        <w:pStyle w:val="ListParagraph"/>
        <w:numPr>
          <w:ilvl w:val="0"/>
          <w:numId w:val="3"/>
        </w:numPr>
      </w:pPr>
      <w:r>
        <w:t xml:space="preserve">Rešerše zdrojů k pochopení řízení SWE projektů a současných přístupů k integraci agentních systémů.</w:t>
      </w:r>
    </w:p>
    <w:p>
      <w:pPr>
        <w:pStyle w:val="ListParagraph"/>
        <w:numPr>
          <w:ilvl w:val="0"/>
          <w:numId w:val="3"/>
        </w:numPr>
      </w:pPr>
      <w:r>
        <w:t xml:space="preserve">Návrh a implementace experimentálního prostředí s využitím dostupných nástrojů.</w:t>
      </w:r>
    </w:p>
    <w:p>
      <w:pPr>
        <w:pStyle w:val="ListParagraph"/>
        <w:numPr>
          <w:ilvl w:val="0"/>
          <w:numId w:val="3"/>
        </w:numPr>
      </w:pPr>
      <w:r>
        <w:t xml:space="preserve">Spuštění experimentů s definovanými scénáři.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Analýza a interpretace výsledků.</w:t>
      </w:r>
    </w:p>
    <w:p>
      <w:pPr>
        <w:pStyle w:val="Heading1"/>
      </w:pPr>
      <w:r>
        <w:t xml:space="preserve">Vymezení rozsahu</w:t>
      </w:r>
    </w:p>
    <w:p>
      <w:pPr>
        <w:spacing w:after="120"/>
      </w:pPr>
      <w:r>
        <w:rPr>
          <w:b/>
          <w:bCs/>
        </w:rPr>
        <w:t xml:space="preserve">Práce se zaměřuje na:</w:t>
      </w:r>
    </w:p>
    <w:p>
      <w:pPr>
        <w:pStyle w:val="ListParagraph"/>
        <w:numPr>
          <w:ilvl w:val="0"/>
          <w:numId w:val="4"/>
        </w:numPr>
      </w:pPr>
      <w:r>
        <w:t xml:space="preserve">Celý SDLC na jednoduchém projektu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Konfigurace a použití existujících nástrojů (GitHub, CLI agents)</w:t>
      </w:r>
    </w:p>
    <w:p>
      <w:pPr>
        <w:spacing w:after="120"/>
      </w:pPr>
      <w:r>
        <w:rPr>
          <w:b/>
          <w:bCs/>
        </w:rPr>
        <w:t xml:space="preserve">Práce se nezaměřuje na:</w:t>
      </w:r>
    </w:p>
    <w:p>
      <w:pPr>
        <w:pStyle w:val="ListParagraph"/>
        <w:numPr>
          <w:ilvl w:val="0"/>
          <w:numId w:val="5"/>
        </w:numPr>
      </w:pPr>
      <w:r>
        <w:t xml:space="preserve">Programování nových nástrojů od nuly</w:t>
      </w:r>
    </w:p>
    <w:p>
      <w:pPr>
        <w:pStyle w:val="ListParagraph"/>
        <w:numPr>
          <w:ilvl w:val="0"/>
          <w:numId w:val="5"/>
        </w:numPr>
      </w:pPr>
      <w:r>
        <w:t xml:space="preserve">Testování různých LLM modelů</w:t>
      </w:r>
    </w:p>
    <w:p>
      <w:pPr>
        <w:pStyle w:val="ListParagraph"/>
        <w:numPr>
          <w:ilvl w:val="0"/>
          <w:numId w:val="5"/>
        </w:numPr>
      </w:pPr>
      <w:r>
        <w:t xml:space="preserve">Testování různých programovacích jazyků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Vývoj produkčního nástroje/produktu</w:t>
      </w:r>
    </w:p>
    <w:p>
      <w:pPr>
        <w:pStyle w:val="Heading1"/>
      </w:pPr>
      <w:r>
        <w:t xml:space="preserve">Literatura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BMAD-CODE-ORG. </w:t>
      </w:r>
      <w:r>
        <w:rPr>
          <w:i/>
          <w:iCs/>
        </w:rPr>
        <w:t xml:space="preserve">BMAD METHOD: Breakthrough Method for Agile AI-Driven Development</w:t>
      </w:r>
      <w:r>
        <w:t xml:space="preserve"> [online]. GitHub, 2025.</w:t>
      </w:r>
    </w:p>
    <w:p>
      <w:pPr>
        <w:pStyle w:val="ListParagraph"/>
        <w:numPr>
          <w:ilvl w:val="0"/>
          <w:numId w:val="6"/>
        </w:numPr>
      </w:pPr>
      <w:r>
        <w:rPr>
          <w:i/>
          <w:iCs/>
        </w:rPr>
        <w:t xml:space="preserve">Agentic Software Engineering: Foundational Pillars and a Research Roadmap</w:t>
      </w:r>
      <w:r>
        <w:t xml:space="preserve"> [online]. arXiv preprint arXiv:2509.06216. 2025.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IEEE COMPUTER SOCIETY. </w:t>
      </w:r>
      <w:r>
        <w:rPr>
          <w:i/>
          <w:iCs/>
        </w:rPr>
        <w:t xml:space="preserve">SWEBOK: Guide to the Software Engineering Body of Knowledge</w:t>
      </w:r>
      <w:r>
        <w:t xml:space="preserve">. Version 3.0. IEEE, 2014.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LIU, Junwei et al. </w:t>
      </w:r>
      <w:r>
        <w:rPr>
          <w:i/>
          <w:iCs/>
        </w:rPr>
        <w:t xml:space="preserve">Large Language Model-Based Agents for Software Engineering: A Survey</w:t>
      </w:r>
      <w:r>
        <w:t xml:space="preserve"> [online]. arXiv preprint arXiv:2409.02977. 2024.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METR. </w:t>
      </w:r>
      <w:r>
        <w:rPr>
          <w:i/>
          <w:iCs/>
        </w:rPr>
        <w:t xml:space="preserve">Measuring the Impact of Early-2025 AI on Experienced Open-Source Developer Productivity</w:t>
      </w:r>
      <w:r>
        <w:t xml:space="preserve"> [online]. 2025.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2026-01-12T20:20:26.488Z</dcterms:created>
  <dcterms:modified xsi:type="dcterms:W3CDTF">2026-01-12T20:20:26.488Z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