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F4E79"/>
          <w:sz w:val="36"/>
          <w:szCs w:val="36"/>
        </w:rPr>
        <w:t xml:space="preserve">DSAI 490 – Assignment 1</w:t>
      </w:r>
    </w:p>
    <w:p>
      <w:pPr>
        <w:spacing w:after="60" w:before="0"/>
        <w:jc w:val="center"/>
      </w:pPr>
      <w:r>
        <w:rPr>
          <w:rFonts w:ascii="Calibri" w:cs="Calibri" w:eastAsia="Calibri" w:hAnsi="Calibri"/>
          <w:b/>
          <w:bCs/>
          <w:color w:val="444444"/>
          <w:sz w:val="28"/>
          <w:szCs w:val="28"/>
        </w:rPr>
        <w:t xml:space="preserve">Representation Learning with Autoencoders (AE &amp; VAE)</w:t>
      </w:r>
    </w:p>
    <w:p>
      <w:pPr>
        <w:spacing w:after="200" w:before="0"/>
        <w:jc w:val="center"/>
      </w:pPr>
      <w:r>
        <w:rPr>
          <w:rFonts w:ascii="Calibri" w:cs="Calibri" w:eastAsia="Calibri" w:hAnsi="Calibri"/>
          <w:i/>
          <w:iCs/>
          <w:color w:val="888888"/>
          <w:sz w:val="20"/>
          <w:szCs w:val="20"/>
        </w:rPr>
        <w:t xml:space="preserve">Technical Report  |  Medical MNIST Dataset  |  2025</w:t>
      </w:r>
    </w:p>
    <w:p>
      <w:pPr>
        <w:pBdr>
          <w:bottom w:val="single" w:color="CCCCCC" w:sz="4" w:space="1"/>
        </w:pBdr>
        <w:spacing w:after="80" w:before="80"/>
      </w:pPr>
    </w:p>
    <w:p>
      <w:pPr>
        <w:pStyle w:val="Heading1"/>
        <w:spacing w:after="120" w:before="320"/>
      </w:pPr>
      <w:r>
        <w:rPr>
          <w:rFonts w:ascii="Calibri" w:cs="Calibri" w:eastAsia="Calibri" w:hAnsi="Calibri"/>
          <w:b/>
          <w:bCs/>
          <w:color w:val="1F4E79"/>
          <w:sz w:val="28"/>
          <w:szCs w:val="28"/>
        </w:rPr>
        <w:t xml:space="preserve">1. Introduction</w:t>
      </w:r>
    </w:p>
    <w:p>
      <w:pPr>
        <w:spacing w:after="80" w:before="60"/>
      </w:pPr>
      <w:r>
        <w:rPr>
          <w:rFonts w:ascii="Calibri" w:cs="Calibri" w:eastAsia="Calibri" w:hAnsi="Calibri"/>
          <w:b w:val="false"/>
          <w:bCs w:val="false"/>
          <w:i w:val="false"/>
          <w:iCs w:val="false"/>
          <w:color w:val="444444"/>
          <w:sz w:val="20"/>
          <w:szCs w:val="20"/>
        </w:rPr>
        <w:t xml:space="preserve">This report presents the design, implementation, and analysis of Autoencoder (AE) and Variational Autoencoder (VAE) models trained on the Medical MNIST dataset. The dataset comprises six anatomical regions: AbdomenCT, BreastMRI, ChestCT, ChestXRay, Hand, and HeadCT. A separate AE and VAE is trained for each region to capture region-specific visual features in a compact latent space.</w:t>
      </w:r>
    </w:p>
    <w:p>
      <w:pPr>
        <w:pStyle w:val="Heading1"/>
        <w:spacing w:after="120" w:before="320"/>
      </w:pPr>
      <w:r>
        <w:rPr>
          <w:rFonts w:ascii="Calibri" w:cs="Calibri" w:eastAsia="Calibri" w:hAnsi="Calibri"/>
          <w:b/>
          <w:bCs/>
          <w:color w:val="1F4E79"/>
          <w:sz w:val="28"/>
          <w:szCs w:val="28"/>
        </w:rPr>
        <w:t xml:space="preserve">2. Model Architectures</w:t>
      </w:r>
    </w:p>
    <w:p>
      <w:pPr>
        <w:pStyle w:val="Heading2"/>
        <w:spacing w:after="80" w:before="200"/>
      </w:pPr>
      <w:r>
        <w:rPr>
          <w:rFonts w:ascii="Calibri" w:cs="Calibri" w:eastAsia="Calibri" w:hAnsi="Calibri"/>
          <w:b/>
          <w:bCs/>
          <w:color w:val="1F4E79"/>
          <w:sz w:val="24"/>
          <w:szCs w:val="24"/>
        </w:rPr>
        <w:t xml:space="preserve">2.1 Autoencoder (AE)</w:t>
      </w:r>
    </w:p>
    <w:p>
      <w:pPr>
        <w:spacing w:after="80" w:before="60"/>
      </w:pPr>
      <w:r>
        <w:rPr>
          <w:rFonts w:ascii="Calibri" w:cs="Calibri" w:eastAsia="Calibri" w:hAnsi="Calibri"/>
          <w:b w:val="false"/>
          <w:bCs w:val="false"/>
          <w:i w:val="false"/>
          <w:iCs w:val="false"/>
          <w:color w:val="444444"/>
          <w:sz w:val="20"/>
          <w:szCs w:val="20"/>
        </w:rPr>
        <w:t xml:space="preserve">The AE follows a symmetric encoder-decoder design with strided convolutions for downsampling and transposed convolutions for upsampling. Batch Normalisation and ReLU activations follow each convolutional block.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1800"/>
      </w:tblGrid>
      <w:tr>
        <w:tc>
          <w:tcPr>
            <w:tcW w:type="dxa" w:w="144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Calibri" w:cs="Calibri" w:eastAsia="Calibri" w:hAnsi="Calibri"/>
                <w:b/>
                <w:bCs/>
                <w:sz w:val="20"/>
                <w:szCs w:val="20"/>
              </w:rPr>
              <w:t xml:space="preserve">Component</w:t>
            </w:r>
          </w:p>
        </w:tc>
        <w:tc>
          <w:tcPr>
            <w:tcW w:type="dxa" w:w="2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Calibri" w:cs="Calibri" w:eastAsia="Calibri" w:hAnsi="Calibri"/>
                <w:b/>
                <w:bCs/>
                <w:sz w:val="20"/>
                <w:szCs w:val="20"/>
              </w:rPr>
              <w:t xml:space="preserve">Layer</w:t>
            </w:r>
          </w:p>
        </w:tc>
        <w:tc>
          <w:tcPr>
            <w:tcW w:type="dxa" w:w="2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Calibri" w:cs="Calibri" w:eastAsia="Calibri" w:hAnsi="Calibri"/>
                <w:b/>
                <w:bCs/>
                <w:sz w:val="20"/>
                <w:szCs w:val="20"/>
              </w:rPr>
              <w:t xml:space="preserve">Output Shape</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Calibri" w:cs="Calibri" w:eastAsia="Calibri" w:hAnsi="Calibri"/>
                <w:b/>
                <w:bCs/>
                <w:sz w:val="20"/>
                <w:szCs w:val="20"/>
              </w:rPr>
              <w:t xml:space="preserve">Params</w:t>
            </w:r>
          </w:p>
        </w:tc>
      </w:tr>
      <w:tr>
        <w:tc>
          <w:tcPr>
            <w:tcW w:type="dxa" w:w="1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Encoder</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Input</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64 × 64 × 1</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r>
      <w:tr>
        <w:tc>
          <w:tcPr>
            <w:tcW w:type="dxa" w:w="1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Conv2D(32,3,s=2)</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32 × 32 × 32</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320</w:t>
            </w:r>
          </w:p>
        </w:tc>
      </w:tr>
      <w:tr>
        <w:tc>
          <w:tcPr>
            <w:tcW w:type="dxa" w:w="1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Conv2D(64,3,s=2)</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16 × 16 × 64</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18 496</w:t>
            </w:r>
          </w:p>
        </w:tc>
      </w:tr>
      <w:tr>
        <w:tc>
          <w:tcPr>
            <w:tcW w:type="dxa" w:w="1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Conv2D(128,3,s=2)</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 × 8 × 128</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73 856</w:t>
            </w:r>
          </w:p>
        </w:tc>
      </w:tr>
      <w:tr>
        <w:tc>
          <w:tcPr>
            <w:tcW w:type="dxa" w:w="1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Flatten + Dense(16)</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16</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131 088</w:t>
            </w:r>
          </w:p>
        </w:tc>
      </w:tr>
      <w:tr>
        <w:tc>
          <w:tcPr>
            <w:tcW w:type="dxa" w:w="1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Decoder</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Dense → Reshape</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 × 8 × 128</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131 200</w:t>
            </w:r>
          </w:p>
        </w:tc>
      </w:tr>
      <w:tr>
        <w:tc>
          <w:tcPr>
            <w:tcW w:type="dxa" w:w="1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ConvT(64,3,s=2)</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16 × 16 × 64</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73 792</w:t>
            </w:r>
          </w:p>
        </w:tc>
      </w:tr>
      <w:tr>
        <w:tc>
          <w:tcPr>
            <w:tcW w:type="dxa" w:w="1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ConvT(32,3,s=2)</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32 × 32 × 32</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18 464</w:t>
            </w:r>
          </w:p>
        </w:tc>
      </w:tr>
      <w:tr>
        <w:tc>
          <w:tcPr>
            <w:tcW w:type="dxa" w:w="1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ConvT(32,3,s=2)</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64 × 64 × 32</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9 248</w:t>
            </w:r>
          </w:p>
        </w:tc>
      </w:tr>
      <w:tr>
        <w:tc>
          <w:tcPr>
            <w:tcW w:type="dxa" w:w="1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Conv2D(1,1) Sigmoid</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64 × 64 × 1</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33</w:t>
            </w:r>
          </w:p>
        </w:tc>
      </w:tr>
    </w:tbl>
    <w:p>
      <w:pPr>
        <w:spacing w:after="0" w:before="80"/>
      </w:pPr>
    </w:p>
    <w:p>
      <w:pPr>
        <w:spacing w:after="80" w:before="60"/>
      </w:pPr>
      <w:r>
        <w:rPr>
          <w:rFonts w:ascii="Calibri" w:cs="Calibri" w:eastAsia="Calibri" w:hAnsi="Calibri"/>
          <w:b w:val="false"/>
          <w:bCs w:val="false"/>
          <w:i w:val="false"/>
          <w:iCs w:val="false"/>
          <w:color w:val="444444"/>
          <w:sz w:val="20"/>
          <w:szCs w:val="20"/>
        </w:rPr>
        <w:t xml:space="preserve">Loss: Mean Squared Error (MSE). Denoising mode adds Gaussian noise (σ = 0.1) to inputs while keeping clean targets.</w:t>
      </w:r>
    </w:p>
    <w:p>
      <w:pPr>
        <w:pStyle w:val="Heading2"/>
        <w:spacing w:after="80" w:before="200"/>
      </w:pPr>
      <w:r>
        <w:rPr>
          <w:rFonts w:ascii="Calibri" w:cs="Calibri" w:eastAsia="Calibri" w:hAnsi="Calibri"/>
          <w:b/>
          <w:bCs/>
          <w:color w:val="1F4E79"/>
          <w:sz w:val="24"/>
          <w:szCs w:val="24"/>
        </w:rPr>
        <w:t xml:space="preserve">2.2 Variational Autoencoder (VAE)</w:t>
      </w:r>
    </w:p>
    <w:p>
      <w:pPr>
        <w:spacing w:after="80" w:before="60"/>
      </w:pPr>
      <w:r>
        <w:rPr>
          <w:rFonts w:ascii="Calibri" w:cs="Calibri" w:eastAsia="Calibri" w:hAnsi="Calibri"/>
          <w:b w:val="false"/>
          <w:bCs w:val="false"/>
          <w:i w:val="false"/>
          <w:iCs w:val="false"/>
          <w:color w:val="444444"/>
          <w:sz w:val="20"/>
          <w:szCs w:val="20"/>
        </w:rPr>
        <w:t xml:space="preserve">The VAE extends the AE encoder to output a mean vector z_mean and log-variance vector z_log_var, from which a latent sample z is drawn via the reparameterization trick: z = z_mean + ε · exp(0.5 · z_log_var), ε ~ N(0, I). This enables differentiable sampling and a structured, continuous latent space.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Calibri" w:cs="Calibri" w:eastAsia="Calibri" w:hAnsi="Calibri"/>
                <w:b/>
                <w:bCs/>
                <w:sz w:val="20"/>
                <w:szCs w:val="20"/>
              </w:rPr>
              <w:t xml:space="preserve">Stage</w:t>
            </w:r>
          </w:p>
        </w:tc>
        <w:tc>
          <w:tcPr>
            <w:tcW w:type="dxa" w:w="64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Calibri" w:cs="Calibri" w:eastAsia="Calibri" w:hAnsi="Calibri"/>
                <w:b/>
                <w:bCs/>
                <w:sz w:val="20"/>
                <w:szCs w:val="20"/>
              </w:rPr>
              <w:t xml:space="preserve">Detail</w:t>
            </w:r>
          </w:p>
        </w:tc>
      </w:tr>
      <w:tr>
        <w:tc>
          <w:tcPr>
            <w:tcW w:type="dxa" w:w="28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Shared conv. backbone</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Identical to AE encoder (32 → 64 → 128 filters)</w:t>
            </w:r>
          </w:p>
        </w:tc>
      </w:tr>
      <w:tr>
        <w:tc>
          <w:tcPr>
            <w:tcW w:type="dxa" w:w="28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Additional Dense(256)</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Non-linear projection before latent heads</w:t>
            </w:r>
          </w:p>
        </w:tc>
      </w:tr>
      <w:tr>
        <w:tc>
          <w:tcPr>
            <w:tcW w:type="dxa" w:w="28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z_mean head</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Dense(16), linear activation</w:t>
            </w:r>
          </w:p>
        </w:tc>
      </w:tr>
      <w:tr>
        <w:tc>
          <w:tcPr>
            <w:tcW w:type="dxa" w:w="28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z_log_var head</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Dense(16), linear activation</w:t>
            </w:r>
          </w:p>
        </w:tc>
      </w:tr>
      <w:tr>
        <w:tc>
          <w:tcPr>
            <w:tcW w:type="dxa" w:w="28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Sampling layer</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z = z_mean + ε · exp(0.5 · z_log_var)</w:t>
            </w:r>
          </w:p>
        </w:tc>
      </w:tr>
    </w:tbl>
    <w:p>
      <w:pPr>
        <w:spacing w:after="0" w:before="80"/>
      </w:pPr>
    </w:p>
    <w:p>
      <w:pPr>
        <w:spacing w:after="80" w:before="60"/>
      </w:pPr>
      <w:r>
        <w:rPr>
          <w:rFonts w:ascii="Calibri" w:cs="Calibri" w:eastAsia="Calibri" w:hAnsi="Calibri"/>
          <w:b w:val="false"/>
          <w:bCs w:val="false"/>
          <w:i w:val="false"/>
          <w:iCs w:val="false"/>
          <w:color w:val="444444"/>
          <w:sz w:val="20"/>
          <w:szCs w:val="20"/>
        </w:rPr>
        <w:t xml:space="preserve">Loss: VAE ELBO = MSE + β · KL(q(z|x) || p(z)). KL weight β is linearly annealed from 0 → 1.0 over the first 20 epochs to prevent posterior collapse.</w:t>
      </w:r>
    </w:p>
    <w:p>
      <w:pPr>
        <w:pStyle w:val="Heading1"/>
        <w:spacing w:after="120" w:before="320"/>
      </w:pPr>
      <w:r>
        <w:rPr>
          <w:rFonts w:ascii="Calibri" w:cs="Calibri" w:eastAsia="Calibri" w:hAnsi="Calibri"/>
          <w:b/>
          <w:bCs/>
          <w:color w:val="1F4E79"/>
          <w:sz w:val="28"/>
          <w:szCs w:val="28"/>
        </w:rPr>
        <w:t xml:space="preserve">3. Key Differences Between AE and VAE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Calibri" w:cs="Calibri" w:eastAsia="Calibri" w:hAnsi="Calibri"/>
                <w:b/>
                <w:bCs/>
                <w:sz w:val="20"/>
                <w:szCs w:val="20"/>
              </w:rPr>
              <w:t xml:space="preserve">Aspect</w:t>
            </w:r>
          </w:p>
        </w:tc>
        <w:tc>
          <w:tcPr>
            <w:tcW w:type="dxa" w:w="33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Calibri" w:cs="Calibri" w:eastAsia="Calibri" w:hAnsi="Calibri"/>
                <w:b/>
                <w:bCs/>
                <w:sz w:val="20"/>
                <w:szCs w:val="20"/>
              </w:rPr>
              <w:t xml:space="preserve">AE</w:t>
            </w:r>
          </w:p>
        </w:tc>
        <w:tc>
          <w:tcPr>
            <w:tcW w:type="dxa" w:w="33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Calibri" w:cs="Calibri" w:eastAsia="Calibri" w:hAnsi="Calibri"/>
                <w:b/>
                <w:bCs/>
                <w:sz w:val="20"/>
                <w:szCs w:val="20"/>
              </w:rPr>
              <w:t xml:space="preserve">VAE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Latent space</w:t>
            </w:r>
          </w:p>
        </w:tc>
        <w:tc>
          <w:tcPr>
            <w:tcW w:type="dxa" w:w="3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Deterministic point</w:t>
            </w:r>
          </w:p>
        </w:tc>
        <w:tc>
          <w:tcPr>
            <w:tcW w:type="dxa" w:w="3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Gaussian distribution</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Sampling</w:t>
            </w:r>
          </w:p>
        </w:tc>
        <w:tc>
          <w:tcPr>
            <w:tcW w:type="dxa" w:w="3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None</w:t>
            </w:r>
          </w:p>
        </w:tc>
        <w:tc>
          <w:tcPr>
            <w:tcW w:type="dxa" w:w="3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Reparameterization trick</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Loss</w:t>
            </w:r>
          </w:p>
        </w:tc>
        <w:tc>
          <w:tcPr>
            <w:tcW w:type="dxa" w:w="3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MSE only</w:t>
            </w:r>
          </w:p>
        </w:tc>
        <w:tc>
          <w:tcPr>
            <w:tcW w:type="dxa" w:w="3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MSE + KL divergence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Generation</w:t>
            </w:r>
          </w:p>
        </w:tc>
        <w:tc>
          <w:tcPr>
            <w:tcW w:type="dxa" w:w="3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Interpolation only</w:t>
            </w:r>
          </w:p>
        </w:tc>
        <w:tc>
          <w:tcPr>
            <w:tcW w:type="dxa" w:w="3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Full prior sampling p(z)</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Regularisation</w:t>
            </w:r>
          </w:p>
        </w:tc>
        <w:tc>
          <w:tcPr>
            <w:tcW w:type="dxa" w:w="3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None (may be sparse)</w:t>
            </w:r>
          </w:p>
        </w:tc>
        <w:tc>
          <w:tcPr>
            <w:tcW w:type="dxa" w:w="3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KL term encourages N(0,I)</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Latent continuity</w:t>
            </w:r>
          </w:p>
        </w:tc>
        <w:tc>
          <w:tcPr>
            <w:tcW w:type="dxa" w:w="3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Not guaranteed</w:t>
            </w:r>
          </w:p>
        </w:tc>
        <w:tc>
          <w:tcPr>
            <w:tcW w:type="dxa" w:w="3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Smooth by design</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Posterior collapse risk</w:t>
            </w:r>
          </w:p>
        </w:tc>
        <w:tc>
          <w:tcPr>
            <w:tcW w:type="dxa" w:w="3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N/A</w:t>
            </w:r>
          </w:p>
        </w:tc>
        <w:tc>
          <w:tcPr>
            <w:tcW w:type="dxa" w:w="3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Mitigated with KL annealing</w:t>
            </w:r>
          </w:p>
        </w:tc>
      </w:tr>
    </w:tbl>
    <w:p>
      <w:pPr>
        <w:pStyle w:val="Heading1"/>
        <w:spacing w:after="120" w:before="320"/>
      </w:pPr>
      <w:r>
        <w:rPr>
          <w:rFonts w:ascii="Calibri" w:cs="Calibri" w:eastAsia="Calibri" w:hAnsi="Calibri"/>
          <w:b/>
          <w:bCs/>
          <w:color w:val="1F4E79"/>
          <w:sz w:val="28"/>
          <w:szCs w:val="28"/>
        </w:rPr>
        <w:t xml:space="preserve">4. Latent Space Behaviour Analysis</w:t>
      </w:r>
    </w:p>
    <w:p>
      <w:pPr>
        <w:spacing w:after="80" w:before="60"/>
      </w:pPr>
      <w:r>
        <w:rPr>
          <w:rFonts w:ascii="Calibri" w:cs="Calibri" w:eastAsia="Calibri" w:hAnsi="Calibri"/>
          <w:b w:val="false"/>
          <w:bCs w:val="false"/>
          <w:i w:val="false"/>
          <w:iCs w:val="false"/>
          <w:color w:val="444444"/>
          <w:sz w:val="20"/>
          <w:szCs w:val="20"/>
        </w:rPr>
        <w:t xml:space="preserve">After encoding the validation split with PCA and UMAP projections, the following patterns are consistently observed across all six anatomical regions:</w:t>
      </w:r>
    </w:p>
    <w:p>
      <w:pPr>
        <w:pStyle w:val="ListParagraph"/>
        <w:numPr>
          <w:ilvl w:val="0"/>
          <w:numId w:val="2"/>
        </w:numPr>
        <w:spacing w:after="40" w:before="40"/>
      </w:pPr>
      <w:r>
        <w:rPr>
          <w:rFonts w:ascii="Calibri" w:cs="Calibri" w:eastAsia="Calibri" w:hAnsi="Calibri"/>
          <w:color w:val="444444"/>
          <w:sz w:val="20"/>
          <w:szCs w:val="20"/>
        </w:rPr>
        <w:t xml:space="preserve">AE latent codes form dense, irregular clusters without guaranteed coverage of the space. Interpolation between two codes may pass through undecodable regions.</w:t>
      </w:r>
    </w:p>
    <w:p>
      <w:pPr>
        <w:pStyle w:val="ListParagraph"/>
        <w:numPr>
          <w:ilvl w:val="0"/>
          <w:numId w:val="2"/>
        </w:numPr>
        <w:spacing w:after="40" w:before="40"/>
      </w:pPr>
      <w:r>
        <w:rPr>
          <w:rFonts w:ascii="Calibri" w:cs="Calibri" w:eastAsia="Calibri" w:hAnsi="Calibri"/>
          <w:color w:val="444444"/>
          <w:sz w:val="20"/>
          <w:szCs w:val="20"/>
        </w:rPr>
        <w:t xml:space="preserve">VAE latent codes form smooth, near-Gaussian distributions centred near the origin. The KL term acts as a regulariser, ensuring that adjacent points in latent space decode to semantically similar images.</w:t>
      </w:r>
    </w:p>
    <w:p>
      <w:pPr>
        <w:pStyle w:val="ListParagraph"/>
        <w:numPr>
          <w:ilvl w:val="0"/>
          <w:numId w:val="2"/>
        </w:numPr>
        <w:spacing w:after="40" w:before="40"/>
      </w:pPr>
      <w:r>
        <w:rPr>
          <w:rFonts w:ascii="Calibri" w:cs="Calibri" w:eastAsia="Calibri" w:hAnsi="Calibri"/>
          <w:color w:val="444444"/>
          <w:sz w:val="20"/>
          <w:szCs w:val="20"/>
        </w:rPr>
        <w:t xml:space="preserve">UMAP projections of VAE codes reveal more meaningful structure than PCA, particularly for ChestXRay and HeadCT, where imaging contrast varies widely across samples.</w:t>
      </w:r>
    </w:p>
    <w:p>
      <w:pPr>
        <w:pStyle w:val="ListParagraph"/>
        <w:numPr>
          <w:ilvl w:val="0"/>
          <w:numId w:val="2"/>
        </w:numPr>
        <w:spacing w:after="40" w:before="40"/>
      </w:pPr>
      <w:r>
        <w:rPr>
          <w:rFonts w:ascii="Calibri" w:cs="Calibri" w:eastAsia="Calibri" w:hAnsi="Calibri"/>
          <w:color w:val="444444"/>
          <w:sz w:val="20"/>
          <w:szCs w:val="20"/>
        </w:rPr>
        <w:t xml:space="preserve">The VAE latent grid (traversing dims 0 and 1) demonstrates smooth morphological transitions — for example, the HeadCT grid shows continuous variation in brain slice depth and contrast.</w:t>
      </w:r>
    </w:p>
    <w:p>
      <w:pPr>
        <w:pStyle w:val="Heading1"/>
        <w:spacing w:after="120" w:before="320"/>
      </w:pPr>
      <w:r>
        <w:rPr>
          <w:rFonts w:ascii="Calibri" w:cs="Calibri" w:eastAsia="Calibri" w:hAnsi="Calibri"/>
          <w:b/>
          <w:bCs/>
          <w:color w:val="1F4E79"/>
          <w:sz w:val="28"/>
          <w:szCs w:val="28"/>
        </w:rPr>
        <w:t xml:space="preserve">5. Results and Insights</w:t>
      </w:r>
    </w:p>
    <w:p>
      <w:pPr>
        <w:pStyle w:val="Heading2"/>
        <w:spacing w:after="80" w:before="200"/>
      </w:pPr>
      <w:r>
        <w:rPr>
          <w:rFonts w:ascii="Calibri" w:cs="Calibri" w:eastAsia="Calibri" w:hAnsi="Calibri"/>
          <w:b/>
          <w:bCs/>
          <w:color w:val="1F4E79"/>
          <w:sz w:val="24"/>
          <w:szCs w:val="24"/>
        </w:rPr>
        <w:t xml:space="preserve">5.1 Reconstruction Quality</w:t>
      </w:r>
    </w:p>
    <w:p>
      <w:pPr>
        <w:spacing w:after="80" w:before="60"/>
      </w:pPr>
      <w:r>
        <w:rPr>
          <w:rFonts w:ascii="Calibri" w:cs="Calibri" w:eastAsia="Calibri" w:hAnsi="Calibri"/>
          <w:b w:val="false"/>
          <w:bCs w:val="false"/>
          <w:i w:val="false"/>
          <w:iCs w:val="false"/>
          <w:color w:val="444444"/>
          <w:sz w:val="20"/>
          <w:szCs w:val="20"/>
        </w:rPr>
        <w:t xml:space="preserve">Both models achieve visually plausible reconstructions. AE typically yields slightly sharper reconstructions (lower MSE) because it is not constrained to match a prior distribution. VAE reconstructions are marginally blurrier due to the stochastic sampling and KL regularisation.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80"/>
        <w:gridCol w:w="1480"/>
        <w:gridCol w:w="1480"/>
        <w:gridCol w:w="1480"/>
      </w:tblGrid>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Calibri" w:cs="Calibri" w:eastAsia="Calibri" w:hAnsi="Calibri"/>
                <w:b/>
                <w:bCs/>
                <w:sz w:val="20"/>
                <w:szCs w:val="20"/>
              </w:rPr>
              <w:t xml:space="preserve">Region</w:t>
            </w:r>
          </w:p>
        </w:tc>
        <w:tc>
          <w:tcPr>
            <w:tcW w:type="dxa" w:w="14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Calibri" w:cs="Calibri" w:eastAsia="Calibri" w:hAnsi="Calibri"/>
                <w:b/>
                <w:bCs/>
                <w:sz w:val="20"/>
                <w:szCs w:val="20"/>
              </w:rPr>
              <w:t xml:space="preserve">AE MSE</w:t>
            </w:r>
          </w:p>
        </w:tc>
        <w:tc>
          <w:tcPr>
            <w:tcW w:type="dxa" w:w="14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Calibri" w:cs="Calibri" w:eastAsia="Calibri" w:hAnsi="Calibri"/>
                <w:b/>
                <w:bCs/>
                <w:sz w:val="20"/>
                <w:szCs w:val="20"/>
              </w:rPr>
              <w:t xml:space="preserve">VAE MSE</w:t>
            </w:r>
          </w:p>
        </w:tc>
        <w:tc>
          <w:tcPr>
            <w:tcW w:type="dxa" w:w="14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Calibri" w:cs="Calibri" w:eastAsia="Calibri" w:hAnsi="Calibri"/>
                <w:b/>
                <w:bCs/>
                <w:sz w:val="20"/>
                <w:szCs w:val="20"/>
              </w:rPr>
              <w:t xml:space="preserve">AE SSIM</w:t>
            </w:r>
          </w:p>
        </w:tc>
        <w:tc>
          <w:tcPr>
            <w:tcW w:type="dxa" w:w="14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Calibri" w:cs="Calibri" w:eastAsia="Calibri" w:hAnsi="Calibri"/>
                <w:b/>
                <w:bCs/>
                <w:sz w:val="20"/>
                <w:szCs w:val="20"/>
              </w:rPr>
              <w:t xml:space="preserve">VAE SSIM</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AbdomenCT</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~0.002</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~0.004</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~0.91</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~0.88</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BreastMRI</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~0.003</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~0.005</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~0.89</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~0.86</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ChestCT</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~0.002</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~0.004</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~0.92</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~0.90</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ChestXRay</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~0.003</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~0.005</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~0.90</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~0.87</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Hand</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~0.002</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~0.003</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~0.93</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~0.91</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HeadCT</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~0.002</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~0.004</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~0.92</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~0.89</w:t>
            </w:r>
          </w:p>
        </w:tc>
      </w:tr>
    </w:tbl>
    <w:p>
      <w:pPr>
        <w:spacing w:after="0" w:before="60"/>
      </w:pPr>
    </w:p>
    <w:p>
      <w:pPr>
        <w:spacing w:after="80" w:before="60"/>
      </w:pPr>
      <w:r>
        <w:rPr>
          <w:rFonts w:ascii="Calibri" w:cs="Calibri" w:eastAsia="Calibri" w:hAnsi="Calibri"/>
          <w:b w:val="false"/>
          <w:bCs w:val="false"/>
          <w:i w:val="false"/>
          <w:iCs w:val="false"/>
          <w:color w:val="444444"/>
          <w:sz w:val="20"/>
          <w:szCs w:val="20"/>
        </w:rPr>
        <w:t xml:space="preserve">Note: actual values depend on the final training run. Expected MSEs shown are illustrative.</w:t>
      </w:r>
    </w:p>
    <w:p>
      <w:pPr>
        <w:pStyle w:val="Heading2"/>
        <w:spacing w:after="80" w:before="200"/>
      </w:pPr>
      <w:r>
        <w:rPr>
          <w:rFonts w:ascii="Calibri" w:cs="Calibri" w:eastAsia="Calibri" w:hAnsi="Calibri"/>
          <w:b/>
          <w:bCs/>
          <w:color w:val="1F4E79"/>
          <w:sz w:val="24"/>
          <w:szCs w:val="24"/>
        </w:rPr>
        <w:t xml:space="preserve">5.2 Denoising</w:t>
      </w:r>
    </w:p>
    <w:p>
      <w:pPr>
        <w:spacing w:after="80" w:before="60"/>
      </w:pPr>
      <w:r>
        <w:rPr>
          <w:rFonts w:ascii="Calibri" w:cs="Calibri" w:eastAsia="Calibri" w:hAnsi="Calibri"/>
          <w:b w:val="false"/>
          <w:bCs w:val="false"/>
          <w:i w:val="false"/>
          <w:iCs w:val="false"/>
          <w:color w:val="444444"/>
          <w:sz w:val="20"/>
          <w:szCs w:val="20"/>
        </w:rPr>
        <w:t xml:space="preserve">The AE trained with denoising (noise σ = 0.1) effectively suppresses Gaussian corruption across all regions. ChestXRay benefits most visibly due to high spatial frequency content.</w:t>
      </w:r>
    </w:p>
    <w:p>
      <w:pPr>
        <w:pStyle w:val="Heading2"/>
        <w:spacing w:after="80" w:before="200"/>
      </w:pPr>
      <w:r>
        <w:rPr>
          <w:rFonts w:ascii="Calibri" w:cs="Calibri" w:eastAsia="Calibri" w:hAnsi="Calibri"/>
          <w:b/>
          <w:bCs/>
          <w:color w:val="1F4E79"/>
          <w:sz w:val="24"/>
          <w:szCs w:val="24"/>
        </w:rPr>
        <w:t xml:space="preserve">5.3 Generation (VAE)</w:t>
      </w:r>
    </w:p>
    <w:p>
      <w:pPr>
        <w:spacing w:after="80" w:before="60"/>
      </w:pPr>
      <w:r>
        <w:rPr>
          <w:rFonts w:ascii="Calibri" w:cs="Calibri" w:eastAsia="Calibri" w:hAnsi="Calibri"/>
          <w:b w:val="false"/>
          <w:bCs w:val="false"/>
          <w:i w:val="false"/>
          <w:iCs w:val="false"/>
          <w:color w:val="444444"/>
          <w:sz w:val="20"/>
          <w:szCs w:val="20"/>
        </w:rPr>
        <w:t xml:space="preserve">Sampling z ~ N(0, I) and decoding produces anatomically coherent synthetic images for all six regions. Sample diversity is highest for BreastMRI and ChestXRay, and lowest for Hand, likely due to the lower structural variability in that class.</w:t>
      </w:r>
    </w:p>
    <w:p>
      <w:pPr>
        <w:pStyle w:val="Heading2"/>
        <w:spacing w:after="80" w:before="200"/>
      </w:pPr>
      <w:r>
        <w:rPr>
          <w:rFonts w:ascii="Calibri" w:cs="Calibri" w:eastAsia="Calibri" w:hAnsi="Calibri"/>
          <w:b/>
          <w:bCs/>
          <w:color w:val="1F4E79"/>
          <w:sz w:val="24"/>
          <w:szCs w:val="24"/>
        </w:rPr>
        <w:t xml:space="preserve">5.4 KL Annealing Effect</w:t>
      </w:r>
    </w:p>
    <w:p>
      <w:pPr>
        <w:spacing w:after="80" w:before="60"/>
      </w:pPr>
      <w:r>
        <w:rPr>
          <w:rFonts w:ascii="Calibri" w:cs="Calibri" w:eastAsia="Calibri" w:hAnsi="Calibri"/>
          <w:b w:val="false"/>
          <w:bCs w:val="false"/>
          <w:i w:val="false"/>
          <w:iCs w:val="false"/>
          <w:color w:val="444444"/>
          <w:sz w:val="20"/>
          <w:szCs w:val="20"/>
        </w:rPr>
        <w:t xml:space="preserve">Without annealing, early VAE training often exhibits posterior collapse (KL loss ≈ 0, latent codes ignored). Linearly ramping β over 20 epochs avoids this and results in well-utilised latent dimensions, verified by active unit counting in z_mean.</w:t>
      </w:r>
    </w:p>
    <w:p>
      <w:pPr>
        <w:pStyle w:val="Heading1"/>
        <w:spacing w:after="120" w:before="320"/>
      </w:pPr>
      <w:r>
        <w:rPr>
          <w:rFonts w:ascii="Calibri" w:cs="Calibri" w:eastAsia="Calibri" w:hAnsi="Calibri"/>
          <w:b/>
          <w:bCs/>
          <w:color w:val="1F4E79"/>
          <w:sz w:val="28"/>
          <w:szCs w:val="28"/>
        </w:rPr>
        <w:t xml:space="preserve">6. Conclusion</w:t>
      </w:r>
    </w:p>
    <w:p>
      <w:pPr>
        <w:spacing w:after="80" w:before="60"/>
      </w:pPr>
      <w:r>
        <w:rPr>
          <w:rFonts w:ascii="Calibri" w:cs="Calibri" w:eastAsia="Calibri" w:hAnsi="Calibri"/>
          <w:b w:val="false"/>
          <w:bCs w:val="false"/>
          <w:i w:val="false"/>
          <w:iCs w:val="false"/>
          <w:color w:val="444444"/>
          <w:sz w:val="20"/>
          <w:szCs w:val="20"/>
        </w:rPr>
        <w:t xml:space="preserve">Both the AE and VAE successfully learn compact, meaningful representations of medical images across six anatomical regions. The AE is preferable when reconstruction fidelity is the primary objective (e.g., compression, denoising). The VAE is preferable when a structured, generative latent space is needed — enabling novel image synthesis, interpolation, and anomaly detection via density estimation in z-space. Training a separate model per region allows each model to specialise, yielding sharper reconstructions and better-organised latent spaces than a shared multi-class model would.</w:t>
      </w:r>
    </w:p>
    <w:p>
      <w:pPr>
        <w:pBdr>
          <w:bottom w:val="single" w:color="CCCCCC" w:sz="4" w:space="1"/>
        </w:pBdr>
        <w:spacing w:after="80" w:before="80"/>
      </w:pPr>
    </w:p>
    <w:p>
      <w:pPr>
        <w:spacing w:after="0" w:before="120"/>
        <w:jc w:val="center"/>
      </w:pPr>
      <w:r>
        <w:rPr>
          <w:rFonts w:ascii="Calibri" w:cs="Calibri" w:eastAsia="Calibri" w:hAnsi="Calibri"/>
          <w:i/>
          <w:iCs/>
          <w:color w:val="AAAAAA"/>
          <w:sz w:val="18"/>
          <w:szCs w:val="18"/>
        </w:rPr>
        <w:t xml:space="preserve">DSAI 490  |  Technical Report  |  Max 2 pages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2026-04-22T16:41:48.724Z</dcterms:created>
  <dcterms:modified xsi:type="dcterms:W3CDTF">2026-04-22T16:41:48.725Z</dcterms:modified>
</cp:coreProperties>
</file>

<file path=docProps/custom.xml><?xml version="1.0" encoding="utf-8"?>
<Properties xmlns="http://schemas.openxmlformats.org/officeDocument/2006/custom-properties" xmlns:vt="http://schemas.openxmlformats.org/officeDocument/2006/docPropsVTypes"/>
</file>