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Transaction Processing Code Trace</w:t>
      </w:r>
    </w:p>
    <w:p>
      <w:pPr>
        <w:jc w:val="center"/>
      </w:pPr>
      <w:r>
        <w:rPr>
          <w:b/>
          <w:sz w:val="20"/>
        </w:rPr>
        <w:t>CSAI 302  |  LAB 7  |  65 minutes  |  Individual supervised work</w:t>
      </w:r>
    </w:p>
    <w:p>
      <w:r>
        <w:t>Student name: ____________________________________     Student ID: _______________________     Section / date: _______________________</w:t>
      </w:r>
    </w:p>
    <w:p>
      <w:pPr>
        <w:pStyle w:val="Heading2"/>
      </w:pPr>
      <w:r>
        <w:t>Instructions</w:t>
      </w:r>
    </w:p>
    <w:p>
      <w:r>
        <w:t>Work independently. Generative AI and code assistants are not allowed during this supervised activity. Do not write or edit program code. Use the lab source and standard Python documentation only if your instructor permits them.</w:t>
      </w:r>
    </w:p>
    <w:p>
      <w:r>
        <w:t>For each trace, write your prediction before running the reference code. Verification is allowed only after your prediction is recorded. Mark any correction and explain what caused the difference. Explain reasoning in your own words; an oral check may ask you to walk through one answer.</w:t>
      </w:r>
    </w:p>
    <w:p>
      <w:r>
        <w:t>Use the actual identifiers and behavior in labs/lab07/mvcc.py and labs/lab07/deadlock_demo.py. The Python simulator captures a snapshot at begin(); do not assume that this matches PostgreSQL snapshot timing.</w:t>
      </w:r>
    </w:p>
    <w:p>
      <w:pPr>
        <w:spacing w:after="20"/>
      </w:pPr>
      <w:r>
        <w:rPr>
          <w:b/>
          <w:color w:val="46668F"/>
          <w:sz w:val="16"/>
        </w:rPr>
        <w:t>Task 1  |  10 points</w:t>
      </w:r>
    </w:p>
    <w:p>
      <w:pPr>
        <w:pStyle w:val="Heading1"/>
      </w:pPr>
      <w:r>
        <w:t>Map the reference code</w:t>
      </w:r>
    </w:p>
    <w:p>
      <w:r>
        <w:t>For each item, state its responsibility, the important state or input it uses, and one caller or next step. Then write the call flow from begin through commit.</w:t>
      </w:r>
    </w:p>
    <w:tbl>
      <w:tblPr>
        <w:tblStyle w:val="TableGrid"/>
        <w:tblW w:type="auto" w:w="0"/>
        <w:tblLayout w:type="fixed"/>
        <w:tblLook w:firstColumn="1" w:firstRow="1" w:lastColumn="0" w:lastRow="0" w:noHBand="0" w:noVBand="1" w:val="04A0"/>
      </w:tblPr>
      <w:tblGrid>
        <w:gridCol w:w="5112"/>
        <w:gridCol w:w="5112"/>
        <w:gridCol w:w="5112"/>
      </w:tblGrid>
      <w:tr>
        <w:trPr>
          <w:cantSplit/>
        </w:trPr>
        <w:tc>
          <w:tcPr>
            <w:tcW w:type="dxa" w:w="2376"/>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Type or function</w:t>
            </w:r>
          </w:p>
        </w:tc>
        <w:tc>
          <w:tcPr>
            <w:tcW w:type="dxa" w:w="6264"/>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Responsibility and key state / input</w:t>
            </w:r>
          </w:p>
        </w:tc>
        <w:tc>
          <w:tcPr>
            <w:tcW w:type="dxa" w:w="6264"/>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Caller or next step</w:t>
            </w:r>
          </w:p>
        </w:tc>
      </w:tr>
      <w:tr>
        <w:trPr>
          <w:cantSplit/>
        </w:trPr>
        <w:tc>
          <w:tcPr>
            <w:tcW w:type="dxa" w:w="2376"/>
            <w:tcMar>
              <w:top w:w="70" w:type="dxa"/>
              <w:start w:w="75" w:type="dxa"/>
              <w:bottom w:w="70" w:type="dxa"/>
              <w:end w:w="75" w:type="dxa"/>
            </w:tcMar>
            <w:vAlign w:val="center"/>
          </w:tcPr>
          <w:p>
            <w:pPr>
              <w:spacing w:after="20" w:before="0" w:line="240" w:lineRule="auto"/>
            </w:pPr>
            <w:r>
              <w:rPr>
                <w:rFonts w:ascii="Aptos" w:hAnsi="Aptos"/>
                <w:color w:val="232F3E"/>
                <w:sz w:val="16"/>
              </w:rPr>
              <w:t>Version</w:t>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r>
      <w:tr>
        <w:trPr>
          <w:cantSplit/>
        </w:trPr>
        <w:tc>
          <w:tcPr>
            <w:tcW w:type="dxa" w:w="2376"/>
            <w:tcMar>
              <w:top w:w="70" w:type="dxa"/>
              <w:start w:w="75" w:type="dxa"/>
              <w:bottom w:w="70" w:type="dxa"/>
              <w:end w:w="75" w:type="dxa"/>
            </w:tcMar>
            <w:vAlign w:val="center"/>
            <w:shd w:fill="F3F6FA"/>
          </w:tcPr>
          <w:p>
            <w:pPr>
              <w:spacing w:after="20" w:before="0" w:line="240" w:lineRule="auto"/>
            </w:pPr>
            <w:r>
              <w:rPr>
                <w:rFonts w:ascii="Aptos" w:hAnsi="Aptos"/>
                <w:color w:val="232F3E"/>
                <w:sz w:val="16"/>
              </w:rPr>
              <w:t>Transaction</w:t>
            </w:r>
          </w:p>
        </w:tc>
        <w:tc>
          <w:tcPr>
            <w:tcW w:type="dxa" w:w="6264"/>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6264"/>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r>
      <w:tr>
        <w:trPr>
          <w:cantSplit/>
        </w:trPr>
        <w:tc>
          <w:tcPr>
            <w:tcW w:type="dxa" w:w="2376"/>
            <w:tcMar>
              <w:top w:w="70" w:type="dxa"/>
              <w:start w:w="75" w:type="dxa"/>
              <w:bottom w:w="70" w:type="dxa"/>
              <w:end w:w="75" w:type="dxa"/>
            </w:tcMar>
            <w:vAlign w:val="center"/>
          </w:tcPr>
          <w:p>
            <w:pPr>
              <w:spacing w:after="20" w:before="0" w:line="240" w:lineRule="auto"/>
            </w:pPr>
            <w:r>
              <w:rPr>
                <w:rFonts w:ascii="Aptos" w:hAnsi="Aptos"/>
                <w:color w:val="232F3E"/>
                <w:sz w:val="16"/>
              </w:rPr>
              <w:t>MiniMVCC.read()</w:t>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r>
      <w:tr>
        <w:trPr>
          <w:cantSplit/>
        </w:trPr>
        <w:tc>
          <w:tcPr>
            <w:tcW w:type="dxa" w:w="2376"/>
            <w:tcMar>
              <w:top w:w="70" w:type="dxa"/>
              <w:start w:w="75" w:type="dxa"/>
              <w:bottom w:w="70" w:type="dxa"/>
              <w:end w:w="75" w:type="dxa"/>
            </w:tcMar>
            <w:vAlign w:val="center"/>
            <w:shd w:fill="F3F6FA"/>
          </w:tcPr>
          <w:p>
            <w:pPr>
              <w:spacing w:after="20" w:before="0" w:line="240" w:lineRule="auto"/>
            </w:pPr>
            <w:r>
              <w:rPr>
                <w:rFonts w:ascii="Aptos" w:hAnsi="Aptos"/>
                <w:color w:val="232F3E"/>
                <w:sz w:val="16"/>
              </w:rPr>
              <w:t>MiniMVCC.commit()</w:t>
            </w:r>
          </w:p>
        </w:tc>
        <w:tc>
          <w:tcPr>
            <w:tcW w:type="dxa" w:w="6264"/>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6264"/>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r>
      <w:tr>
        <w:trPr>
          <w:cantSplit/>
        </w:trPr>
        <w:tc>
          <w:tcPr>
            <w:tcW w:type="dxa" w:w="2376"/>
            <w:tcMar>
              <w:top w:w="70" w:type="dxa"/>
              <w:start w:w="75" w:type="dxa"/>
              <w:bottom w:w="70" w:type="dxa"/>
              <w:end w:w="75" w:type="dxa"/>
            </w:tcMar>
            <w:vAlign w:val="center"/>
          </w:tcPr>
          <w:p>
            <w:pPr>
              <w:spacing w:after="20" w:before="0" w:line="240" w:lineRule="auto"/>
            </w:pPr>
            <w:r>
              <w:rPr>
                <w:rFonts w:ascii="Aptos" w:hAnsi="Aptos"/>
                <w:color w:val="232F3E"/>
                <w:sz w:val="16"/>
              </w:rPr>
              <w:t>has_cycle()</w:t>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6264"/>
            <w:tcMar>
              <w:top w:w="70" w:type="dxa"/>
              <w:start w:w="75" w:type="dxa"/>
              <w:bottom w:w="70" w:type="dxa"/>
              <w:end w:w="75" w:type="dxa"/>
            </w:tcMar>
            <w:vAlign w:val="center"/>
          </w:tcPr>
          <w:p>
            <w:pPr>
              <w:spacing w:after="20" w:before="0" w:line="240" w:lineRule="auto"/>
            </w:pPr>
            <w:r>
              <w:rPr>
                <w:rFonts w:ascii="Aptos" w:hAnsi="Aptos"/>
                <w:color w:val="232F3E"/>
                <w:sz w:val="16"/>
              </w:rPr>
            </w:r>
          </w:p>
        </w:tc>
      </w:tr>
    </w:tbl>
    <w:p>
      <w:r>
        <w:t>Call flow: _________________________________________________________________________________________________________________________________</w:t>
      </w:r>
    </w:p>
    <w:p>
      <w:r>
        <w:br w:type="page"/>
      </w:r>
    </w:p>
    <w:p>
      <w:pPr>
        <w:spacing w:after="20"/>
      </w:pPr>
      <w:r>
        <w:rPr>
          <w:b/>
          <w:color w:val="46668F"/>
          <w:sz w:val="16"/>
        </w:rPr>
        <w:t>Task 2  |  30 points</w:t>
      </w:r>
    </w:p>
    <w:p>
      <w:pPr>
        <w:pStyle w:val="Heading1"/>
      </w:pPr>
      <w:r>
        <w:t>Trace two overlapping snapshots</w:t>
      </w:r>
    </w:p>
    <w:p>
      <w:r>
        <w:t>Use the exact fixture below. Both transactions begin at sequence 0. Record the state after every call. For each read of A, identify the visible committed version or the transaction-local write.</w:t>
      </w:r>
    </w:p>
    <w:p>
      <w:pPr>
        <w:spacing w:before="40" w:after="100"/>
        <w:ind w:left="173" w:right="173"/>
        <w:shd w:fill="F2F4F7"/>
      </w:pPr>
      <w:r>
        <w:rPr>
          <w:rFonts w:ascii="Consolas" w:hAnsi="Consolas"/>
          <w:color w:val="2A3949"/>
          <w:sz w:val="16"/>
        </w:rPr>
        <w:t>store = MiniMVCC({"A": 100, "B": 50})</w:t>
        <w:br/>
        <w:t>t1 = store.begin(); t2 = store.begin()</w:t>
        <w:br/>
        <w:t>store.read(t1, "A")</w:t>
        <w:br/>
        <w:t>store.write(t1, "A", 80)</w:t>
        <w:br/>
        <w:t>store.read(t1, "A"); store.read(t2, "A")</w:t>
        <w:br/>
        <w:t>store.commit(t1)</w:t>
        <w:br/>
        <w:t>store.read(t2, "A")</w:t>
        <w:br/>
        <w:t>t3 = store.begin(); store.read(t3, "A")</w:t>
        <w:br/>
        <w:t>store.commit(t2); store.commit(t3)</w:t>
      </w:r>
    </w:p>
    <w:tbl>
      <w:tblPr>
        <w:tblStyle w:val="TableGrid"/>
        <w:tblW w:type="auto" w:w="0"/>
        <w:tblLayout w:type="fixed"/>
        <w:tblLook w:firstColumn="1" w:firstRow="1" w:lastColumn="0" w:lastRow="0" w:noHBand="0" w:noVBand="1" w:val="04A0"/>
      </w:tblPr>
      <w:tblGrid>
        <w:gridCol w:w="1917"/>
        <w:gridCol w:w="1917"/>
        <w:gridCol w:w="1917"/>
        <w:gridCol w:w="1917"/>
        <w:gridCol w:w="1917"/>
        <w:gridCol w:w="1917"/>
        <w:gridCol w:w="1917"/>
        <w:gridCol w:w="1917"/>
      </w:tblGrid>
      <w:tr>
        <w:trPr>
          <w:cantSplit/>
        </w:trPr>
        <w:tc>
          <w:tcPr>
            <w:tcW w:type="dxa" w:w="1728"/>
            <w:tcMar>
              <w:top w:w="70" w:type="dxa"/>
              <w:start w:w="75" w:type="dxa"/>
              <w:bottom w:w="70" w:type="dxa"/>
              <w:end w:w="75" w:type="dxa"/>
            </w:tcMar>
            <w:vAlign w:val="center"/>
            <w:shd w:fill="17365D"/>
          </w:tcPr>
          <w:p>
            <w:r>
              <w:t>Step</w:t>
            </w:r>
          </w:p>
        </w:tc>
        <w:tc>
          <w:tcPr>
            <w:tcW w:type="dxa" w:w="1008"/>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Tx</w:t>
            </w:r>
          </w:p>
        </w:tc>
        <w:tc>
          <w:tcPr>
            <w:tcW w:type="dxa" w:w="1152"/>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Snapshot</w:t>
            </w:r>
          </w:p>
        </w:tc>
        <w:tc>
          <w:tcPr>
            <w:tcW w:type="dxa" w:w="2088"/>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Pending writes</w:t>
            </w:r>
          </w:p>
        </w:tc>
        <w:tc>
          <w:tcPr>
            <w:tcW w:type="dxa" w:w="3456"/>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Visible committed version</w:t>
            </w:r>
          </w:p>
        </w:tc>
        <w:tc>
          <w:tcPr>
            <w:tcW w:type="dxa" w:w="1872"/>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Read result</w:t>
            </w:r>
          </w:p>
        </w:tc>
        <w:tc>
          <w:tcPr>
            <w:tcW w:type="dxa" w:w="1368"/>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Commit seq</w:t>
            </w:r>
          </w:p>
        </w:tc>
        <w:tc>
          <w:tcPr>
            <w:tcW w:type="dxa" w:w="2304"/>
            <w:tcMar>
              <w:top w:w="70" w:type="dxa"/>
              <w:start w:w="75" w:type="dxa"/>
              <w:bottom w:w="70" w:type="dxa"/>
              <w:end w:w="75" w:type="dxa"/>
            </w:tcMar>
            <w:vAlign w:val="center"/>
            <w:shd w:fill="17365D"/>
          </w:tcPr>
          <w:p>
            <w:pPr>
              <w:spacing w:after="20" w:before="0" w:line="240" w:lineRule="auto"/>
            </w:pPr>
            <w:r>
              <w:rPr>
                <w:rFonts w:ascii="Aptos" w:hAnsi="Aptos"/>
                <w:b/>
                <w:color w:val="FFFFFF"/>
                <w:sz w:val="14"/>
              </w:rPr>
              <w:t>Status</w:t>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1 begin T1</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T1</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2 begin T2</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T2</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3 read A</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T1</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4 write A=80</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T1</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5 read A</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T1</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6 read A</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T2</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7 commit</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T1</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8 read A</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T2</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9 begin T3</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T3</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10 read A</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T3</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tcPr>
          <w:p>
            <w:pPr>
              <w:spacing w:after="20" w:before="0" w:line="240" w:lineRule="auto"/>
            </w:pPr>
            <w:r>
              <w:rPr>
                <w:rFonts w:ascii="Aptos" w:hAnsi="Aptos"/>
                <w:color w:val="232F3E"/>
                <w:sz w:val="14"/>
              </w:rPr>
              <w:t>11 commit</w:t>
            </w:r>
          </w:p>
        </w:tc>
        <w:tc>
          <w:tcPr>
            <w:tcW w:type="dxa" w:w="1008"/>
            <w:tcMar>
              <w:top w:w="70" w:type="dxa"/>
              <w:start w:w="75" w:type="dxa"/>
              <w:bottom w:w="70" w:type="dxa"/>
              <w:end w:w="75" w:type="dxa"/>
            </w:tcMar>
            <w:vAlign w:val="center"/>
          </w:tcPr>
          <w:p>
            <w:pPr>
              <w:spacing w:after="20" w:before="0" w:line="240" w:lineRule="auto"/>
            </w:pPr>
            <w:r>
              <w:rPr>
                <w:rFonts w:ascii="Aptos" w:hAnsi="Aptos"/>
                <w:color w:val="232F3E"/>
                <w:sz w:val="14"/>
              </w:rPr>
              <w:t>T2</w:t>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tcPr>
          <w:p>
            <w:pPr>
              <w:spacing w:after="20" w:before="0" w:line="240" w:lineRule="auto"/>
            </w:pPr>
            <w:r>
              <w:rPr>
                <w:rFonts w:ascii="Aptos" w:hAnsi="Aptos"/>
                <w:color w:val="232F3E"/>
                <w:sz w:val="14"/>
              </w:rPr>
            </w:r>
          </w:p>
        </w:tc>
      </w:tr>
      <w:tr>
        <w:trPr>
          <w:cantSplit/>
        </w:trPr>
        <w:tc>
          <w:tcPr>
            <w:tcW w:type="dxa" w:w="1728"/>
            <w:tcMar>
              <w:top w:w="70" w:type="dxa"/>
              <w:start w:w="75" w:type="dxa"/>
              <w:bottom w:w="70" w:type="dxa"/>
              <w:end w:w="75" w:type="dxa"/>
            </w:tcMar>
            <w:vAlign w:val="center"/>
            <w:shd w:fill="F3F6FA"/>
          </w:tcPr>
          <w:p>
            <w:pPr>
              <w:spacing w:after="20" w:before="0" w:line="240" w:lineRule="auto"/>
            </w:pPr>
            <w:r>
              <w:rPr>
                <w:rFonts w:ascii="Aptos" w:hAnsi="Aptos"/>
                <w:color w:val="232F3E"/>
                <w:sz w:val="14"/>
              </w:rPr>
              <w:t>12 commit</w:t>
            </w:r>
          </w:p>
        </w:tc>
        <w:tc>
          <w:tcPr>
            <w:tcW w:type="dxa" w:w="1008"/>
            <w:tcMar>
              <w:top w:w="70" w:type="dxa"/>
              <w:start w:w="75" w:type="dxa"/>
              <w:bottom w:w="70" w:type="dxa"/>
              <w:end w:w="75" w:type="dxa"/>
            </w:tcMar>
            <w:vAlign w:val="center"/>
            <w:shd w:fill="F3F6FA"/>
          </w:tcPr>
          <w:p>
            <w:pPr>
              <w:spacing w:after="20" w:before="0" w:line="240" w:lineRule="auto"/>
            </w:pPr>
            <w:r>
              <w:rPr>
                <w:rFonts w:ascii="Aptos" w:hAnsi="Aptos"/>
                <w:color w:val="232F3E"/>
                <w:sz w:val="14"/>
              </w:rPr>
              <w:t>T3</w:t>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08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3456"/>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1368"/>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c>
          <w:tcPr>
            <w:tcW w:type="dxa" w:w="2304"/>
            <w:tcMar>
              <w:top w:w="70" w:type="dxa"/>
              <w:start w:w="75" w:type="dxa"/>
              <w:bottom w:w="70" w:type="dxa"/>
              <w:end w:w="75" w:type="dxa"/>
            </w:tcMar>
            <w:vAlign w:val="center"/>
            <w:shd w:fill="F3F6FA"/>
          </w:tcPr>
          <w:p>
            <w:pPr>
              <w:spacing w:after="20" w:before="0" w:line="240" w:lineRule="auto"/>
            </w:pPr>
            <w:r>
              <w:rPr>
                <w:rFonts w:ascii="Aptos" w:hAnsi="Aptos"/>
                <w:color w:val="232F3E"/>
                <w:sz w:val="14"/>
              </w:rPr>
            </w:r>
          </w:p>
        </w:tc>
      </w:tr>
    </w:tbl>
    <w:p>
      <w:r>
        <w:t>Which read result surprised you, if any? Explain using the saved snapshot and the version history.</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r>
        <w:br w:type="page"/>
      </w:r>
    </w:p>
    <w:p>
      <w:pPr>
        <w:spacing w:after="20"/>
      </w:pPr>
      <w:r>
        <w:rPr>
          <w:b/>
          <w:color w:val="46668F"/>
          <w:sz w:val="16"/>
        </w:rPr>
        <w:t>Task 3  |  20 points</w:t>
      </w:r>
    </w:p>
    <w:p>
      <w:pPr>
        <w:pStyle w:val="Heading1"/>
      </w:pPr>
      <w:r>
        <w:t>Explain the code fragments</w:t>
      </w:r>
    </w:p>
    <w:p>
      <w:r>
        <w:t>For each excerpt, identify the condition or state change it represents. Explain why it is needed and what incorrect behavior could occur if it were removed. Function names are shown; line numbers are not required.</w:t>
      </w:r>
    </w:p>
    <w:tbl>
      <w:tblPr>
        <w:tblStyle w:val="TableGrid"/>
        <w:tblW w:type="auto" w:w="0"/>
        <w:tblLayout w:type="fixed"/>
        <w:tblLook w:firstColumn="1" w:firstRow="1" w:lastColumn="0" w:lastRow="0" w:noHBand="0" w:noVBand="1" w:val="04A0"/>
      </w:tblPr>
      <w:tblGrid>
        <w:gridCol w:w="5112"/>
        <w:gridCol w:w="5112"/>
        <w:gridCol w:w="5112"/>
      </w:tblGrid>
      <w:tr>
        <w:trPr>
          <w:cantSplit/>
        </w:trPr>
        <w:tc>
          <w:tcPr>
            <w:tcW w:type="dxa" w:w="2160"/>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Function</w:t>
            </w:r>
          </w:p>
        </w:tc>
        <w:tc>
          <w:tcPr>
            <w:tcW w:type="dxa" w:w="5040"/>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Actual code excerpt</w:t>
            </w:r>
          </w:p>
        </w:tc>
        <w:tc>
          <w:tcPr>
            <w:tcW w:type="dxa" w:w="7848"/>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Your explanation</w:t>
            </w:r>
          </w:p>
        </w:tc>
      </w:tr>
      <w:tr>
        <w:trPr>
          <w:cantSplit/>
        </w:trPr>
        <w:tc>
          <w:tcPr>
            <w:tcW w:type="dxa" w:w="2160"/>
            <w:tcMar>
              <w:top w:w="70" w:type="dxa"/>
              <w:start w:w="75" w:type="dxa"/>
              <w:bottom w:w="70" w:type="dxa"/>
              <w:end w:w="75" w:type="dxa"/>
            </w:tcMar>
            <w:vAlign w:val="center"/>
          </w:tcPr>
          <w:p>
            <w:pPr>
              <w:spacing w:after="20" w:before="0" w:line="240" w:lineRule="auto"/>
            </w:pPr>
            <w:r>
              <w:rPr>
                <w:rFonts w:ascii="Aptos" w:hAnsi="Aptos"/>
                <w:color w:val="232F3E"/>
                <w:sz w:val="15"/>
              </w:rPr>
              <w:t>MiniMVCC.read()</w:t>
            </w:r>
          </w:p>
        </w:tc>
        <w:tc>
          <w:tcPr>
            <w:tcW w:type="dxa" w:w="5040"/>
            <w:tcMar>
              <w:top w:w="70" w:type="dxa"/>
              <w:start w:w="75" w:type="dxa"/>
              <w:bottom w:w="70" w:type="dxa"/>
              <w:end w:w="75" w:type="dxa"/>
            </w:tcMar>
            <w:vAlign w:val="center"/>
          </w:tcPr>
          <w:p>
            <w:pPr>
              <w:spacing w:after="20" w:before="0" w:line="240" w:lineRule="auto"/>
            </w:pPr>
            <w:r>
              <w:rPr>
                <w:rFonts w:ascii="Aptos" w:hAnsi="Aptos"/>
                <w:color w:val="232F3E"/>
                <w:sz w:val="15"/>
              </w:rPr>
              <w:t>if key in transaction.pending_writes:</w:t>
              <w:br/>
              <w:t xml:space="preserve">    return transaction.pending_writes[key]</w:t>
            </w:r>
          </w:p>
        </w:tc>
        <w:tc>
          <w:tcPr>
            <w:tcW w:type="dxa" w:w="7848"/>
            <w:tcMar>
              <w:top w:w="70" w:type="dxa"/>
              <w:start w:w="75" w:type="dxa"/>
              <w:bottom w:w="70" w:type="dxa"/>
              <w:end w:w="75" w:type="dxa"/>
            </w:tcMar>
            <w:vAlign w:val="center"/>
          </w:tcPr>
          <w:p>
            <w:pPr>
              <w:spacing w:after="20" w:before="0" w:line="240" w:lineRule="auto"/>
            </w:pPr>
            <w:r>
              <w:rPr>
                <w:rFonts w:ascii="Aptos" w:hAnsi="Aptos"/>
                <w:color w:val="232F3E"/>
                <w:sz w:val="15"/>
              </w:rPr>
              <w:t>Why does the transaction check its pending writes first?</w:t>
              <w:br/>
              <w:br/>
              <w:br/>
            </w:r>
          </w:p>
        </w:tc>
      </w:tr>
      <w:tr>
        <w:trPr>
          <w:cantSplit/>
        </w:trPr>
        <w:tc>
          <w:tcPr>
            <w:tcW w:type="dxa" w:w="2160"/>
            <w:tcMar>
              <w:top w:w="70" w:type="dxa"/>
              <w:start w:w="75" w:type="dxa"/>
              <w:bottom w:w="70" w:type="dxa"/>
              <w:end w:w="75" w:type="dxa"/>
            </w:tcMar>
            <w:vAlign w:val="center"/>
            <w:shd w:fill="F3F6FA"/>
          </w:tcPr>
          <w:p>
            <w:pPr>
              <w:spacing w:after="20" w:before="0" w:line="240" w:lineRule="auto"/>
            </w:pPr>
            <w:r>
              <w:rPr>
                <w:rFonts w:ascii="Aptos" w:hAnsi="Aptos"/>
                <w:color w:val="232F3E"/>
                <w:sz w:val="15"/>
              </w:rPr>
              <w:t>MiniMVCC.read()</w:t>
            </w:r>
          </w:p>
        </w:tc>
        <w:tc>
          <w:tcPr>
            <w:tcW w:type="dxa" w:w="5040"/>
            <w:tcMar>
              <w:top w:w="70" w:type="dxa"/>
              <w:start w:w="75" w:type="dxa"/>
              <w:bottom w:w="70" w:type="dxa"/>
              <w:end w:w="75" w:type="dxa"/>
            </w:tcMar>
            <w:vAlign w:val="center"/>
            <w:shd w:fill="F3F6FA"/>
          </w:tcPr>
          <w:p>
            <w:pPr>
              <w:spacing w:after="20" w:before="0" w:line="240" w:lineRule="auto"/>
            </w:pPr>
            <w:r>
              <w:rPr>
                <w:rFonts w:ascii="Aptos" w:hAnsi="Aptos"/>
                <w:color w:val="232F3E"/>
                <w:sz w:val="15"/>
              </w:rPr>
              <w:t>version.commit_seq &lt;= transaction.snapshot_seq</w:t>
            </w:r>
          </w:p>
        </w:tc>
        <w:tc>
          <w:tcPr>
            <w:tcW w:type="dxa" w:w="7848"/>
            <w:tcMar>
              <w:top w:w="70" w:type="dxa"/>
              <w:start w:w="75" w:type="dxa"/>
              <w:bottom w:w="70" w:type="dxa"/>
              <w:end w:w="75" w:type="dxa"/>
            </w:tcMar>
            <w:vAlign w:val="center"/>
            <w:shd w:fill="F3F6FA"/>
          </w:tcPr>
          <w:p>
            <w:pPr>
              <w:spacing w:after="20" w:before="0" w:line="240" w:lineRule="auto"/>
            </w:pPr>
            <w:r>
              <w:rPr>
                <w:rFonts w:ascii="Aptos" w:hAnsi="Aptos"/>
                <w:color w:val="232F3E"/>
                <w:sz w:val="15"/>
              </w:rPr>
              <w:t>What does this filter exclude? What could an older transaction observe without it?</w:t>
              <w:br/>
              <w:br/>
              <w:br/>
            </w:r>
          </w:p>
        </w:tc>
      </w:tr>
      <w:tr>
        <w:trPr>
          <w:cantSplit/>
        </w:trPr>
        <w:tc>
          <w:tcPr>
            <w:tcW w:type="dxa" w:w="2160"/>
            <w:tcMar>
              <w:top w:w="70" w:type="dxa"/>
              <w:start w:w="75" w:type="dxa"/>
              <w:bottom w:w="70" w:type="dxa"/>
              <w:end w:w="75" w:type="dxa"/>
            </w:tcMar>
            <w:vAlign w:val="center"/>
          </w:tcPr>
          <w:p>
            <w:pPr>
              <w:spacing w:after="20" w:before="0" w:line="240" w:lineRule="auto"/>
            </w:pPr>
            <w:r>
              <w:rPr>
                <w:rFonts w:ascii="Aptos" w:hAnsi="Aptos"/>
                <w:color w:val="232F3E"/>
                <w:sz w:val="15"/>
              </w:rPr>
              <w:t>MiniMVCC._active_transaction()</w:t>
            </w:r>
          </w:p>
        </w:tc>
        <w:tc>
          <w:tcPr>
            <w:tcW w:type="dxa" w:w="5040"/>
            <w:tcMar>
              <w:top w:w="70" w:type="dxa"/>
              <w:start w:w="75" w:type="dxa"/>
              <w:bottom w:w="70" w:type="dxa"/>
              <w:end w:w="75" w:type="dxa"/>
            </w:tcMar>
            <w:vAlign w:val="center"/>
          </w:tcPr>
          <w:p>
            <w:pPr>
              <w:spacing w:after="20" w:before="0" w:line="240" w:lineRule="auto"/>
            </w:pPr>
            <w:r>
              <w:rPr>
                <w:rFonts w:ascii="Aptos" w:hAnsi="Aptos"/>
                <w:color w:val="232F3E"/>
                <w:sz w:val="15"/>
              </w:rPr>
              <w:t>transaction is None or transaction.state != "active"</w:t>
            </w:r>
          </w:p>
        </w:tc>
        <w:tc>
          <w:tcPr>
            <w:tcW w:type="dxa" w:w="7848"/>
            <w:tcMar>
              <w:top w:w="70" w:type="dxa"/>
              <w:start w:w="75" w:type="dxa"/>
              <w:bottom w:w="70" w:type="dxa"/>
              <w:end w:w="75" w:type="dxa"/>
            </w:tcMar>
            <w:vAlign w:val="center"/>
          </w:tcPr>
          <w:p>
            <w:pPr>
              <w:spacing w:after="20" w:before="0" w:line="240" w:lineRule="auto"/>
            </w:pPr>
            <w:r>
              <w:rPr>
                <w:rFonts w:ascii="Aptos" w:hAnsi="Aptos"/>
                <w:color w:val="232F3E"/>
                <w:sz w:val="15"/>
              </w:rPr>
              <w:t>Why must finished or unknown transactions be rejected?</w:t>
              <w:br/>
              <w:br/>
              <w:br/>
            </w:r>
          </w:p>
        </w:tc>
      </w:tr>
      <w:tr>
        <w:trPr>
          <w:cantSplit/>
        </w:trPr>
        <w:tc>
          <w:tcPr>
            <w:tcW w:type="dxa" w:w="2160"/>
            <w:tcMar>
              <w:top w:w="70" w:type="dxa"/>
              <w:start w:w="75" w:type="dxa"/>
              <w:bottom w:w="70" w:type="dxa"/>
              <w:end w:w="75" w:type="dxa"/>
            </w:tcMar>
            <w:vAlign w:val="center"/>
            <w:shd w:fill="F3F6FA"/>
          </w:tcPr>
          <w:p>
            <w:pPr>
              <w:spacing w:after="20" w:before="0" w:line="240" w:lineRule="auto"/>
            </w:pPr>
            <w:r>
              <w:rPr>
                <w:rFonts w:ascii="Aptos" w:hAnsi="Aptos"/>
                <w:color w:val="232F3E"/>
                <w:sz w:val="15"/>
              </w:rPr>
              <w:t>MiniMVCC.commit()</w:t>
            </w:r>
          </w:p>
        </w:tc>
        <w:tc>
          <w:tcPr>
            <w:tcW w:type="dxa" w:w="5040"/>
            <w:tcMar>
              <w:top w:w="70" w:type="dxa"/>
              <w:start w:w="75" w:type="dxa"/>
              <w:bottom w:w="70" w:type="dxa"/>
              <w:end w:w="75" w:type="dxa"/>
            </w:tcMar>
            <w:vAlign w:val="center"/>
            <w:shd w:fill="F3F6FA"/>
          </w:tcPr>
          <w:p>
            <w:pPr>
              <w:spacing w:after="20" w:before="0" w:line="240" w:lineRule="auto"/>
            </w:pPr>
            <w:r>
              <w:rPr>
                <w:rFonts w:ascii="Aptos" w:hAnsi="Aptos"/>
                <w:color w:val="232F3E"/>
                <w:sz w:val="15"/>
              </w:rPr>
              <w:t>next_seq = self.commit_seq + 1</w:t>
              <w:br/>
              <w:t>Version(value=value, commit_seq=next_seq, writer_tx=tx_id)</w:t>
            </w:r>
          </w:p>
        </w:tc>
        <w:tc>
          <w:tcPr>
            <w:tcW w:type="dxa" w:w="7848"/>
            <w:tcMar>
              <w:top w:w="70" w:type="dxa"/>
              <w:start w:w="75" w:type="dxa"/>
              <w:bottom w:w="70" w:type="dxa"/>
              <w:end w:w="75" w:type="dxa"/>
            </w:tcMar>
            <w:vAlign w:val="center"/>
            <w:shd w:fill="F3F6FA"/>
          </w:tcPr>
          <w:p>
            <w:pPr>
              <w:spacing w:after="20" w:before="0" w:line="240" w:lineRule="auto"/>
            </w:pPr>
            <w:r>
              <w:rPr>
                <w:rFonts w:ascii="Aptos" w:hAnsi="Aptos"/>
                <w:color w:val="232F3E"/>
                <w:sz w:val="15"/>
              </w:rPr>
              <w:t>Why do all writes in one commit share a sequence? What conflict check is absent?</w:t>
              <w:br/>
              <w:br/>
              <w:br/>
            </w:r>
          </w:p>
        </w:tc>
      </w:tr>
    </w:tbl>
    <w:p>
      <w:r>
        <w:t>One design choice in this reference that I understand differently now:</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r>
        <w:br w:type="page"/>
      </w:r>
    </w:p>
    <w:p>
      <w:pPr>
        <w:spacing w:after="20"/>
      </w:pPr>
      <w:r>
        <w:rPr>
          <w:b/>
          <w:color w:val="46668F"/>
          <w:sz w:val="16"/>
        </w:rPr>
        <w:t>Task 4  |  15 points</w:t>
      </w:r>
    </w:p>
    <w:p>
      <w:pPr>
        <w:pStyle w:val="Heading1"/>
      </w:pPr>
      <w:r>
        <w:t>Trace the wait-for graph</w:t>
      </w:r>
    </w:p>
    <w:p>
      <w:r>
        <w:t>An edge X -&gt; Y means transaction X is waiting for a resource held by Y. Use the graph below to trace the DFS checker. In the table, record the node visited, the active recursion path, and whether the edge led to an already-active node.</w:t>
      </w:r>
    </w:p>
    <w:p>
      <w:pPr>
        <w:spacing w:before="40" w:after="100"/>
        <w:ind w:left="173" w:right="173"/>
        <w:shd w:fill="F2F4F7"/>
      </w:pPr>
      <w:r>
        <w:rPr>
          <w:rFonts w:ascii="Consolas" w:hAnsi="Consolas"/>
          <w:color w:val="2A3949"/>
          <w:sz w:val="16"/>
        </w:rPr>
        <w:t>wait_for = {1: {2}, 2: {3}, 3: {1}, 4: {5}, 5: set()}</w:t>
      </w:r>
    </w:p>
    <w:p>
      <w:r>
        <w:t>Does has_cycle(wait_for) return True or False? Which edge first proves the result?</w:t>
      </w:r>
    </w:p>
    <w:tbl>
      <w:tblPr>
        <w:tblStyle w:val="TableGrid"/>
        <w:tblW w:type="auto" w:w="0"/>
        <w:tblLayout w:type="fixed"/>
        <w:tblLook w:firstColumn="1" w:firstRow="1" w:lastColumn="0" w:lastRow="0" w:noHBand="0" w:noVBand="1" w:val="04A0"/>
      </w:tblPr>
      <w:tblGrid>
        <w:gridCol w:w="3067"/>
        <w:gridCol w:w="3067"/>
        <w:gridCol w:w="3067"/>
        <w:gridCol w:w="3067"/>
        <w:gridCol w:w="3067"/>
      </w:tblGrid>
      <w:tr>
        <w:trPr>
          <w:cantSplit/>
        </w:trPr>
        <w:tc>
          <w:tcPr>
            <w:tcW w:type="dxa" w:w="1296"/>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Visit step</w:t>
            </w:r>
          </w:p>
        </w:tc>
        <w:tc>
          <w:tcPr>
            <w:tcW w:type="dxa" w:w="1152"/>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Node</w:t>
            </w:r>
          </w:p>
        </w:tc>
        <w:tc>
          <w:tcPr>
            <w:tcW w:type="dxa" w:w="4320"/>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Active path</w:t>
            </w:r>
          </w:p>
        </w:tc>
        <w:tc>
          <w:tcPr>
            <w:tcW w:type="dxa" w:w="4608"/>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Next node / edge</w:t>
            </w:r>
          </w:p>
        </w:tc>
        <w:tc>
          <w:tcPr>
            <w:tcW w:type="dxa" w:w="3600"/>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Already active?</w:t>
            </w:r>
          </w:p>
        </w:tc>
      </w:tr>
      <w:tr>
        <w:trPr>
          <w:cantSplit/>
        </w:trPr>
        <w:tc>
          <w:tcPr>
            <w:tcW w:type="dxa" w:w="1296"/>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shd w:fill="F3F6FA"/>
          </w:tcPr>
          <w:p>
            <w:pPr>
              <w:spacing w:after="20" w:before="0" w:line="240" w:lineRule="auto"/>
            </w:pPr>
            <w:r>
              <w:rPr>
                <w:rFonts w:ascii="Aptos" w:hAnsi="Aptos"/>
                <w:color w:val="232F3E"/>
                <w:sz w:val="16"/>
              </w:rPr>
            </w:r>
          </w:p>
        </w:tc>
      </w:tr>
      <w:tr>
        <w:trPr>
          <w:cantSplit/>
        </w:trPr>
        <w:tc>
          <w:tcPr>
            <w:tcW w:type="dxa" w:w="1296"/>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1152"/>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320"/>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4608"/>
            <w:tcMar>
              <w:top w:w="70" w:type="dxa"/>
              <w:start w:w="75" w:type="dxa"/>
              <w:bottom w:w="70" w:type="dxa"/>
              <w:end w:w="75" w:type="dxa"/>
            </w:tcMar>
            <w:vAlign w:val="center"/>
          </w:tcPr>
          <w:p>
            <w:pPr>
              <w:spacing w:after="20" w:before="0" w:line="240" w:lineRule="auto"/>
            </w:pPr>
            <w:r>
              <w:rPr>
                <w:rFonts w:ascii="Aptos" w:hAnsi="Aptos"/>
                <w:color w:val="232F3E"/>
                <w:sz w:val="16"/>
              </w:rPr>
            </w:r>
          </w:p>
        </w:tc>
        <w:tc>
          <w:tcPr>
            <w:tcW w:type="dxa" w:w="3600"/>
            <w:tcMar>
              <w:top w:w="70" w:type="dxa"/>
              <w:start w:w="75" w:type="dxa"/>
              <w:bottom w:w="70" w:type="dxa"/>
              <w:end w:w="75" w:type="dxa"/>
            </w:tcMar>
            <w:vAlign w:val="center"/>
          </w:tcPr>
          <w:p>
            <w:pPr>
              <w:spacing w:after="20" w:before="0" w:line="240" w:lineRule="auto"/>
            </w:pPr>
            <w:r>
              <w:rPr>
                <w:rFonts w:ascii="Aptos" w:hAnsi="Aptos"/>
                <w:color w:val="232F3E"/>
                <w:sz w:val="16"/>
              </w:rPr>
            </w:r>
          </w:p>
        </w:tc>
      </w:tr>
    </w:tbl>
    <w:p>
      <w:r>
        <w:t>Change only 3 -&gt; 1 to 3 -&gt; no blockers. What does the detector return now? Explain why the disconnected path through 4 and 5 does or does not matter.</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r>
        <w:t>In this simplified model, what does a cycle mean? Does this checker prevent a deadlock?</w:t>
      </w:r>
    </w:p>
    <w:p>
      <w:pPr>
        <w:spacing w:after="40"/>
      </w:pPr>
      <w:r>
        <w:t>______________________________________________________________________________________________________________________________________________________</w:t>
      </w:r>
    </w:p>
    <w:p>
      <w:r>
        <w:br w:type="page"/>
      </w:r>
    </w:p>
    <w:p>
      <w:pPr>
        <w:spacing w:after="20"/>
      </w:pPr>
      <w:r>
        <w:rPr>
          <w:b/>
          <w:color w:val="46668F"/>
          <w:sz w:val="16"/>
        </w:rPr>
        <w:t>Task 5  |  15 points</w:t>
      </w:r>
    </w:p>
    <w:p>
      <w:pPr>
        <w:pStyle w:val="Heading1"/>
      </w:pPr>
      <w:r>
        <w:t>Predict edge cases and identify the gap</w:t>
      </w:r>
    </w:p>
    <w:p>
      <w:r>
        <w:t>For each case, predict whether the call returns a value, returns no value, or raises an error. Name the function or state rule that decides it. Verify only after writing your prediction.</w:t>
      </w:r>
    </w:p>
    <w:tbl>
      <w:tblPr>
        <w:tblStyle w:val="TableGrid"/>
        <w:tblW w:type="auto" w:w="0"/>
        <w:tblLayout w:type="fixed"/>
        <w:tblLook w:firstColumn="1" w:firstRow="1" w:lastColumn="0" w:lastRow="0" w:noHBand="0" w:noVBand="1" w:val="04A0"/>
      </w:tblPr>
      <w:tblGrid>
        <w:gridCol w:w="3067"/>
        <w:gridCol w:w="3067"/>
        <w:gridCol w:w="3067"/>
        <w:gridCol w:w="3067"/>
        <w:gridCol w:w="3067"/>
      </w:tblGrid>
      <w:tr>
        <w:trPr>
          <w:cantSplit/>
        </w:trPr>
        <w:tc>
          <w:tcPr>
            <w:tcW w:type="dxa" w:w="1584"/>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Case</w:t>
            </w:r>
          </w:p>
        </w:tc>
        <w:tc>
          <w:tcPr>
            <w:tcW w:type="dxa" w:w="5760"/>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Input / call sequence</w:t>
            </w:r>
          </w:p>
        </w:tc>
        <w:tc>
          <w:tcPr>
            <w:tcW w:type="dxa" w:w="2160"/>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Prediction</w:t>
            </w:r>
          </w:p>
        </w:tc>
        <w:tc>
          <w:tcPr>
            <w:tcW w:type="dxa" w:w="2736"/>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Reason or function</w:t>
            </w:r>
          </w:p>
        </w:tc>
        <w:tc>
          <w:tcPr>
            <w:tcW w:type="dxa" w:w="2736"/>
            <w:tcMar>
              <w:top w:w="70" w:type="dxa"/>
              <w:start w:w="75" w:type="dxa"/>
              <w:bottom w:w="70" w:type="dxa"/>
              <w:end w:w="75" w:type="dxa"/>
            </w:tcMar>
            <w:vAlign w:val="center"/>
            <w:shd w:fill="17365D"/>
          </w:tcPr>
          <w:p>
            <w:pPr>
              <w:spacing w:after="20" w:before="0" w:line="240" w:lineRule="auto"/>
            </w:pPr>
            <w:r>
              <w:rPr>
                <w:rFonts w:ascii="Aptos" w:hAnsi="Aptos"/>
                <w:b/>
                <w:color w:val="FFFFFF"/>
                <w:sz w:val="15"/>
              </w:rPr>
              <w:t>Observed after check</w:t>
            </w:r>
          </w:p>
        </w:tc>
      </w:tr>
      <w:tr>
        <w:trPr>
          <w:cantSplit/>
        </w:trPr>
        <w:tc>
          <w:tcPr>
            <w:tcW w:type="dxa" w:w="1584"/>
            <w:tcMar>
              <w:top w:w="70" w:type="dxa"/>
              <w:start w:w="75" w:type="dxa"/>
              <w:bottom w:w="70" w:type="dxa"/>
              <w:end w:w="75" w:type="dxa"/>
            </w:tcMar>
            <w:vAlign w:val="center"/>
          </w:tcPr>
          <w:p>
            <w:pPr>
              <w:spacing w:after="20" w:before="0" w:line="240" w:lineRule="auto"/>
            </w:pPr>
            <w:r>
              <w:rPr>
                <w:rFonts w:ascii="Aptos" w:hAnsi="Aptos"/>
                <w:color w:val="232F3E"/>
                <w:sz w:val="15"/>
              </w:rPr>
              <w:t>Rollback</w:t>
            </w:r>
          </w:p>
        </w:tc>
        <w:tc>
          <w:tcPr>
            <w:tcW w:type="dxa" w:w="5760"/>
            <w:tcMar>
              <w:top w:w="70" w:type="dxa"/>
              <w:start w:w="75" w:type="dxa"/>
              <w:bottom w:w="70" w:type="dxa"/>
              <w:end w:w="75" w:type="dxa"/>
            </w:tcMar>
            <w:vAlign w:val="center"/>
          </w:tcPr>
          <w:p>
            <w:pPr>
              <w:spacing w:after="20" w:before="0" w:line="240" w:lineRule="auto"/>
            </w:pPr>
            <w:r>
              <w:rPr>
                <w:rFonts w:ascii="Aptos" w:hAnsi="Aptos"/>
                <w:color w:val="232F3E"/>
                <w:sz w:val="15"/>
              </w:rPr>
              <w:t>T1 stages A=70, then rollback(T1). A new transaction reads A.</w:t>
            </w:r>
          </w:p>
        </w:tc>
        <w:tc>
          <w:tcPr>
            <w:tcW w:type="dxa" w:w="2160"/>
            <w:tcMar>
              <w:top w:w="70" w:type="dxa"/>
              <w:start w:w="75" w:type="dxa"/>
              <w:bottom w:w="70" w:type="dxa"/>
              <w:end w:w="75" w:type="dxa"/>
            </w:tcMar>
            <w:vAlign w:val="center"/>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tcPr>
          <w:p>
            <w:pPr>
              <w:spacing w:after="20" w:before="0" w:line="240" w:lineRule="auto"/>
            </w:pPr>
            <w:r>
              <w:rPr>
                <w:rFonts w:ascii="Aptos" w:hAnsi="Aptos"/>
                <w:color w:val="232F3E"/>
                <w:sz w:val="15"/>
              </w:rPr>
            </w:r>
          </w:p>
        </w:tc>
      </w:tr>
      <w:tr>
        <w:trPr>
          <w:cantSplit/>
        </w:trPr>
        <w:tc>
          <w:tcPr>
            <w:tcW w:type="dxa" w:w="1584"/>
            <w:tcMar>
              <w:top w:w="70" w:type="dxa"/>
              <w:start w:w="75" w:type="dxa"/>
              <w:bottom w:w="70" w:type="dxa"/>
              <w:end w:w="75" w:type="dxa"/>
            </w:tcMar>
            <w:vAlign w:val="center"/>
            <w:shd w:fill="F3F6FA"/>
          </w:tcPr>
          <w:p>
            <w:pPr>
              <w:spacing w:after="20" w:before="0" w:line="240" w:lineRule="auto"/>
            </w:pPr>
            <w:r>
              <w:rPr>
                <w:rFonts w:ascii="Aptos" w:hAnsi="Aptos"/>
                <w:color w:val="232F3E"/>
                <w:sz w:val="15"/>
              </w:rPr>
              <w:t>Closed transaction</w:t>
            </w:r>
          </w:p>
        </w:tc>
        <w:tc>
          <w:tcPr>
            <w:tcW w:type="dxa" w:w="5760"/>
            <w:tcMar>
              <w:top w:w="70" w:type="dxa"/>
              <w:start w:w="75" w:type="dxa"/>
              <w:bottom w:w="70" w:type="dxa"/>
              <w:end w:w="75" w:type="dxa"/>
            </w:tcMar>
            <w:vAlign w:val="center"/>
            <w:shd w:fill="F3F6FA"/>
          </w:tcPr>
          <w:p>
            <w:pPr>
              <w:spacing w:after="20" w:before="0" w:line="240" w:lineRule="auto"/>
            </w:pPr>
            <w:r>
              <w:rPr>
                <w:rFonts w:ascii="Aptos" w:hAnsi="Aptos"/>
                <w:color w:val="232F3E"/>
                <w:sz w:val="15"/>
              </w:rPr>
              <w:t>T1 commits. A later read(T1, "A") is attempted.</w:t>
            </w:r>
          </w:p>
        </w:tc>
        <w:tc>
          <w:tcPr>
            <w:tcW w:type="dxa" w:w="2160"/>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r>
      <w:tr>
        <w:trPr>
          <w:cantSplit/>
        </w:trPr>
        <w:tc>
          <w:tcPr>
            <w:tcW w:type="dxa" w:w="1584"/>
            <w:tcMar>
              <w:top w:w="70" w:type="dxa"/>
              <w:start w:w="75" w:type="dxa"/>
              <w:bottom w:w="70" w:type="dxa"/>
              <w:end w:w="75" w:type="dxa"/>
            </w:tcMar>
            <w:vAlign w:val="center"/>
          </w:tcPr>
          <w:p>
            <w:pPr>
              <w:spacing w:after="20" w:before="0" w:line="240" w:lineRule="auto"/>
            </w:pPr>
            <w:r>
              <w:rPr>
                <w:rFonts w:ascii="Aptos" w:hAnsi="Aptos"/>
                <w:color w:val="232F3E"/>
                <w:sz w:val="15"/>
              </w:rPr>
              <w:t>Unknown key</w:t>
            </w:r>
          </w:p>
        </w:tc>
        <w:tc>
          <w:tcPr>
            <w:tcW w:type="dxa" w:w="5760"/>
            <w:tcMar>
              <w:top w:w="70" w:type="dxa"/>
              <w:start w:w="75" w:type="dxa"/>
              <w:bottom w:w="70" w:type="dxa"/>
              <w:end w:w="75" w:type="dxa"/>
            </w:tcMar>
            <w:vAlign w:val="center"/>
          </w:tcPr>
          <w:p>
            <w:pPr>
              <w:spacing w:after="20" w:before="0" w:line="240" w:lineRule="auto"/>
            </w:pPr>
            <w:r>
              <w:rPr>
                <w:rFonts w:ascii="Aptos" w:hAnsi="Aptos"/>
                <w:color w:val="232F3E"/>
                <w:sz w:val="15"/>
              </w:rPr>
              <w:t>An active transaction reads key "missing".</w:t>
            </w:r>
          </w:p>
        </w:tc>
        <w:tc>
          <w:tcPr>
            <w:tcW w:type="dxa" w:w="2160"/>
            <w:tcMar>
              <w:top w:w="70" w:type="dxa"/>
              <w:start w:w="75" w:type="dxa"/>
              <w:bottom w:w="70" w:type="dxa"/>
              <w:end w:w="75" w:type="dxa"/>
            </w:tcMar>
            <w:vAlign w:val="center"/>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tcPr>
          <w:p>
            <w:pPr>
              <w:spacing w:after="20" w:before="0" w:line="240" w:lineRule="auto"/>
            </w:pPr>
            <w:r>
              <w:rPr>
                <w:rFonts w:ascii="Aptos" w:hAnsi="Aptos"/>
                <w:color w:val="232F3E"/>
                <w:sz w:val="15"/>
              </w:rPr>
            </w:r>
          </w:p>
        </w:tc>
      </w:tr>
      <w:tr>
        <w:trPr>
          <w:cantSplit/>
        </w:trPr>
        <w:tc>
          <w:tcPr>
            <w:tcW w:type="dxa" w:w="1584"/>
            <w:tcMar>
              <w:top w:w="70" w:type="dxa"/>
              <w:start w:w="75" w:type="dxa"/>
              <w:bottom w:w="70" w:type="dxa"/>
              <w:end w:w="75" w:type="dxa"/>
            </w:tcMar>
            <w:vAlign w:val="center"/>
            <w:shd w:fill="F3F6FA"/>
          </w:tcPr>
          <w:p>
            <w:pPr>
              <w:spacing w:after="20" w:before="0" w:line="240" w:lineRule="auto"/>
            </w:pPr>
            <w:r>
              <w:rPr>
                <w:rFonts w:ascii="Aptos" w:hAnsi="Aptos"/>
                <w:color w:val="232F3E"/>
                <w:sz w:val="15"/>
              </w:rPr>
              <w:t>Two stale writers</w:t>
            </w:r>
          </w:p>
        </w:tc>
        <w:tc>
          <w:tcPr>
            <w:tcW w:type="dxa" w:w="5760"/>
            <w:tcMar>
              <w:top w:w="70" w:type="dxa"/>
              <w:start w:w="75" w:type="dxa"/>
              <w:bottom w:w="70" w:type="dxa"/>
              <w:end w:w="75" w:type="dxa"/>
            </w:tcMar>
            <w:vAlign w:val="center"/>
            <w:shd w:fill="F3F6FA"/>
          </w:tcPr>
          <w:p>
            <w:pPr>
              <w:spacing w:after="20" w:before="0" w:line="240" w:lineRule="auto"/>
            </w:pPr>
            <w:r>
              <w:rPr>
                <w:rFonts w:ascii="Aptos" w:hAnsi="Aptos"/>
                <w:color w:val="232F3E"/>
                <w:sz w:val="15"/>
              </w:rPr>
              <w:t>T1 and T2 begin together; T1 writes A=70, T2 writes A=80; both commit.</w:t>
            </w:r>
          </w:p>
        </w:tc>
        <w:tc>
          <w:tcPr>
            <w:tcW w:type="dxa" w:w="2160"/>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c>
          <w:tcPr>
            <w:tcW w:type="dxa" w:w="2736"/>
            <w:tcMar>
              <w:top w:w="70" w:type="dxa"/>
              <w:start w:w="75" w:type="dxa"/>
              <w:bottom w:w="70" w:type="dxa"/>
              <w:end w:w="75" w:type="dxa"/>
            </w:tcMar>
            <w:vAlign w:val="center"/>
            <w:shd w:fill="F3F6FA"/>
          </w:tcPr>
          <w:p>
            <w:pPr>
              <w:spacing w:after="20" w:before="0" w:line="240" w:lineRule="auto"/>
            </w:pPr>
            <w:r>
              <w:rPr>
                <w:rFonts w:ascii="Aptos" w:hAnsi="Aptos"/>
                <w:color w:val="232F3E"/>
                <w:sz w:val="15"/>
              </w:rPr>
            </w:r>
          </w:p>
        </w:tc>
      </w:tr>
    </w:tbl>
    <w:p>
      <w:r>
        <w:t>What write-conflict guarantee is missing from the reference? How can its later-commit behavior cause a lost update?</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r>
        <w:br w:type="page"/>
      </w:r>
    </w:p>
    <w:p>
      <w:pPr>
        <w:spacing w:after="20"/>
      </w:pPr>
      <w:r>
        <w:rPr>
          <w:b/>
          <w:color w:val="46668F"/>
          <w:sz w:val="16"/>
        </w:rPr>
        <w:t>Task 6  |  10 points</w:t>
      </w:r>
    </w:p>
    <w:p>
      <w:pPr>
        <w:pStyle w:val="Heading1"/>
      </w:pPr>
      <w:r>
        <w:t>Connect the model to PostgreSQL</w:t>
      </w:r>
    </w:p>
    <w:p>
      <w:r>
        <w:t>Choose one PostgreSQL demo. Explain how optimistic version checking or pessimistic row locking handles a conflict, and name one cost or limitation of that choice.</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r>
        <w:t>Give one important difference between the in-memory simulator and PostgreSQL. Explain why snapshot isolation, even with first-committer-wins, does not guarantee serializability. Use a two-key write-skew example.</w:t>
      </w:r>
    </w:p>
    <w:p>
      <w:pPr>
        <w:spacing w:after="40"/>
      </w:pP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r>
        <w:br/>
      </w:r>
      <w:r>
        <w:t>______________________________________________________________________________________________________________________________________________________</w:t>
      </w:r>
    </w:p>
    <w:p>
      <w:pPr>
        <w:pStyle w:val="Heading2"/>
      </w:pPr>
      <w:r>
        <w:t>Marking guide</w:t>
      </w:r>
    </w:p>
    <w:tbl>
      <w:tblPr>
        <w:tblStyle w:val="TableGrid"/>
        <w:tblW w:type="auto" w:w="0"/>
        <w:tblLayout w:type="fixed"/>
        <w:tblLook w:firstColumn="1" w:firstRow="1" w:lastColumn="0" w:lastRow="0" w:noHBand="0" w:noVBand="1" w:val="04A0"/>
      </w:tblPr>
      <w:tblGrid>
        <w:gridCol w:w="5112"/>
        <w:gridCol w:w="5112"/>
        <w:gridCol w:w="5112"/>
      </w:tblGrid>
      <w:tr>
        <w:trPr>
          <w:cantSplit/>
        </w:trPr>
        <w:tc>
          <w:tcPr>
            <w:tcW w:type="dxa" w:w="2880"/>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Section</w:t>
            </w:r>
          </w:p>
        </w:tc>
        <w:tc>
          <w:tcPr>
            <w:tcW w:type="dxa" w:w="10368"/>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Evidence assessed</w:t>
            </w:r>
          </w:p>
        </w:tc>
        <w:tc>
          <w:tcPr>
            <w:tcW w:type="dxa" w:w="1872"/>
            <w:tcMar>
              <w:top w:w="70" w:type="dxa"/>
              <w:start w:w="75" w:type="dxa"/>
              <w:bottom w:w="70" w:type="dxa"/>
              <w:end w:w="75" w:type="dxa"/>
            </w:tcMar>
            <w:vAlign w:val="center"/>
            <w:shd w:fill="17365D"/>
          </w:tcPr>
          <w:p>
            <w:pPr>
              <w:spacing w:after="20" w:before="0" w:line="240" w:lineRule="auto"/>
            </w:pPr>
            <w:r>
              <w:rPr>
                <w:rFonts w:ascii="Aptos" w:hAnsi="Aptos"/>
                <w:b/>
                <w:color w:val="FFFFFF"/>
                <w:sz w:val="16"/>
              </w:rPr>
              <w:t>Points</w:t>
            </w:r>
          </w:p>
        </w:tc>
      </w:tr>
      <w:tr>
        <w:trPr>
          <w:cantSplit/>
        </w:trPr>
        <w:tc>
          <w:tcPr>
            <w:tcW w:type="dxa" w:w="2880"/>
            <w:tcMar>
              <w:top w:w="70" w:type="dxa"/>
              <w:start w:w="75" w:type="dxa"/>
              <w:bottom w:w="70" w:type="dxa"/>
              <w:end w:w="75" w:type="dxa"/>
            </w:tcMar>
            <w:vAlign w:val="center"/>
          </w:tcPr>
          <w:p>
            <w:pPr>
              <w:spacing w:after="20" w:before="0" w:line="240" w:lineRule="auto"/>
            </w:pPr>
            <w:r>
              <w:rPr>
                <w:rFonts w:ascii="Aptos" w:hAnsi="Aptos"/>
                <w:color w:val="232F3E"/>
                <w:sz w:val="16"/>
              </w:rPr>
              <w:t>1. Architecture map</w:t>
            </w:r>
          </w:p>
        </w:tc>
        <w:tc>
          <w:tcPr>
            <w:tcW w:type="dxa" w:w="10368"/>
            <w:tcMar>
              <w:top w:w="70" w:type="dxa"/>
              <w:start w:w="75" w:type="dxa"/>
              <w:bottom w:w="70" w:type="dxa"/>
              <w:end w:w="75" w:type="dxa"/>
            </w:tcMar>
            <w:vAlign w:val="center"/>
          </w:tcPr>
          <w:p>
            <w:pPr>
              <w:spacing w:after="20" w:before="0" w:line="240" w:lineRule="auto"/>
            </w:pPr>
            <w:r>
              <w:rPr>
                <w:rFonts w:ascii="Aptos" w:hAnsi="Aptos"/>
                <w:color w:val="232F3E"/>
                <w:sz w:val="16"/>
              </w:rPr>
              <w:t>Correct responsibilities and begin-to-commit flow</w:t>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6"/>
              </w:rPr>
              <w:t>10</w:t>
            </w:r>
          </w:p>
        </w:tc>
      </w:tr>
      <w:tr>
        <w:trPr>
          <w:cantSplit/>
        </w:trPr>
        <w:tc>
          <w:tcPr>
            <w:tcW w:type="dxa" w:w="2880"/>
            <w:tcMar>
              <w:top w:w="70" w:type="dxa"/>
              <w:start w:w="75" w:type="dxa"/>
              <w:bottom w:w="70" w:type="dxa"/>
              <w:end w:w="75" w:type="dxa"/>
            </w:tcMar>
            <w:vAlign w:val="center"/>
            <w:shd w:fill="F3F6FA"/>
          </w:tcPr>
          <w:p>
            <w:pPr>
              <w:spacing w:after="20" w:before="0" w:line="240" w:lineRule="auto"/>
            </w:pPr>
            <w:r>
              <w:rPr>
                <w:rFonts w:ascii="Aptos" w:hAnsi="Aptos"/>
                <w:color w:val="232F3E"/>
                <w:sz w:val="16"/>
              </w:rPr>
              <w:t>2. Manual MVCC trace</w:t>
            </w:r>
          </w:p>
        </w:tc>
        <w:tc>
          <w:tcPr>
            <w:tcW w:type="dxa" w:w="10368"/>
            <w:tcMar>
              <w:top w:w="70" w:type="dxa"/>
              <w:start w:w="75" w:type="dxa"/>
              <w:bottom w:w="70" w:type="dxa"/>
              <w:end w:w="75" w:type="dxa"/>
            </w:tcMar>
            <w:vAlign w:val="center"/>
            <w:shd w:fill="F3F6FA"/>
          </w:tcPr>
          <w:p>
            <w:pPr>
              <w:spacing w:after="20" w:before="0" w:line="240" w:lineRule="auto"/>
            </w:pPr>
            <w:r>
              <w:rPr>
                <w:rFonts w:ascii="Aptos" w:hAnsi="Aptos"/>
                <w:color w:val="232F3E"/>
                <w:sz w:val="16"/>
              </w:rPr>
              <w:t>Snapshots, private writes, visible versions, reads, states, and sequences</w:t>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6"/>
              </w:rPr>
              <w:t>30</w:t>
            </w:r>
          </w:p>
        </w:tc>
      </w:tr>
      <w:tr>
        <w:trPr>
          <w:cantSplit/>
        </w:trPr>
        <w:tc>
          <w:tcPr>
            <w:tcW w:type="dxa" w:w="2880"/>
            <w:tcMar>
              <w:top w:w="70" w:type="dxa"/>
              <w:start w:w="75" w:type="dxa"/>
              <w:bottom w:w="70" w:type="dxa"/>
              <w:end w:w="75" w:type="dxa"/>
            </w:tcMar>
            <w:vAlign w:val="center"/>
          </w:tcPr>
          <w:p>
            <w:pPr>
              <w:spacing w:after="20" w:before="0" w:line="240" w:lineRule="auto"/>
            </w:pPr>
            <w:r>
              <w:rPr>
                <w:rFonts w:ascii="Aptos" w:hAnsi="Aptos"/>
                <w:color w:val="232F3E"/>
                <w:sz w:val="16"/>
              </w:rPr>
              <w:t>3. Code reasoning</w:t>
            </w:r>
          </w:p>
        </w:tc>
        <w:tc>
          <w:tcPr>
            <w:tcW w:type="dxa" w:w="10368"/>
            <w:tcMar>
              <w:top w:w="70" w:type="dxa"/>
              <w:start w:w="75" w:type="dxa"/>
              <w:bottom w:w="70" w:type="dxa"/>
              <w:end w:w="75" w:type="dxa"/>
            </w:tcMar>
            <w:vAlign w:val="center"/>
          </w:tcPr>
          <w:p>
            <w:pPr>
              <w:spacing w:after="20" w:before="0" w:line="240" w:lineRule="auto"/>
            </w:pPr>
            <w:r>
              <w:rPr>
                <w:rFonts w:ascii="Aptos" w:hAnsi="Aptos"/>
                <w:color w:val="232F3E"/>
                <w:sz w:val="16"/>
              </w:rPr>
              <w:t>Explanations tied to actual conditions and their failure cases</w:t>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6"/>
              </w:rPr>
              <w:t>20</w:t>
            </w:r>
          </w:p>
        </w:tc>
      </w:tr>
      <w:tr>
        <w:trPr>
          <w:cantSplit/>
        </w:trPr>
        <w:tc>
          <w:tcPr>
            <w:tcW w:type="dxa" w:w="2880"/>
            <w:tcMar>
              <w:top w:w="70" w:type="dxa"/>
              <w:start w:w="75" w:type="dxa"/>
              <w:bottom w:w="70" w:type="dxa"/>
              <w:end w:w="75" w:type="dxa"/>
            </w:tcMar>
            <w:vAlign w:val="center"/>
            <w:shd w:fill="F3F6FA"/>
          </w:tcPr>
          <w:p>
            <w:pPr>
              <w:spacing w:after="20" w:before="0" w:line="240" w:lineRule="auto"/>
            </w:pPr>
            <w:r>
              <w:rPr>
                <w:rFonts w:ascii="Aptos" w:hAnsi="Aptos"/>
                <w:color w:val="232F3E"/>
                <w:sz w:val="16"/>
              </w:rPr>
              <w:t>4. Wait-for graph</w:t>
            </w:r>
          </w:p>
        </w:tc>
        <w:tc>
          <w:tcPr>
            <w:tcW w:type="dxa" w:w="10368"/>
            <w:tcMar>
              <w:top w:w="70" w:type="dxa"/>
              <w:start w:w="75" w:type="dxa"/>
              <w:bottom w:w="70" w:type="dxa"/>
              <w:end w:w="75" w:type="dxa"/>
            </w:tcMar>
            <w:vAlign w:val="center"/>
            <w:shd w:fill="F3F6FA"/>
          </w:tcPr>
          <w:p>
            <w:pPr>
              <w:spacing w:after="20" w:before="0" w:line="240" w:lineRule="auto"/>
            </w:pPr>
            <w:r>
              <w:rPr>
                <w:rFonts w:ascii="Aptos" w:hAnsi="Aptos"/>
                <w:color w:val="232F3E"/>
                <w:sz w:val="16"/>
              </w:rPr>
              <w:t>DFS trace, cycle decision, and changed-edge reasoning</w:t>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6"/>
              </w:rPr>
              <w:t>15</w:t>
            </w:r>
          </w:p>
        </w:tc>
      </w:tr>
      <w:tr>
        <w:trPr>
          <w:cantSplit/>
        </w:trPr>
        <w:tc>
          <w:tcPr>
            <w:tcW w:type="dxa" w:w="2880"/>
            <w:tcMar>
              <w:top w:w="70" w:type="dxa"/>
              <w:start w:w="75" w:type="dxa"/>
              <w:bottom w:w="70" w:type="dxa"/>
              <w:end w:w="75" w:type="dxa"/>
            </w:tcMar>
            <w:vAlign w:val="center"/>
          </w:tcPr>
          <w:p>
            <w:pPr>
              <w:spacing w:after="20" w:before="0" w:line="240" w:lineRule="auto"/>
            </w:pPr>
            <w:r>
              <w:rPr>
                <w:rFonts w:ascii="Aptos" w:hAnsi="Aptos"/>
                <w:color w:val="232F3E"/>
                <w:sz w:val="16"/>
              </w:rPr>
              <w:t>5. Edge cases</w:t>
            </w:r>
          </w:p>
        </w:tc>
        <w:tc>
          <w:tcPr>
            <w:tcW w:type="dxa" w:w="10368"/>
            <w:tcMar>
              <w:top w:w="70" w:type="dxa"/>
              <w:start w:w="75" w:type="dxa"/>
              <w:bottom w:w="70" w:type="dxa"/>
              <w:end w:w="75" w:type="dxa"/>
            </w:tcMar>
            <w:vAlign w:val="center"/>
          </w:tcPr>
          <w:p>
            <w:pPr>
              <w:spacing w:after="20" w:before="0" w:line="240" w:lineRule="auto"/>
            </w:pPr>
            <w:r>
              <w:rPr>
                <w:rFonts w:ascii="Aptos" w:hAnsi="Aptos"/>
                <w:color w:val="232F3E"/>
                <w:sz w:val="16"/>
              </w:rPr>
              <w:t>Predictions, verification, and missing write-conflict guarantee</w:t>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6"/>
              </w:rPr>
              <w:t>15</w:t>
            </w:r>
          </w:p>
        </w:tc>
      </w:tr>
      <w:tr>
        <w:trPr>
          <w:cantSplit/>
        </w:trPr>
        <w:tc>
          <w:tcPr>
            <w:tcW w:type="dxa" w:w="2880"/>
            <w:tcMar>
              <w:top w:w="70" w:type="dxa"/>
              <w:start w:w="75" w:type="dxa"/>
              <w:bottom w:w="70" w:type="dxa"/>
              <w:end w:w="75" w:type="dxa"/>
            </w:tcMar>
            <w:vAlign w:val="center"/>
            <w:shd w:fill="F3F6FA"/>
          </w:tcPr>
          <w:p>
            <w:pPr>
              <w:spacing w:after="20" w:before="0" w:line="240" w:lineRule="auto"/>
            </w:pPr>
            <w:r>
              <w:rPr>
                <w:rFonts w:ascii="Aptos" w:hAnsi="Aptos"/>
                <w:color w:val="232F3E"/>
                <w:sz w:val="16"/>
              </w:rPr>
              <w:t>6. Engineering judgment</w:t>
            </w:r>
          </w:p>
        </w:tc>
        <w:tc>
          <w:tcPr>
            <w:tcW w:type="dxa" w:w="10368"/>
            <w:tcMar>
              <w:top w:w="70" w:type="dxa"/>
              <w:start w:w="75" w:type="dxa"/>
              <w:bottom w:w="70" w:type="dxa"/>
              <w:end w:w="75" w:type="dxa"/>
            </w:tcMar>
            <w:vAlign w:val="center"/>
            <w:shd w:fill="F3F6FA"/>
          </w:tcPr>
          <w:p>
            <w:pPr>
              <w:spacing w:after="20" w:before="0" w:line="240" w:lineRule="auto"/>
            </w:pPr>
            <w:r>
              <w:rPr>
                <w:rFonts w:ascii="Aptos" w:hAnsi="Aptos"/>
                <w:color w:val="232F3E"/>
                <w:sz w:val="16"/>
              </w:rPr>
              <w:t>Concurrency-control trade-off, simulator limit, and write skew</w:t>
            </w:r>
          </w:p>
        </w:tc>
        <w:tc>
          <w:tcPr>
            <w:tcW w:type="dxa" w:w="1872"/>
            <w:tcMar>
              <w:top w:w="70" w:type="dxa"/>
              <w:start w:w="75" w:type="dxa"/>
              <w:bottom w:w="70" w:type="dxa"/>
              <w:end w:w="75" w:type="dxa"/>
            </w:tcMar>
            <w:vAlign w:val="center"/>
            <w:shd w:fill="F3F6FA"/>
          </w:tcPr>
          <w:p>
            <w:pPr>
              <w:spacing w:after="20" w:before="0" w:line="240" w:lineRule="auto"/>
            </w:pPr>
            <w:r>
              <w:rPr>
                <w:rFonts w:ascii="Aptos" w:hAnsi="Aptos"/>
                <w:color w:val="232F3E"/>
                <w:sz w:val="16"/>
              </w:rPr>
              <w:t>10</w:t>
            </w:r>
          </w:p>
        </w:tc>
      </w:tr>
      <w:tr>
        <w:trPr>
          <w:cantSplit/>
        </w:trPr>
        <w:tc>
          <w:tcPr>
            <w:tcW w:type="dxa" w:w="2880"/>
            <w:tcMar>
              <w:top w:w="70" w:type="dxa"/>
              <w:start w:w="75" w:type="dxa"/>
              <w:bottom w:w="70" w:type="dxa"/>
              <w:end w:w="75" w:type="dxa"/>
            </w:tcMar>
            <w:vAlign w:val="center"/>
          </w:tcPr>
          <w:p>
            <w:pPr>
              <w:spacing w:after="20" w:before="0" w:line="240" w:lineRule="auto"/>
            </w:pPr>
            <w:r>
              <w:rPr>
                <w:rFonts w:ascii="Aptos" w:hAnsi="Aptos"/>
                <w:color w:val="232F3E"/>
                <w:sz w:val="16"/>
              </w:rPr>
              <w:t>Total</w:t>
            </w:r>
          </w:p>
        </w:tc>
        <w:tc>
          <w:tcPr>
            <w:tcW w:type="dxa" w:w="10368"/>
            <w:tcMar>
              <w:top w:w="70" w:type="dxa"/>
              <w:start w:w="75" w:type="dxa"/>
              <w:bottom w:w="70" w:type="dxa"/>
              <w:end w:w="75" w:type="dxa"/>
            </w:tcMar>
            <w:vAlign w:val="center"/>
          </w:tcPr>
          <w:p>
            <w:pPr>
              <w:spacing w:after="20" w:before="0" w:line="240" w:lineRule="auto"/>
            </w:pPr>
            <w:r>
              <w:rPr>
                <w:rFonts w:ascii="Aptos" w:hAnsi="Aptos"/>
                <w:color w:val="232F3E"/>
                <w:sz w:val="16"/>
              </w:rPr>
              <w:t>Reasoning and evidence across the worksheet</w:t>
            </w:r>
          </w:p>
        </w:tc>
        <w:tc>
          <w:tcPr>
            <w:tcW w:type="dxa" w:w="1872"/>
            <w:tcMar>
              <w:top w:w="70" w:type="dxa"/>
              <w:start w:w="75" w:type="dxa"/>
              <w:bottom w:w="70" w:type="dxa"/>
              <w:end w:w="75" w:type="dxa"/>
            </w:tcMar>
            <w:vAlign w:val="center"/>
          </w:tcPr>
          <w:p>
            <w:pPr>
              <w:spacing w:after="20" w:before="0" w:line="240" w:lineRule="auto"/>
            </w:pPr>
            <w:r>
              <w:rPr>
                <w:rFonts w:ascii="Aptos" w:hAnsi="Aptos"/>
                <w:color w:val="232F3E"/>
                <w:sz w:val="16"/>
              </w:rPr>
              <w:t>100</w:t>
            </w:r>
          </w:p>
        </w:tc>
      </w:tr>
    </w:tbl>
    <w:p>
      <w:r>
        <w:t>Before submitting: check that your name and ID are present, predictions precede verification, and the file is saved as CSAI302_Lab07_CodeTrace_&lt;StudentID&gt;.docx.</w:t>
      </w:r>
    </w:p>
    <w:sectPr w:rsidR="00FC693F" w:rsidRPr="0006063C" w:rsidSect="00034616">
      <w:headerReference w:type="default" r:id="rId9"/>
      <w:footerReference w:type="default" r:id="rId10"/>
      <w:pgSz w:w="16834" w:h="11909" w:orient="landscape"/>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Transaction Processing and MVCC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56578"/>
        <w:sz w:val="16"/>
      </w:rPr>
      <w:t>CSAI 302  |  LAB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3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10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6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Processing Code Trace</dc:title>
  <dc:subject>CSAI 302 Lab 7 supervised assessment</dc:subject>
  <dc:creator>CSAI 302</dc:creator>
  <cp:keywords>CSAI 302, Lab 7, transaction processing, MVCC</cp:keywords>
  <dc:description/>
  <cp:lastModifiedBy/>
  <cp:revision>1</cp:revision>
  <dcterms:created xsi:type="dcterms:W3CDTF">2026-10-23T15:16:01Z</dcterms:created>
  <dcterms:modified xsi:type="dcterms:W3CDTF">2026-10-23T15:16:01Z</dcterms:modified>
  <cp:category/>
</cp:coreProperties>
</file>