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p>
    <w:p>
      <w:pPr>
        <w:pBdr>
          <w:bottom w:val="single" w:color="B8860B" w:sz="12" w:space="12"/>
        </w:pBdr>
        <w:bidi/>
        <w:spacing w:after="360"/>
        <w:jc w:val="center"/>
      </w:pPr>
      <w:r>
        <w:rPr>
          <w:rFonts w:ascii="Times New Roman" w:cs="Noto Naskh Arabic" w:eastAsia="Noto Naskh Arabic" w:hAnsi="Times New Roman"/>
          <w:b/>
          <w:bCs/>
          <w:color w:val="1F4E79"/>
          <w:sz w:val="44"/>
          <w:szCs w:val="44"/>
          <w:rtl/>
        </w:rPr>
        <w:t xml:space="preserve">مسارات تباعد القيمة: نموذج استشرافي لديناميكيات القيمة الاقتصادية والفكرية في السياسات الثقافية حتى ٢٠٥٠</w:t>
      </w:r>
    </w:p>
    <w:p>
      <w:pPr>
        <w:bidi/>
        <w:spacing w:after="120" w:line="336"/>
        <w:jc w:val="center"/>
      </w:pPr>
      <w:r>
        <w:rPr>
          <w:rFonts w:ascii="Times New Roman" w:cs="Noto Naskh Arabic" w:eastAsia="Noto Naskh Arabic" w:hAnsi="Times New Roman"/>
          <w:b/>
          <w:bCs/>
          <w:color w:val="B8860B"/>
          <w:sz w:val="28"/>
          <w:szCs w:val="28"/>
          <w:rtl/>
        </w:rPr>
        <w:t xml:space="preserve">ورقة بحثية محكّمة داخلياً — المخطوطة العربية الموسّعة</w:t>
      </w:r>
    </w:p>
    <w:p>
      <w:pPr>
        <w:spacing w:before="1200"/>
      </w:pPr>
    </w:p>
    <w:p>
      <w:pPr>
        <w:bidi/>
        <w:spacing w:after="120" w:line="336"/>
        <w:jc w:val="center"/>
      </w:pPr>
      <w:r>
        <w:rPr>
          <w:rFonts w:ascii="Times New Roman" w:cs="Noto Naskh Arabic" w:eastAsia="Noto Naskh Arabic" w:hAnsi="Times New Roman"/>
          <w:b/>
          <w:bCs/>
          <w:color w:val="1F4E79"/>
          <w:sz w:val="30"/>
          <w:szCs w:val="30"/>
          <w:rtl/>
        </w:rPr>
        <w:t xml:space="preserve">د. ماجد عبدالله بوشليبي</w:t>
      </w:r>
    </w:p>
    <w:p>
      <w:pPr>
        <w:bidi/>
        <w:spacing w:after="120" w:line="336"/>
        <w:jc w:val="center"/>
      </w:pPr>
      <w:r>
        <w:rPr>
          <w:rFonts w:ascii="Times New Roman" w:cs="Noto Naskh Arabic" w:eastAsia="Noto Naskh Arabic" w:hAnsi="Times New Roman"/>
          <w:sz w:val="24"/>
          <w:szCs w:val="24"/>
          <w:rtl/>
        </w:rPr>
        <w:t xml:space="preserve">باحث ومستشار في السياسات الثقافية</w:t>
      </w:r>
    </w:p>
    <w:p>
      <w:pPr>
        <w:bidi/>
        <w:spacing w:after="120" w:line="336"/>
        <w:jc w:val="center"/>
      </w:pPr>
      <w:r>
        <w:rPr>
          <w:rFonts w:ascii="Times New Roman" w:cs="Noto Naskh Arabic" w:eastAsia="Noto Naskh Arabic" w:hAnsi="Times New Roman"/>
          <w:sz w:val="24"/>
          <w:szCs w:val="24"/>
          <w:rtl/>
        </w:rPr>
        <w:t xml:space="preserve">أكتوبر ٢٠٢٦</w:t>
      </w:r>
    </w:p>
    <w:p>
      <w:pPr>
        <w:spacing w:before="1600"/>
      </w:pPr>
    </w:p>
    <w:p>
      <w:pPr>
        <w:bidi/>
        <w:spacing w:after="120" w:line="336"/>
        <w:jc w:val="center"/>
      </w:pPr>
      <w:r>
        <w:rPr>
          <w:rFonts w:ascii="Times New Roman" w:cs="Noto Naskh Arabic" w:eastAsia="Noto Naskh Arabic" w:hAnsi="Times New Roman"/>
          <w:i w:val="false"/>
          <w:color w:val="595959"/>
          <w:sz w:val="20"/>
          <w:szCs w:val="20"/>
          <w:rtl/>
        </w:rPr>
        <w:t xml:space="preserve">إفصاح: استُعين في إعداد هذه الورقة بنظام ذكاء اصطناعي في استرجاع الأدبيات والتحقق المرجعي وبرمجة المحاكاة وصياغة المسودات، وراجع المؤلف المحتوى ويتحمل وحده مسؤوليته العلمية (انظر ٥-١٢).</w:t>
      </w:r>
    </w:p>
    <w:p>
      <w:r>
        <w:br w:type="page"/>
      </w:r>
    </w:p>
    <w:p>
      <w:pPr>
        <w:pStyle w:val="Heading1"/>
        <w:bidi/>
        <w:jc w:val="right"/>
      </w:pPr>
      <w:r>
        <w:rPr>
          <w:rFonts w:ascii="Times New Roman" w:cs="Noto Naskh Arabic" w:eastAsia="Noto Naskh Arabic" w:hAnsi="Times New Roman"/>
          <w:b/>
          <w:bCs/>
          <w:color w:val="1F4E79"/>
          <w:sz w:val="34"/>
          <w:szCs w:val="34"/>
          <w:rtl/>
        </w:rPr>
        <w:t xml:space="preserve">الملخص</w:t>
      </w:r>
    </w:p>
    <w:p>
      <w:pPr>
        <w:bidi/>
        <w:spacing w:after="120" w:line="336"/>
        <w:jc w:val="both"/>
      </w:pPr>
      <w:r>
        <w:rPr>
          <w:rFonts w:ascii="Times New Roman" w:cs="Noto Naskh Arabic" w:eastAsia="Noto Naskh Arabic" w:hAnsi="Times New Roman"/>
          <w:sz w:val="26"/>
          <w:szCs w:val="26"/>
          <w:rtl/>
        </w:rPr>
        <w:t xml:space="preserve">تُبرَّر السياسات الثقافية بما تصنعه الثقافة من معنى ومعرفة، وتُقاس في الغالب بما تدرّه من عائد. وتسأل هذه الورقة عن المسارات التي يمكن أن تسلكها العلاقة بين القيمة الاقتصادية والقيمة الفكرية للثقافة حتى عام ٢٠٥٠، وعن العتبات التي تحدد انتقالها من التلازم إلى التباعد، وعن السياسات التي تبقى نافعة أياً كان المسار. وتعرّف القيمة الفكرية خاصيةً للنظام الثقافي لا صفةً للسلعة: قدرته على إنتاج المعنى والمعرفة وتداولهما ومساءلتهما وتجديدهما باستقلال نسبي عن منطق التمويل والانتباه، تطويراً لمفهوم الحيوية الثقافية. وتميّز بين فرضيتين متنافستين: تباعد حقيقي تتآكل فيه القدرة بينما ينمو العائد، وتباعد قياس تغيب فيه القدرة عن الرصد لا عن الواقع. وتعتمد تصميماً نظرياً استشرافياً يجمع استرجاعاً نطاقياً منظماً، وتحليلاً لثمانية محركات بمصفوفة تأثير متبادل، وأربعة سيناريوهات، ونموذجاً ديناميكياً تبيّن أنه مطابق رياضياً لنموذج </w:t>
      </w:r>
      <w:r>
        <w:rPr>
          <w:rFonts w:ascii="Times New Roman" w:cs="Noto Naskh Arabic" w:eastAsia="Noto Naskh Arabic" w:hAnsi="Times New Roman"/>
          <w:sz w:val="26"/>
          <w:szCs w:val="26"/>
          <w:rtl w:val="false"/>
        </w:rPr>
        <w:t xml:space="preserve">Levins</w:t>
      </w:r>
      <w:r>
        <w:rPr>
          <w:rFonts w:ascii="Times New Roman" w:cs="Noto Naskh Arabic" w:eastAsia="Noto Naskh Arabic" w:hAnsi="Times New Roman"/>
          <w:sz w:val="26"/>
          <w:szCs w:val="26"/>
          <w:rtl/>
        </w:rPr>
        <w:t xml:space="preserve"> في علم البيئة، واختباراً لتوقع استشرافي أطلقته اليونسكو سنة ١٩٩٠، وتحليل محتوى لأهداف ثلاث استراتيجيات ثقافية (الإمارات وسنغافورة وفنلندا). وتنتهي إلى أن المؤشرات الدولية المتاحة اقتصادية في أغلبها ولا تقيس القدرة الفكرية؛ وأن توقع تنميط الثقافات لم يتحقق في طبقة القيم بينما تتركز طبقة الوساطة؛ وأن للعلاقة عتبة انطفاء يحرّكها استقلال القرار الفني ومعيار ترتيب المنصات لما تعرضه؛ وأن دليلاً تجريبياً يشير إلى أن السوق قد يكافئ التنوع حين تُحسَّن الوساطة لأفق بعيد. وتحدد المعطى الذي يحسم بين الفرضيتين، وهو سلسلة حصة الأعمال الجديدة من مؤلفين جدد القابلة للبناء استرجاعياً من سجلات الإيداع، وثلاث سياسات صامدة في السيناريوهات كلها: بناء هذه السلسلة، وحماية استقلال القرار الفني، وإلزام المنصات بالإفصاح عن مقاييس التنوع. وتعلن حدودها: أدلة ثانوية، ومعاملات غير معايَرة، ودرجات مصفوفة صادرة عن حكم الباحث.</w:t>
      </w:r>
    </w:p>
    <w:p>
      <w:pPr>
        <w:bidi/>
        <w:spacing w:after="120" w:line="336"/>
        <w:jc w:val="both"/>
      </w:pPr>
      <w:r>
        <w:rPr>
          <w:rFonts w:ascii="Times New Roman" w:cs="Noto Naskh Arabic" w:eastAsia="Noto Naskh Arabic" w:hAnsi="Times New Roman"/>
          <w:b/>
          <w:bCs/>
          <w:sz w:val="26"/>
          <w:szCs w:val="26"/>
          <w:rtl/>
        </w:rPr>
        <w:t xml:space="preserve">الكلمات المفتاحية:</w:t>
      </w:r>
      <w:r>
        <w:rPr>
          <w:rFonts w:ascii="Times New Roman" w:cs="Noto Naskh Arabic" w:eastAsia="Noto Naskh Arabic" w:hAnsi="Times New Roman"/>
          <w:sz w:val="26"/>
          <w:szCs w:val="26"/>
          <w:rtl/>
        </w:rPr>
        <w:t xml:space="preserve"> السياسات الثقافية؛ الدراسات المستقبلية؛ القيمة الثقافية؛ الاقتصاد الإبداعي؛ السيناريوهات؛ الوساطة الخوارزمية؛ الإمارات.</w:t>
      </w:r>
    </w:p>
    <w:p>
      <w:r>
        <w:br w:type="page"/>
      </w:r>
    </w:p>
    <w:p>
      <w:pPr>
        <w:pStyle w:val="Heading1"/>
        <w:bidi w:val="false"/>
        <w:jc w:val="left"/>
      </w:pPr>
      <w:r>
        <w:rPr>
          <w:rFonts w:ascii="Times New Roman" w:cs="Noto Naskh Arabic" w:eastAsia="Noto Naskh Arabic" w:hAnsi="Times New Roman"/>
          <w:b/>
          <w:bCs/>
          <w:color w:val="1F4E79"/>
          <w:sz w:val="34"/>
          <w:szCs w:val="34"/>
          <w:rtl w:val="false"/>
        </w:rPr>
        <w:t xml:space="preserve">Abstract</w:t>
      </w:r>
    </w:p>
    <w:p>
      <w:pPr>
        <w:bidi w:val="false"/>
        <w:spacing w:after="120" w:line="336"/>
        <w:jc w:val="both"/>
      </w:pPr>
      <w:r>
        <w:rPr>
          <w:rFonts w:ascii="Times New Roman" w:cs="Noto Naskh Arabic" w:eastAsia="Noto Naskh Arabic" w:hAnsi="Times New Roman"/>
          <w:sz w:val="26"/>
          <w:szCs w:val="26"/>
          <w:rtl w:val="false"/>
        </w:rPr>
        <w:t xml:space="preserve">Cultural policies are justified by the meaning and knowledge culture produces, yet they are mostly measured by the revenue it generates. This paper asks which pathways the relationship between the economic and the intellectual value of culture may follow to 2050, which thresholds govern its shift from co-movement to divergence, and which policies remain beneficial whichever pathway materialises. It defines intellectual value as a property of the cultural system rather than of the cultural good: the system's capacity to produce, circulate, question and renew meaning and knowledge with relative autonomy from funding and attention logics, extending the concept of cultural vitality. It distinguishes two competing hypotheses: real divergence, in which capacity erodes while revenue grows, and measurement divergence, in which capacity is missing from the indicators rather than from reality. The design is theoretical and foresight-based, combining a structured scoping search, a cross-impact analysis of eight drivers, four structurally distinct scenarios, a dynamic model shown to be mathematically equivalent to Levins' metapopulation model, a test of a 1990 UNESCO foresight proposition against later evidence, and a content analysis of the stated goals of three cultural strategies (United Arab Emirates, Singapore, Finland). The paper finds that available international indicators are overwhelmingly economic and do not capture intellectual capacity; that the predicted homogenisation of cultures did not occur at the level of values, while mediation markets have concentrated; that the relationship has an extinction threshold shifted by artistic autonomy and by the criteria platforms use to rank content; and that empirical evidence suggests markets may reward diversity when recommendation is optimised for the long term. It identifies the datum that discriminates between the two hypotheses — a retrospective series of the share of new works by first-time authors, buildable from legal-deposit records — and three policies robust across all scenarios: building that series, protecting arm's-length artistic decisions, and requiring platforms to disclose diversity metrics. Limitations are stated: secondary evidence, uncalibrated parameters, and researcher-judged matrix scores.</w:t>
      </w:r>
    </w:p>
    <w:p>
      <w:pPr>
        <w:bidi w:val="false"/>
        <w:spacing w:after="120" w:line="336"/>
        <w:jc w:val="both"/>
      </w:pPr>
      <w:r>
        <w:rPr>
          <w:rFonts w:ascii="Times New Roman" w:cs="Noto Naskh Arabic" w:eastAsia="Noto Naskh Arabic" w:hAnsi="Times New Roman"/>
          <w:b/>
          <w:bCs/>
          <w:sz w:val="26"/>
          <w:szCs w:val="26"/>
          <w:rtl w:val="false"/>
        </w:rPr>
        <w:t xml:space="preserve">Keywords:</w:t>
      </w:r>
      <w:r>
        <w:rPr>
          <w:rFonts w:ascii="Times New Roman" w:cs="Noto Naskh Arabic" w:eastAsia="Noto Naskh Arabic" w:hAnsi="Times New Roman"/>
          <w:sz w:val="26"/>
          <w:szCs w:val="26"/>
          <w:rtl w:val="false"/>
        </w:rPr>
        <w:t xml:space="preserve"> cultural policy; futures studies; cultural value; creative economy; scenarios; algorithmic mediation; United Arab Emirates.</w:t>
      </w:r>
    </w:p>
    <w:p>
      <w:r>
        <w:br w:type="page"/>
      </w:r>
    </w:p>
    <w:p>
      <w:pPr>
        <w:bidi/>
        <w:spacing w:after="200"/>
        <w:jc w:val="right"/>
      </w:pPr>
      <w:r>
        <w:rPr>
          <w:rFonts w:ascii="Times New Roman" w:cs="Noto Naskh Arabic" w:eastAsia="Noto Naskh Arabic" w:hAnsi="Times New Roman"/>
          <w:b/>
          <w:bCs/>
          <w:color w:val="1F4E79"/>
          <w:sz w:val="32"/>
          <w:szCs w:val="32"/>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jc w:val="right"/>
      </w:pPr>
      <w:r>
        <w:rPr>
          <w:rFonts w:ascii="Times New Roman" w:cs="Noto Naskh Arabic" w:eastAsia="Noto Naskh Arabic" w:hAnsi="Times New Roman"/>
          <w:b/>
          <w:bCs/>
          <w:color w:val="1F4E79"/>
          <w:sz w:val="34"/>
          <w:szCs w:val="34"/>
          <w:rtl/>
        </w:rPr>
        <w:t xml:space="preserve">١. المقدمة</w:t>
      </w:r>
    </w:p>
    <w:p>
      <w:pPr>
        <w:bidi/>
        <w:spacing w:after="120" w:line="336"/>
        <w:jc w:val="both"/>
      </w:pPr>
      <w:r>
        <w:rPr>
          <w:rFonts w:ascii="Times New Roman" w:cs="Noto Naskh Arabic" w:eastAsia="Noto Naskh Arabic" w:hAnsi="Times New Roman"/>
          <w:sz w:val="26"/>
          <w:szCs w:val="26"/>
          <w:rtl/>
        </w:rPr>
        <w:t xml:space="preserve">تواجه السياسة الثقافية اليوم مفارقةً لم تُطوَّر لها — فيما فُحص من أدبيات — أدواتُ حلّ. فهي تُبرَّر في خطابها بما تصنعه الثقافة من معنى ومعرفة وقدرة على النقد والتجدد، لكنها تُقاس في الغالب بما تدرّه من عائد وتصدير وتوظيف. وما دام المقياسان يسيران معاً، لا تظهر المشكلة؛ أما حين يفترقان فإن السياسة تفقد البوصلة التي تعرف بها إن كانت تقترب من غايتها أو تبتعد عنها. وهذه الورقة تسأل عن هذا الافتراق: متى يحدث، وكيف يمكن رصده قبل أن يكتمل، وأي السياسات تبقى نافعة أياً كان المسار الذي يسلكه.</w:t>
      </w:r>
    </w:p>
    <w:p>
      <w:pPr>
        <w:bidi/>
        <w:spacing w:after="120" w:line="336"/>
        <w:jc w:val="both"/>
      </w:pPr>
      <w:r>
        <w:rPr>
          <w:rFonts w:ascii="Times New Roman" w:cs="Noto Naskh Arabic" w:eastAsia="Noto Naskh Arabic" w:hAnsi="Times New Roman"/>
          <w:sz w:val="26"/>
          <w:szCs w:val="26"/>
          <w:rtl/>
        </w:rPr>
        <w:t xml:space="preserve">والسؤال ليس جديداً في جذوره. فقد ميّز الاقتصاد الثقافي منذ عقود بين القيمة الاقتصادية للسلعة الثقافية وقيمتها الثقافية، وجعل طبيعة العلاقة بين القيمتين — كيف تتكوّنان، وكيف ترتبطان أو لا ترتبطان — سؤالاً مركزياً للبحث</w:t>
      </w:r>
      <w:r>
        <w:rPr>
          <w:rStyle w:val="FootnoteReference"/>
        </w:rPr>
        <w:footnoteReference w:id="1"/>
      </w:r>
      <w:r>
        <w:rPr>
          <w:rFonts w:ascii="Times New Roman" w:cs="Noto Naskh Arabic" w:eastAsia="Noto Naskh Arabic" w:hAnsi="Times New Roman"/>
          <w:sz w:val="26"/>
          <w:szCs w:val="26"/>
          <w:rtl/>
        </w:rPr>
        <w:t xml:space="preserve">. وبيّن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أن أدوات التقييم غير السوقي، وفي مقدمتها التقييم الطارئ، تقدّم صورة ناقصة عن قيمة السلع الثقافية مهما أُتقن تطبيقها</w:t>
      </w:r>
      <w:r>
        <w:rPr>
          <w:rStyle w:val="FootnoteReference"/>
        </w:rPr>
        <w:footnoteReference w:id="2"/>
      </w:r>
      <w:r>
        <w:rPr>
          <w:rFonts w:ascii="Times New Roman" w:cs="Noto Naskh Arabic" w:eastAsia="Noto Naskh Arabic" w:hAnsi="Times New Roman"/>
          <w:sz w:val="26"/>
          <w:szCs w:val="26"/>
          <w:rtl/>
        </w:rPr>
        <w:t xml:space="preserve">. وحين حاول هو وزميلته اختبار الثنائية تجريبياً، سجّلا ندرة الأدلة على أن القيمتين ظاهرتان متمايزتان أو على طبيعة العلاقة بينهما</w:t>
      </w:r>
      <w:r>
        <w:rPr>
          <w:rStyle w:val="FootnoteReference"/>
        </w:rPr>
        <w:footnoteReference w:id="3"/>
      </w:r>
      <w:r>
        <w:rPr>
          <w:rFonts w:ascii="Times New Roman" w:cs="Noto Naskh Arabic" w:eastAsia="Noto Naskh Arabic" w:hAnsi="Times New Roman"/>
          <w:sz w:val="26"/>
          <w:szCs w:val="26"/>
          <w:rtl/>
        </w:rPr>
        <w:t xml:space="preserve">. فالسؤال قائم، لكنه بقي في المعالجات المفحوصة معلّقاً على مستوى السلعة المفردة: هذه اللوحة، وهذا العرض، وهذا الكتاب.</w:t>
      </w:r>
    </w:p>
    <w:p>
      <w:pPr>
        <w:bidi/>
        <w:spacing w:after="120" w:line="336"/>
        <w:jc w:val="both"/>
      </w:pPr>
      <w:r>
        <w:rPr>
          <w:rFonts w:ascii="Times New Roman" w:cs="Noto Naskh Arabic" w:eastAsia="Noto Naskh Arabic" w:hAnsi="Times New Roman"/>
          <w:sz w:val="26"/>
          <w:szCs w:val="26"/>
          <w:rtl/>
        </w:rPr>
        <w:t xml:space="preserve">غير أن ما تحتاجه السياسة الثقافية ليس معرفة قيمة لوحة بعينها، بل معرفة اتجاه النظام كله. فالقرار السياساتي لا يُتخذ لعمل منفرد، بل لمنظومة من التمويل والوساطة والمؤسسات والجمهور، تتغير عبر الزمن تحت ضغوط لا تتحكم فيها. ومن هنا ينتقل سؤال القيمة من مستواه الساكن إلى مستوى آخر: ليس «ما قيمة هذا الشيء؟» بل «إلى أين تمضي العلاقة بين قيمتي النظام الثقافي، وماذا يغيّر مسارها؟». وهذا سؤال استشرافي بطبيعته.</w:t>
      </w:r>
    </w:p>
    <w:p>
      <w:pPr>
        <w:bidi/>
        <w:spacing w:after="120" w:line="336"/>
        <w:jc w:val="both"/>
      </w:pPr>
      <w:r>
        <w:rPr>
          <w:rFonts w:ascii="Times New Roman" w:cs="Noto Naskh Arabic" w:eastAsia="Noto Naskh Arabic" w:hAnsi="Times New Roman"/>
          <w:sz w:val="26"/>
          <w:szCs w:val="26"/>
          <w:rtl/>
        </w:rPr>
        <w:t xml:space="preserve">وتزيد التحولات الراهنة من إلحاح السؤال. فقد قدّرت منظمة الأمم المتحدة للتجارة والتنمية أن صادرات الخدمات الإبداعية بلغت ١٫٧ تريليون دولار عام ٢٠٢٤، بنمو سنوي قدره ١٢٪</w:t>
      </w:r>
      <w:r>
        <w:rPr>
          <w:rStyle w:val="FootnoteReference"/>
        </w:rPr>
        <w:footnoteReference w:id="4"/>
      </w:r>
      <w:r>
        <w:rPr>
          <w:rFonts w:ascii="Times New Roman" w:cs="Noto Naskh Arabic" w:eastAsia="Noto Naskh Arabic" w:hAnsi="Times New Roman"/>
          <w:sz w:val="26"/>
          <w:szCs w:val="26"/>
          <w:rtl/>
        </w:rPr>
        <w:t xml:space="preserve">. وفي المقابل، أفاد تقرير اليونسكو الرابع لرصد اتفاقية ٢٠٠٥ بأن التمويل العام المباشر للثقافة دون ٠٫٦٪ من الناتج العالمي ومتراجع، وبأن حوكمة الذكاء الاصطناعي ما تزال تُغفل القطاعات الإبداعية</w:t>
      </w:r>
      <w:r>
        <w:rPr>
          <w:rStyle w:val="FootnoteReference"/>
        </w:rPr>
        <w:footnoteReference w:id="5"/>
      </w:r>
      <w:r>
        <w:rPr>
          <w:rFonts w:ascii="Times New Roman" w:cs="Noto Naskh Arabic" w:eastAsia="Noto Naskh Arabic" w:hAnsi="Times New Roman"/>
          <w:sz w:val="26"/>
          <w:szCs w:val="26"/>
          <w:rtl/>
        </w:rPr>
        <w:t xml:space="preserve">. ولا يصح أن تُقرأ هذه الأرقام قراءة مباشرة بوصفها دليلاً على أن السوق ينمو والثقافة تذبل؛ فهي تقيس نطاقات مختلفة بتعريفات مختلفة، كما سيتضح في القسم الثالث. لكنها تكفي للإشارة إلى أن ما يُقاس من الثقافة ينمو بإيقاع، وما يُموَّل منها عمومياً يسير بإيقاع آخر.</w:t>
      </w:r>
    </w:p>
    <w:p>
      <w:pPr>
        <w:bidi/>
        <w:spacing w:after="120" w:line="336"/>
        <w:jc w:val="both"/>
      </w:pPr>
      <w:r>
        <w:rPr>
          <w:rFonts w:ascii="Times New Roman" w:cs="Noto Naskh Arabic" w:eastAsia="Noto Naskh Arabic" w:hAnsi="Times New Roman"/>
          <w:sz w:val="26"/>
          <w:szCs w:val="26"/>
          <w:rtl/>
        </w:rPr>
        <w:t xml:space="preserve">وتكشف القراءة المتأنية لهذه البيانات أمراً أبعد من اختلاف الإيقاع. فحين يُفكَّك رقم الخدمات الإبداعية إلى مكوّناته، يتبيّن أن البرمجيات والبحث والتطوير شكّلا معاً نحو ٧٢٪ منه عام ٢٠٢٢، بينما لم تتجاوز الخدمات الثقافية والترفيهية والتراثية ٠٫٦٪، والسمعي البصري ٧٫٩٪</w:t>
      </w:r>
      <w:r>
        <w:rPr>
          <w:rStyle w:val="FootnoteReference"/>
        </w:rPr>
        <w:footnoteReference w:id="6"/>
      </w:r>
      <w:r>
        <w:rPr>
          <w:rFonts w:ascii="Times New Roman" w:cs="Noto Naskh Arabic" w:eastAsia="Noto Naskh Arabic" w:hAnsi="Times New Roman"/>
          <w:sz w:val="26"/>
          <w:szCs w:val="26"/>
          <w:rtl/>
        </w:rPr>
        <w:t xml:space="preserve">. والحصة الثقافية الفعلية أكبر من ٠٫٦٪، لأن جزءاً من البرمجيات محتوى ثقافي، لكنها تبقى أقلية في أي تقدير معقول. ومعنى ذلك أن المؤشر الذي يبدو شاهداً على ازدهار اقتصادي للثقافة يقيس في معظمه شيئاً آخر. وهذا وحده يكفي لإثارة الشك في قدرة السياسة الثقافية على معرفة ما يحدث لموضوعها الحقيقي.</w:t>
      </w:r>
    </w:p>
    <w:p>
      <w:pPr>
        <w:bidi/>
        <w:spacing w:after="120" w:line="336"/>
        <w:jc w:val="both"/>
      </w:pPr>
      <w:r>
        <w:rPr>
          <w:rFonts w:ascii="Times New Roman" w:cs="Noto Naskh Arabic" w:eastAsia="Noto Naskh Arabic" w:hAnsi="Times New Roman"/>
          <w:sz w:val="26"/>
          <w:szCs w:val="26"/>
          <w:rtl/>
        </w:rPr>
        <w:t xml:space="preserve">ويضيف تطور الوساطة الرقمية طبقة أخرى من التعقيد. فقد بيّنت أدبيات «منصّنة» الإنتاج الثقافي أن السلعة الثقافية صارت طارئة: تُصمَّم وحداتٍ قابلة لإعادة التركيب، وتُعاد صياغتها باستمرار في ضوء بيانات المستخدمين، داخل أسواق متعددة الأطراف تهيمن عليها شركات المنصات الكبرى</w:t>
      </w:r>
      <w:r>
        <w:rPr>
          <w:rStyle w:val="FootnoteReference"/>
        </w:rPr>
        <w:footnoteReference w:id="7"/>
      </w:r>
      <w:r>
        <w:rPr>
          <w:rFonts w:ascii="Times New Roman" w:cs="Noto Naskh Arabic" w:eastAsia="Noto Naskh Arabic" w:hAnsi="Times New Roman"/>
          <w:sz w:val="26"/>
          <w:szCs w:val="26"/>
          <w:rtl/>
        </w:rPr>
        <w:t xml:space="preserve">. ورصدت الأبحاث اللاحقة أثر ذلك في التنوع والإبداع والعمل واستقلال المنتجين</w:t>
      </w:r>
      <w:r>
        <w:rPr>
          <w:rStyle w:val="FootnoteReference"/>
        </w:rPr>
        <w:footnoteReference w:id="8"/>
      </w:r>
      <w:r>
        <w:rPr>
          <w:rFonts w:ascii="Times New Roman" w:cs="Noto Naskh Arabic" w:eastAsia="Noto Naskh Arabic" w:hAnsi="Times New Roman"/>
          <w:sz w:val="26"/>
          <w:szCs w:val="26"/>
          <w:rtl/>
        </w:rPr>
        <w:t xml:space="preserve">. فإذا كانت القيمة الاقتصادية للمحتوى الثقافي تُصنع الآن في جزء كبير منها داخل منطق الانتباه، فإن السؤال عن مصير قيمته الفكرية لم يعد سؤالاً فلسفياً مجرداً، بل سؤالاً عن حوكمة بنية تحتية.</w:t>
      </w:r>
    </w:p>
    <w:p>
      <w:pPr>
        <w:bidi/>
        <w:spacing w:after="120" w:line="336"/>
        <w:jc w:val="both"/>
      </w:pPr>
      <w:r>
        <w:rPr>
          <w:rFonts w:ascii="Times New Roman" w:cs="Noto Naskh Arabic" w:eastAsia="Noto Naskh Arabic" w:hAnsi="Times New Roman"/>
          <w:sz w:val="26"/>
          <w:szCs w:val="26"/>
          <w:rtl/>
        </w:rPr>
        <w:t xml:space="preserve">لكن الحقل الذي ينبغي أن يتولى هذا السؤال — حقل السياسة الثقافية — لم يطوّر لنفسه تقليداً منهجياً في استشراف المستقبل. ويصرّح باحثون من داخله بأن صناعة السياسة الثقافية وبحثها يفتقران، فيما يبدو، إلى مناهج مجرَّبة لتخيّل المستقبلات، خلافاً لحقول كالصحة والبيئة</w:t>
      </w:r>
      <w:r>
        <w:rPr>
          <w:rStyle w:val="FootnoteReference"/>
        </w:rPr>
        <w:footnoteReference w:id="9"/>
      </w:r>
      <w:r>
        <w:rPr>
          <w:rFonts w:ascii="Times New Roman" w:cs="Noto Naskh Arabic" w:eastAsia="Noto Naskh Arabic" w:hAnsi="Times New Roman"/>
          <w:sz w:val="26"/>
          <w:szCs w:val="26"/>
          <w:rtl/>
        </w:rPr>
        <w:t xml:space="preserve">. وهذا لا يعني غياب التفكير في المستقبل كلياً: فقد أطلقت اليونسكو في مطلع التسعينيات مشروعاً عن «مستقبلات الثقافات» صدر تركيبه عام ١٩٩٤</w:t>
      </w:r>
      <w:r>
        <w:rPr>
          <w:rStyle w:val="FootnoteReference"/>
        </w:rPr>
        <w:footnoteReference w:id="10"/>
      </w:r>
      <w:r>
        <w:rPr>
          <w:rFonts w:ascii="Times New Roman" w:cs="Noto Naskh Arabic" w:eastAsia="Noto Naskh Arabic" w:hAnsi="Times New Roman"/>
          <w:sz w:val="26"/>
          <w:szCs w:val="26"/>
          <w:rtl/>
        </w:rPr>
        <w:t xml:space="preserve">، وناقش </w:t>
      </w:r>
      <w:r>
        <w:rPr>
          <w:rFonts w:ascii="Times New Roman" w:cs="Noto Naskh Arabic" w:eastAsia="Noto Naskh Arabic" w:hAnsi="Times New Roman"/>
          <w:sz w:val="26"/>
          <w:szCs w:val="26"/>
          <w:rtl w:val="false"/>
        </w:rPr>
        <w:t xml:space="preserve">Mangset (2020</w:t>
      </w:r>
      <w:r>
        <w:rPr>
          <w:rFonts w:ascii="Times New Roman" w:cs="Noto Naskh Arabic" w:eastAsia="Noto Naskh Arabic" w:hAnsi="Times New Roman"/>
          <w:sz w:val="26"/>
          <w:szCs w:val="26"/>
          <w:rtl/>
        </w:rPr>
        <w:t xml:space="preserve">)</w:t>
      </w:r>
      <w:r>
        <w:rPr>
          <w:rStyle w:val="FootnoteReference"/>
        </w:rPr>
        <w:footnoteReference w:id="11"/>
      </w:r>
      <w:r>
        <w:rPr>
          <w:rFonts w:ascii="Times New Roman" w:cs="Noto Naskh Arabic" w:eastAsia="Noto Naskh Arabic" w:hAnsi="Times New Roman"/>
          <w:sz w:val="26"/>
          <w:szCs w:val="26"/>
          <w:rtl/>
        </w:rPr>
        <w:t xml:space="preserve"> سبعة تحديات تواجه السياسة الثقافية العامة وصاغها صياغة السيناريوهات. لكن ما وُجد إما استشراف ثقافي عام لا يتناول السياسة أداةً، وإما نقاش حجاجي في مستقبل السياسة لا يستخدم أدوات استشرافية منهجية.</w:t>
      </w:r>
    </w:p>
    <w:p>
      <w:pPr>
        <w:bidi/>
        <w:spacing w:after="120" w:line="336"/>
        <w:jc w:val="both"/>
      </w:pPr>
      <w:r>
        <w:rPr>
          <w:rFonts w:ascii="Times New Roman" w:cs="Noto Naskh Arabic" w:eastAsia="Noto Naskh Arabic" w:hAnsi="Times New Roman"/>
          <w:sz w:val="26"/>
          <w:szCs w:val="26"/>
          <w:rtl/>
        </w:rPr>
        <w:t xml:space="preserve">ويقع هذا البحث في الفراغ بين المسارين. فهو لا يقدّم نظرية جديدة في القيمة الثقافية، ولا منهجاً استشرافياً جديداً، بل يطبّق أدوات الاستشراف المنهجي — تحليل المحركات، ومصفوفة التأثير المتبادل، والسيناريوهات، والمحاكاة الديناميكية، واختبار المتانة — على موضوع لم تُطبَّق عليه بهذه الصورة فيما فُحص من أدبيات: مسارات العلاقة بين القيمة الاقتصادية والقيمة الفكرية للثقافة على مستوى نظام السياسة، حتى عام ٢٠٥٠.</w:t>
      </w:r>
    </w:p>
    <w:p>
      <w:pPr>
        <w:bidi/>
        <w:spacing w:after="120" w:line="336"/>
        <w:jc w:val="both"/>
      </w:pPr>
      <w:r>
        <w:rPr>
          <w:rFonts w:ascii="Times New Roman" w:cs="Noto Naskh Arabic" w:eastAsia="Noto Naskh Arabic" w:hAnsi="Times New Roman"/>
          <w:sz w:val="26"/>
          <w:szCs w:val="26"/>
          <w:rtl/>
        </w:rPr>
        <w:t xml:space="preserve">ويتطلب ذلك تمييزاً مفاهيمياً تقوم عليه الورقة كلها. فالقيمة الثقافية عند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صفةٌ تُنسب إلى السلعة وتُدرَك عند متلقيها. أما ما تسميه هذه الورقة «القيمة الفكرية» فخاصيةٌ للنظام الثقافي: قدرته على إنتاج المعنى والمعرفة وتداولهما ومساءلتهما وتجديدهما، باستقلال نسبي عن منطق التمويل ومنطق الانتباه. وهذا التعريف ليس منبتّاً، فهو تطوير لمفهوم «الحيوية الثقافية» الذي عرّفه </w:t>
      </w:r>
      <w:r>
        <w:rPr>
          <w:rFonts w:ascii="Times New Roman" w:cs="Noto Naskh Arabic" w:eastAsia="Noto Naskh Arabic" w:hAnsi="Times New Roman"/>
          <w:sz w:val="26"/>
          <w:szCs w:val="26"/>
          <w:rtl w:val="false"/>
        </w:rPr>
        <w:t xml:space="preserve">Jackson</w:t>
      </w:r>
      <w:r>
        <w:rPr>
          <w:rFonts w:ascii="Times New Roman" w:cs="Noto Naskh Arabic" w:eastAsia="Noto Naskh Arabic" w:hAnsi="Times New Roman"/>
          <w:sz w:val="26"/>
          <w:szCs w:val="26"/>
          <w:rtl/>
        </w:rPr>
        <w:t xml:space="preserve"> وزميلاه بأنه دليل على إنشاء الفنون والثقافة ونشرها وإقرارها ودعمها في الحياة اليومية للمجتمعات المحلية</w:t>
      </w:r>
      <w:r>
        <w:rPr>
          <w:rStyle w:val="FootnoteReference"/>
        </w:rPr>
        <w:footnoteReference w:id="12"/>
      </w:r>
      <w:r>
        <w:rPr>
          <w:rFonts w:ascii="Times New Roman" w:cs="Noto Naskh Arabic" w:eastAsia="Noto Naskh Arabic" w:hAnsi="Times New Roman"/>
          <w:sz w:val="26"/>
          <w:szCs w:val="26"/>
          <w:rtl/>
        </w:rPr>
        <w:t xml:space="preserve">؛ ويضيف إليه بُعدين: الاستقلال، والتنوع الفاعل الذي يُقاس بما يُستهلك لا بما يُعرض فقط.</w:t>
      </w:r>
    </w:p>
    <w:p>
      <w:pPr>
        <w:bidi/>
        <w:spacing w:after="120" w:line="336"/>
        <w:jc w:val="both"/>
      </w:pPr>
      <w:r>
        <w:rPr>
          <w:rFonts w:ascii="Times New Roman" w:cs="Noto Naskh Arabic" w:eastAsia="Noto Naskh Arabic" w:hAnsi="Times New Roman"/>
          <w:sz w:val="26"/>
          <w:szCs w:val="26"/>
          <w:rtl/>
        </w:rPr>
        <w:t xml:space="preserve">ومن هذا التمييز تنشأ الفرضيتان المتنافستان اللتان تنظّمان البحث. الأولى فرضية </w:t>
      </w:r>
      <w:r>
        <w:rPr>
          <w:rFonts w:ascii="Times New Roman" w:cs="Noto Naskh Arabic" w:eastAsia="Noto Naskh Arabic" w:hAnsi="Times New Roman"/>
          <w:b/>
          <w:bCs/>
          <w:sz w:val="26"/>
          <w:szCs w:val="26"/>
          <w:rtl/>
        </w:rPr>
        <w:t xml:space="preserve">التباعد الحقيقي</w:t>
      </w:r>
      <w:r>
        <w:rPr>
          <w:rFonts w:ascii="Times New Roman" w:cs="Noto Naskh Arabic" w:eastAsia="Noto Naskh Arabic" w:hAnsi="Times New Roman"/>
          <w:sz w:val="26"/>
          <w:szCs w:val="26"/>
          <w:rtl/>
        </w:rPr>
        <w:t xml:space="preserve">: أن القيمتين قد تفترقان فعلاً تحت ترتيبات مؤسسية معيّنة، فينمو العائد بينما تتآكل القدرة. وهي صياغة ديناميكية استشرافية لفكرة سابقة في أدبيات الاقتصاد الثقافي، مؤداها أن الاعتبارات المالية قد تزاحم أبعاد القيمة الأخرى</w:t>
      </w:r>
      <w:r>
        <w:rPr>
          <w:rStyle w:val="FootnoteReference"/>
        </w:rPr>
        <w:footnoteReference w:id="13"/>
      </w:r>
      <w:r>
        <w:rPr>
          <w:rFonts w:ascii="Times New Roman" w:cs="Noto Naskh Arabic" w:eastAsia="Noto Naskh Arabic" w:hAnsi="Times New Roman"/>
          <w:sz w:val="26"/>
          <w:szCs w:val="26"/>
          <w:rtl/>
        </w:rPr>
        <w:t xml:space="preserve">. والثانية فرضية </w:t>
      </w:r>
      <w:r>
        <w:rPr>
          <w:rFonts w:ascii="Times New Roman" w:cs="Noto Naskh Arabic" w:eastAsia="Noto Naskh Arabic" w:hAnsi="Times New Roman"/>
          <w:b/>
          <w:bCs/>
          <w:sz w:val="26"/>
          <w:szCs w:val="26"/>
          <w:rtl/>
        </w:rPr>
        <w:t xml:space="preserve">تباعد القياس</w:t>
      </w:r>
      <w:r>
        <w:rPr>
          <w:rFonts w:ascii="Times New Roman" w:cs="Noto Naskh Arabic" w:eastAsia="Noto Naskh Arabic" w:hAnsi="Times New Roman"/>
          <w:sz w:val="26"/>
          <w:szCs w:val="26"/>
          <w:rtl/>
        </w:rPr>
        <w:t xml:space="preserve">: أن ما يبدو افتراقاً قد يكون في حقيقته اختلافاً في قابلية القياس، إذ تُقاس إحدى القيمتين بدقة وتغيب الأخرى عن الرصد. ولا تفترض الورقة صحة إحداهما سلفاً، بل تسأل عما يميّز بينهما، وما يترتب على كل منهما في تصميم السياسة.</w:t>
      </w:r>
    </w:p>
    <w:p>
      <w:pPr>
        <w:bidi/>
        <w:spacing w:after="120" w:line="336"/>
        <w:jc w:val="both"/>
      </w:pPr>
      <w:r>
        <w:rPr>
          <w:rFonts w:ascii="Times New Roman" w:cs="Noto Naskh Arabic" w:eastAsia="Noto Naskh Arabic" w:hAnsi="Times New Roman"/>
          <w:sz w:val="26"/>
          <w:szCs w:val="26"/>
          <w:rtl/>
        </w:rPr>
        <w:t xml:space="preserve">وتختبر الورقة أيضاً «مستقبلاً ماضياً». فمن القضايا التي طرحها فريق اليونسكو العامل سنة ١٩٩٠ أن قوى التنميط تعمل مجتمعةً وتراكمياً على تجانس الثقافات أو دفعها إلى مواقع زخرفية وهامشية</w:t>
      </w:r>
      <w:r>
        <w:rPr>
          <w:rStyle w:val="FootnoteReference"/>
        </w:rPr>
        <w:footnoteReference w:id="14"/>
      </w:r>
      <w:r>
        <w:rPr>
          <w:rFonts w:ascii="Times New Roman" w:cs="Noto Naskh Arabic" w:eastAsia="Noto Naskh Arabic" w:hAnsi="Times New Roman"/>
          <w:sz w:val="26"/>
          <w:szCs w:val="26"/>
          <w:rtl/>
        </w:rPr>
        <w:t xml:space="preserve">. وبعد خمس وثلاثين سنة، تتيح البيانات المتراكمة اختبار هذا التوقع في طبقة القيم على الأقل، وهو اختبار نادر في أدبيات الاستشراف الثقافي، ويكشف — كما سيأتي — أن مصير الثقافة قد يختلف من طبقة إلى أخرى.</w:t>
      </w:r>
    </w:p>
    <w:p>
      <w:pPr>
        <w:bidi/>
        <w:spacing w:after="120" w:line="336"/>
        <w:jc w:val="both"/>
      </w:pPr>
      <w:r>
        <w:rPr>
          <w:rFonts w:ascii="Times New Roman" w:cs="Noto Naskh Arabic" w:eastAsia="Noto Naskh Arabic" w:hAnsi="Times New Roman"/>
          <w:sz w:val="26"/>
          <w:szCs w:val="26"/>
          <w:rtl/>
        </w:rPr>
        <w:t xml:space="preserve">وتلتزم الورقة بحدود معلنة. فهي تعتمد أدلة ثانوية منشورة، ولا تدّعي إجراء عمل ميداني. والمحاكاة التي تستخدمها مبنية على معاملات غير معايَرة، وقيمتها في كشف العتبات والمؤشرات الفاصلة لا في أرقامها. ودرجات مصفوفة التأثير المتبادل حكمٌ للباحث لم يُعرض بعد على لجنة خبراء مستقلة. وتفصل الورقة في كل موضع بين ما هو مثبت، وما هو تقدير، وما هو سيناريو.</w:t>
      </w:r>
    </w:p>
    <w:p>
      <w:pPr>
        <w:bidi/>
        <w:spacing w:after="120" w:line="336"/>
        <w:jc w:val="both"/>
      </w:pPr>
      <w:r>
        <w:rPr>
          <w:rFonts w:ascii="Times New Roman" w:cs="Noto Naskh Arabic" w:eastAsia="Noto Naskh Arabic" w:hAnsi="Times New Roman"/>
          <w:sz w:val="26"/>
          <w:szCs w:val="26"/>
          <w:rtl/>
        </w:rPr>
        <w:t xml:space="preserve">وتمضي الورقة على النحو الآتي. يحدّد القسم الثاني المشكلة والفجوة والأهداف. ويبني القسم الثالث الأسس المفاهيمية، فيميّز بين القيم الثلاث ويعرّف القيمة الفكرية إجرائياً. ويراجع القسم الرابع الأدبيات مراجعة نقدية. ويعرض القسم الخامس المنهجية. ويحلل القسم السادس آليات الربط بين القيمتين. ويبني القسم السابع السيناريوهات، ويقدّم القسم الثامن النموذج والعتبات وإطار القياس. ويعرض القسم التاسع المقارنات الدولية، ويستخلص العاشر أفضل الممارسات في مؤسسات الاستشراف والتدريب على السيناريوهات والتعليم الجامعي، ويقترح الحادي عشر السياسات المتينة، ويختم الثاني عشر بالمناقشة والخاتمة.</w:t>
      </w:r>
    </w:p>
    <w:p>
      <w:pPr>
        <w:pStyle w:val="Heading1"/>
        <w:bidi/>
        <w:jc w:val="right"/>
      </w:pPr>
      <w:r>
        <w:rPr>
          <w:rFonts w:ascii="Times New Roman" w:cs="Noto Naskh Arabic" w:eastAsia="Noto Naskh Arabic" w:hAnsi="Times New Roman"/>
          <w:b/>
          <w:bCs/>
          <w:color w:val="1F4E79"/>
          <w:sz w:val="34"/>
          <w:szCs w:val="34"/>
          <w:rtl/>
        </w:rPr>
        <w:t xml:space="preserve">٢. المشكلة البحثية والفجوة والأهداف</w:t>
      </w:r>
    </w:p>
    <w:p>
      <w:pPr>
        <w:pStyle w:val="Heading2"/>
        <w:bidi/>
        <w:jc w:val="right"/>
      </w:pPr>
      <w:r>
        <w:rPr>
          <w:rFonts w:ascii="Times New Roman" w:cs="Noto Naskh Arabic" w:eastAsia="Noto Naskh Arabic" w:hAnsi="Times New Roman"/>
          <w:b/>
          <w:bCs/>
          <w:color w:val="1F4E79"/>
          <w:sz w:val="28"/>
          <w:szCs w:val="28"/>
          <w:rtl/>
        </w:rPr>
        <w:t xml:space="preserve">٢-١ المشكلة</w:t>
      </w:r>
    </w:p>
    <w:p>
      <w:pPr>
        <w:bidi/>
        <w:spacing w:after="120" w:line="336"/>
        <w:jc w:val="both"/>
      </w:pPr>
      <w:r>
        <w:rPr>
          <w:rFonts w:ascii="Times New Roman" w:cs="Noto Naskh Arabic" w:eastAsia="Noto Naskh Arabic" w:hAnsi="Times New Roman"/>
          <w:sz w:val="26"/>
          <w:szCs w:val="26"/>
          <w:rtl/>
        </w:rPr>
        <w:t xml:space="preserve">تتشكّل مشكلة البحث من التقاء ثلاثة أوضاع، كلٌّ منها موثّق على حدة، لكن اجتماعها لم يُعالَج بوصفه موضوعاً واحداً.</w:t>
      </w:r>
    </w:p>
    <w:p>
      <w:pPr>
        <w:bidi/>
        <w:spacing w:after="120" w:line="336"/>
        <w:jc w:val="both"/>
      </w:pPr>
      <w:r>
        <w:rPr>
          <w:rFonts w:ascii="Times New Roman" w:cs="Noto Naskh Arabic" w:eastAsia="Noto Naskh Arabic" w:hAnsi="Times New Roman"/>
          <w:sz w:val="26"/>
          <w:szCs w:val="26"/>
          <w:rtl/>
        </w:rPr>
        <w:t xml:space="preserve">الوضع الأول </w:t>
      </w:r>
      <w:r>
        <w:rPr>
          <w:rFonts w:ascii="Times New Roman" w:cs="Noto Naskh Arabic" w:eastAsia="Noto Naskh Arabic" w:hAnsi="Times New Roman"/>
          <w:b/>
          <w:bCs/>
          <w:sz w:val="26"/>
          <w:szCs w:val="26"/>
          <w:rtl/>
        </w:rPr>
        <w:t xml:space="preserve">لاتماثل في القياس</w:t>
      </w:r>
      <w:r>
        <w:rPr>
          <w:rFonts w:ascii="Times New Roman" w:cs="Noto Naskh Arabic" w:eastAsia="Noto Naskh Arabic" w:hAnsi="Times New Roman"/>
          <w:sz w:val="26"/>
          <w:szCs w:val="26"/>
          <w:rtl/>
        </w:rPr>
        <w:t xml:space="preserve">. فما يتوفر لصانع القرار من مؤشرات منشورة عن الثقافة يكاد يكون كله اقتصادياً أو إنفاقياً أو تجارياً: الإسهام في الناتج، وحصة التوظيف، وحجم الصادرات، ونصيب الفرد من الإنفاق العام. وبحسب ما أعلنته اليونسكو عند إطلاق تقريرها العالمي الأول عن السياسات الثقافية، يبلغ إسهام الصناعات الثقافية والإبداعية ٣٫٣٩٪ من الناتج العالمي و٣٫٥٥٪ من التوظيف، استناداً إلى نحو ١٢٠٠ تقرير وطني ومحلي و٢٠٠ دراسة حالة بين ٢٠١٩ و٢٠٢٤</w:t>
      </w:r>
      <w:r>
        <w:rPr>
          <w:rStyle w:val="FootnoteReference"/>
        </w:rPr>
        <w:footnoteReference w:id="15"/>
      </w:r>
      <w:r>
        <w:rPr>
          <w:rFonts w:ascii="Times New Roman" w:cs="Noto Naskh Arabic" w:eastAsia="Noto Naskh Arabic" w:hAnsi="Times New Roman"/>
          <w:sz w:val="26"/>
          <w:szCs w:val="26"/>
          <w:rtl/>
        </w:rPr>
        <w:t xml:space="preserve">. وهذه معرفة ثمينة، لكنها لا تقول شيئاً عن قدرة النظام الثقافي على إنتاج المعنى ومساءلته وتجديده. وحين جُمعت قاعدة إحصاءات هذا البحث من المصادر الدولية الرسمية، ضمّت أحد عشر مؤشراً مسنداً إلى جهاتها — سبعة منها طوبقت على المصدر الأصلي، وأربعة نُقلت من ملخصات الإطلاق بانتظار مطابقتها على متن التقارير — لم يكن بينها مؤشر واحد لهذه القدرة.</w:t>
      </w:r>
    </w:p>
    <w:p>
      <w:pPr>
        <w:bidi/>
        <w:spacing w:after="120" w:line="336"/>
        <w:jc w:val="both"/>
      </w:pPr>
      <w:r>
        <w:rPr>
          <w:rFonts w:ascii="Times New Roman" w:cs="Noto Naskh Arabic" w:eastAsia="Noto Naskh Arabic" w:hAnsi="Times New Roman"/>
          <w:sz w:val="26"/>
          <w:szCs w:val="26"/>
          <w:rtl/>
        </w:rPr>
        <w:t xml:space="preserve">الوضع الثاني </w:t>
      </w:r>
      <w:r>
        <w:rPr>
          <w:rFonts w:ascii="Times New Roman" w:cs="Noto Naskh Arabic" w:eastAsia="Noto Naskh Arabic" w:hAnsi="Times New Roman"/>
          <w:b/>
          <w:bCs/>
          <w:sz w:val="26"/>
          <w:szCs w:val="26"/>
          <w:rtl/>
        </w:rPr>
        <w:t xml:space="preserve">انزياح في الموضوع المقيس</w:t>
      </w:r>
      <w:r>
        <w:rPr>
          <w:rFonts w:ascii="Times New Roman" w:cs="Noto Naskh Arabic" w:eastAsia="Noto Naskh Arabic" w:hAnsi="Times New Roman"/>
          <w:sz w:val="26"/>
          <w:szCs w:val="26"/>
          <w:rtl/>
        </w:rPr>
        <w:t xml:space="preserve">. فأحد أبرز المؤشرات الاقتصادية المنشورة — صادرات «الخدمات الإبداعية» — يقع معظمه خارج النواة التي تخدمها السياسة الثقافية، كما بيّنت المقدمة. وحين تستند سياسة ثقافية إلى نمو هذا المؤشر في تسويغ نفسها، فإنها تستند إلى نمو قطاعات مجاورة لها، لا إليها. وهذا لا يُبطل المؤشر، لكنه يُبطل استعماله دليلاً على صحة القيمة الاقتصادية للثقافة بمعناها الضيق، فضلاً عن قيمتها الفكرية.</w:t>
      </w:r>
    </w:p>
    <w:p>
      <w:pPr>
        <w:bidi/>
        <w:spacing w:after="120" w:line="336"/>
        <w:jc w:val="both"/>
      </w:pPr>
      <w:r>
        <w:rPr>
          <w:rFonts w:ascii="Times New Roman" w:cs="Noto Naskh Arabic" w:eastAsia="Noto Naskh Arabic" w:hAnsi="Times New Roman"/>
          <w:sz w:val="26"/>
          <w:szCs w:val="26"/>
          <w:rtl/>
        </w:rPr>
        <w:t xml:space="preserve">الوضع الثالث </w:t>
      </w:r>
      <w:r>
        <w:rPr>
          <w:rFonts w:ascii="Times New Roman" w:cs="Noto Naskh Arabic" w:eastAsia="Noto Naskh Arabic" w:hAnsi="Times New Roman"/>
          <w:b/>
          <w:bCs/>
          <w:sz w:val="26"/>
          <w:szCs w:val="26"/>
          <w:rtl/>
        </w:rPr>
        <w:t xml:space="preserve">غياب أداة استشرافية خاصة بالحقل</w:t>
      </w:r>
      <w:r>
        <w:rPr>
          <w:rFonts w:ascii="Times New Roman" w:cs="Noto Naskh Arabic" w:eastAsia="Noto Naskh Arabic" w:hAnsi="Times New Roman"/>
          <w:sz w:val="26"/>
          <w:szCs w:val="26"/>
          <w:rtl/>
        </w:rPr>
        <w:t xml:space="preserve">. فالاستشراف الاستراتيجي في السياسات العامة حقل له أدبياته المنهجية، سواء في اختيار الأدوات</w:t>
      </w:r>
      <w:r>
        <w:rPr>
          <w:rStyle w:val="FootnoteReference"/>
        </w:rPr>
        <w:footnoteReference w:id="16"/>
      </w:r>
      <w:r>
        <w:rPr>
          <w:rFonts w:ascii="Times New Roman" w:cs="Noto Naskh Arabic" w:eastAsia="Noto Naskh Arabic" w:hAnsi="Times New Roman"/>
          <w:sz w:val="26"/>
          <w:szCs w:val="26"/>
          <w:rtl/>
        </w:rPr>
        <w:t xml:space="preserve"> أو في التجارب الحكومية المقارنة</w:t>
      </w:r>
      <w:r>
        <w:rPr>
          <w:rStyle w:val="FootnoteReference"/>
        </w:rPr>
        <w:footnoteReference w:id="17"/>
      </w:r>
      <w:r>
        <w:rPr>
          <w:rFonts w:ascii="Times New Roman" w:cs="Noto Naskh Arabic" w:eastAsia="Noto Naskh Arabic" w:hAnsi="Times New Roman"/>
          <w:sz w:val="26"/>
          <w:szCs w:val="26"/>
          <w:rtl/>
        </w:rPr>
        <w:t xml:space="preserve"> أو في الأدلة التطبيقية الرسمية</w:t>
      </w:r>
      <w:r>
        <w:rPr>
          <w:rStyle w:val="FootnoteReference"/>
        </w:rPr>
        <w:footnoteReference w:id="18"/>
      </w:r>
      <w:r>
        <w:rPr>
          <w:rFonts w:ascii="Times New Roman" w:cs="Noto Naskh Arabic" w:eastAsia="Noto Naskh Arabic" w:hAnsi="Times New Roman"/>
          <w:sz w:val="26"/>
          <w:szCs w:val="26"/>
          <w:rtl/>
        </w:rPr>
        <w:t xml:space="preserve">. وقد بيّن </w:t>
      </w:r>
      <w:r>
        <w:rPr>
          <w:rFonts w:ascii="Times New Roman" w:cs="Noto Naskh Arabic" w:eastAsia="Noto Naskh Arabic" w:hAnsi="Times New Roman"/>
          <w:sz w:val="26"/>
          <w:szCs w:val="26"/>
          <w:rtl w:val="false"/>
        </w:rPr>
        <w:t xml:space="preserve">Habegger</w:t>
      </w:r>
      <w:r>
        <w:rPr>
          <w:rFonts w:ascii="Times New Roman" w:cs="Noto Naskh Arabic" w:eastAsia="Noto Naskh Arabic" w:hAnsi="Times New Roman"/>
          <w:sz w:val="26"/>
          <w:szCs w:val="26"/>
          <w:rtl/>
        </w:rPr>
        <w:t xml:space="preserve"> أن الاستشراف يخدم السياسة العامة بطريقين: يزوّدها بمعرفة منهجية عن الاتجاهات والتطورات في بيئتها، ويحرّك بين صنّاعها تعلماً اجتماعياً متبادلاً يولّد رؤى مشتركة. لكن هذه الأدوات لم تُكيَّف بعد — فيما فُحص — لموضوع السياسة الثقافية المخصوص: العلاقة بين ما تدرّه الثقافة وما تصنعه.</w:t>
      </w:r>
    </w:p>
    <w:p>
      <w:pPr>
        <w:bidi/>
        <w:spacing w:after="120" w:line="336"/>
        <w:jc w:val="both"/>
      </w:pPr>
      <w:r>
        <w:rPr>
          <w:rFonts w:ascii="Times New Roman" w:cs="Noto Naskh Arabic" w:eastAsia="Noto Naskh Arabic" w:hAnsi="Times New Roman"/>
          <w:sz w:val="26"/>
          <w:szCs w:val="26"/>
          <w:rtl/>
        </w:rPr>
        <w:t xml:space="preserve">وعند التقاء الأوضاع الثلاثة تتحدد المشكلة: </w:t>
      </w:r>
      <w:r>
        <w:rPr>
          <w:rFonts w:ascii="Times New Roman" w:cs="Noto Naskh Arabic" w:eastAsia="Noto Naskh Arabic" w:hAnsi="Times New Roman"/>
          <w:b/>
          <w:bCs/>
          <w:sz w:val="26"/>
          <w:szCs w:val="26"/>
          <w:rtl/>
        </w:rPr>
        <w:t xml:space="preserve">لا يملك صانع السياسة الثقافية، فيما رُصد من أدبيات وأدوات، وسيلةً لمعرفة متى يتوقف نمو القيمة الاقتصادية عن خدمة القيمة الفكرية، ولا لتمييز التراجع الحقيقي في الثانية من مجرد غيابها عن القياس، ولا لاختيار سياسات تبقى نافعة أياً كان المستقبل الذي يتحقق.</w:t>
      </w:r>
    </w:p>
    <w:p>
      <w:pPr>
        <w:pStyle w:val="Heading2"/>
        <w:bidi/>
        <w:jc w:val="right"/>
      </w:pPr>
      <w:r>
        <w:rPr>
          <w:rFonts w:ascii="Times New Roman" w:cs="Noto Naskh Arabic" w:eastAsia="Noto Naskh Arabic" w:hAnsi="Times New Roman"/>
          <w:b/>
          <w:bCs/>
          <w:color w:val="1F4E79"/>
          <w:sz w:val="28"/>
          <w:szCs w:val="28"/>
          <w:rtl/>
        </w:rPr>
        <w:t xml:space="preserve">٢-٢ الفجوة</w:t>
      </w:r>
    </w:p>
    <w:p>
      <w:pPr>
        <w:bidi/>
        <w:spacing w:after="120" w:line="336"/>
        <w:jc w:val="both"/>
      </w:pPr>
      <w:r>
        <w:rPr>
          <w:rFonts w:ascii="Times New Roman" w:cs="Noto Naskh Arabic" w:eastAsia="Noto Naskh Arabic" w:hAnsi="Times New Roman"/>
          <w:sz w:val="26"/>
          <w:szCs w:val="26"/>
          <w:rtl/>
        </w:rPr>
        <w:t xml:space="preserve">تتناول ثلاثة تقاليد بحثية أجزاء من هذه المشكلة، دون أن يتناولها أحدها كاملة.</w:t>
      </w:r>
    </w:p>
    <w:p>
      <w:pPr>
        <w:bidi/>
        <w:spacing w:after="120" w:line="336"/>
        <w:jc w:val="both"/>
      </w:pPr>
      <w:r>
        <w:rPr>
          <w:rFonts w:ascii="Times New Roman" w:cs="Noto Naskh Arabic" w:eastAsia="Noto Naskh Arabic" w:hAnsi="Times New Roman"/>
          <w:sz w:val="26"/>
          <w:szCs w:val="26"/>
          <w:rtl/>
        </w:rPr>
        <w:t xml:space="preserve">فقد عالج </w:t>
      </w:r>
      <w:r>
        <w:rPr>
          <w:rFonts w:ascii="Times New Roman" w:cs="Noto Naskh Arabic" w:eastAsia="Noto Naskh Arabic" w:hAnsi="Times New Roman"/>
          <w:b/>
          <w:bCs/>
          <w:sz w:val="26"/>
          <w:szCs w:val="26"/>
          <w:rtl/>
        </w:rPr>
        <w:t xml:space="preserve">الاقتصاد الثقافي</w:t>
      </w:r>
      <w:r>
        <w:rPr>
          <w:rFonts w:ascii="Times New Roman" w:cs="Noto Naskh Arabic" w:eastAsia="Noto Naskh Arabic" w:hAnsi="Times New Roman"/>
          <w:sz w:val="26"/>
          <w:szCs w:val="26"/>
          <w:rtl/>
        </w:rPr>
        <w:t xml:space="preserve"> العلاقة بين القيمتين معالجة نظرية متينة، لكن على مستوى السلعة، وبأدلة تجريبية يقرّ أصحابها بمحدوديتها</w:t>
      </w:r>
      <w:r>
        <w:rPr>
          <w:rStyle w:val="FootnoteReference"/>
        </w:rPr>
        <w:footnoteReference w:id="19"/>
      </w:r>
      <w:r>
        <w:rPr>
          <w:rFonts w:ascii="Times New Roman" w:cs="Noto Naskh Arabic" w:eastAsia="Noto Naskh Arabic" w:hAnsi="Times New Roman"/>
          <w:sz w:val="26"/>
          <w:szCs w:val="26"/>
          <w:rtl/>
        </w:rPr>
        <w:t xml:space="preserve">. وأبرز المجلد الجماعي الذي حرّره </w:t>
      </w:r>
      <w:r>
        <w:rPr>
          <w:rFonts w:ascii="Times New Roman" w:cs="Noto Naskh Arabic" w:eastAsia="Noto Naskh Arabic" w:hAnsi="Times New Roman"/>
          <w:sz w:val="26"/>
          <w:szCs w:val="26"/>
          <w:rtl w:val="false"/>
        </w:rPr>
        <w:t xml:space="preserve">Hutter</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خطر أن تزاحم الاعتبارات المالية بقية أبعاد القيمة، وجعل تكوّن القيمة وعمليات التقييم موضوعه</w:t>
      </w:r>
      <w:r>
        <w:rPr>
          <w:rStyle w:val="FootnoteReference"/>
        </w:rPr>
        <w:footnoteReference w:id="20"/>
      </w:r>
      <w:r>
        <w:rPr>
          <w:rFonts w:ascii="Times New Roman" w:cs="Noto Naskh Arabic" w:eastAsia="Noto Naskh Arabic" w:hAnsi="Times New Roman"/>
          <w:sz w:val="26"/>
          <w:szCs w:val="26"/>
          <w:rtl/>
        </w:rPr>
        <w:t xml:space="preserve">. وهذه الورقة مدينة لفكرة المزاحمة هذه، وتنقلها من مستوى عمليات التقييم إلى مستوى مسارات النظام عبر الزمن.</w:t>
      </w:r>
    </w:p>
    <w:p>
      <w:pPr>
        <w:bidi/>
        <w:spacing w:after="120" w:line="336"/>
        <w:jc w:val="both"/>
      </w:pPr>
      <w:r>
        <w:rPr>
          <w:rFonts w:ascii="Times New Roman" w:cs="Noto Naskh Arabic" w:eastAsia="Noto Naskh Arabic" w:hAnsi="Times New Roman"/>
          <w:sz w:val="26"/>
          <w:szCs w:val="26"/>
          <w:rtl/>
        </w:rPr>
        <w:t xml:space="preserve">وعالج </w:t>
      </w:r>
      <w:r>
        <w:rPr>
          <w:rFonts w:ascii="Times New Roman" w:cs="Noto Naskh Arabic" w:eastAsia="Noto Naskh Arabic" w:hAnsi="Times New Roman"/>
          <w:b/>
          <w:bCs/>
          <w:sz w:val="26"/>
          <w:szCs w:val="26"/>
          <w:rtl/>
        </w:rPr>
        <w:t xml:space="preserve">حقل السياسة الثقافية</w:t>
      </w:r>
      <w:r>
        <w:rPr>
          <w:rFonts w:ascii="Times New Roman" w:cs="Noto Naskh Arabic" w:eastAsia="Noto Naskh Arabic" w:hAnsi="Times New Roman"/>
          <w:sz w:val="26"/>
          <w:szCs w:val="26"/>
          <w:rtl/>
        </w:rPr>
        <w:t xml:space="preserve"> أزمة تبريراته منذ وقت مبكر؛ فقد كتب </w:t>
      </w:r>
      <w:r>
        <w:rPr>
          <w:rFonts w:ascii="Times New Roman" w:cs="Noto Naskh Arabic" w:eastAsia="Noto Naskh Arabic" w:hAnsi="Times New Roman"/>
          <w:sz w:val="26"/>
          <w:szCs w:val="26"/>
          <w:rtl w:val="false"/>
        </w:rPr>
        <w:t xml:space="preserve">Bennett (1995</w:t>
      </w:r>
      <w:r>
        <w:rPr>
          <w:rFonts w:ascii="Times New Roman" w:cs="Noto Naskh Arabic" w:eastAsia="Noto Naskh Arabic" w:hAnsi="Times New Roman"/>
          <w:sz w:val="26"/>
          <w:szCs w:val="26"/>
          <w:rtl/>
        </w:rPr>
        <w:t xml:space="preserve">)</w:t>
      </w:r>
      <w:r>
        <w:rPr>
          <w:rStyle w:val="FootnoteReference"/>
        </w:rPr>
        <w:footnoteReference w:id="21"/>
      </w:r>
      <w:r>
        <w:rPr>
          <w:rFonts w:ascii="Times New Roman" w:cs="Noto Naskh Arabic" w:eastAsia="Noto Naskh Arabic" w:hAnsi="Times New Roman"/>
          <w:sz w:val="26"/>
          <w:szCs w:val="26"/>
          <w:rtl/>
        </w:rPr>
        <w:t xml:space="preserve"> عن انهيار مسوّغات السياسة الثقافية البريطانية ونهاية تقليدها، وتساءل </w:t>
      </w:r>
      <w:r>
        <w:rPr>
          <w:rFonts w:ascii="Times New Roman" w:cs="Noto Naskh Arabic" w:eastAsia="Noto Naskh Arabic" w:hAnsi="Times New Roman"/>
          <w:sz w:val="26"/>
          <w:szCs w:val="26"/>
          <w:rtl w:val="false"/>
        </w:rPr>
        <w:t xml:space="preserve">Mangset (2020</w:t>
      </w:r>
      <w:r>
        <w:rPr>
          <w:rFonts w:ascii="Times New Roman" w:cs="Noto Naskh Arabic" w:eastAsia="Noto Naskh Arabic" w:hAnsi="Times New Roman"/>
          <w:sz w:val="26"/>
          <w:szCs w:val="26"/>
          <w:rtl/>
        </w:rPr>
        <w:t xml:space="preserve">)</w:t>
      </w:r>
      <w:r>
        <w:rPr>
          <w:rStyle w:val="FootnoteReference"/>
        </w:rPr>
        <w:footnoteReference w:id="22"/>
      </w:r>
      <w:r>
        <w:rPr>
          <w:rFonts w:ascii="Times New Roman" w:cs="Noto Naskh Arabic" w:eastAsia="Noto Naskh Arabic" w:hAnsi="Times New Roman"/>
          <w:sz w:val="26"/>
          <w:szCs w:val="26"/>
          <w:rtl/>
        </w:rPr>
        <w:t xml:space="preserve"> عن «نهاية السياسة الثقافية» في الديمقراطيات الغربية من خلال سبعة تحديات، دون أن يصل إلى حكم حاسم. ومن بين هذه التحديات تزايد تسويغ الدعم العام بآثار الثقافة خارج حقلها، وهو ما يمسّ موضوع هذه الورقة مباشرة. غير أن هذه المعالجات حجاجية، ولا تستخدم أدوات استشرافية منهجية لاستكشاف مسارات بديلة.</w:t>
      </w:r>
    </w:p>
    <w:p>
      <w:pPr>
        <w:bidi/>
        <w:spacing w:after="120" w:line="336"/>
        <w:jc w:val="both"/>
      </w:pPr>
      <w:r>
        <w:rPr>
          <w:rFonts w:ascii="Times New Roman" w:cs="Noto Naskh Arabic" w:eastAsia="Noto Naskh Arabic" w:hAnsi="Times New Roman"/>
          <w:sz w:val="26"/>
          <w:szCs w:val="26"/>
          <w:rtl/>
        </w:rPr>
        <w:t xml:space="preserve">وعالجت </w:t>
      </w:r>
      <w:r>
        <w:rPr>
          <w:rFonts w:ascii="Times New Roman" w:cs="Noto Naskh Arabic" w:eastAsia="Noto Naskh Arabic" w:hAnsi="Times New Roman"/>
          <w:b/>
          <w:bCs/>
          <w:sz w:val="26"/>
          <w:szCs w:val="26"/>
          <w:rtl/>
        </w:rPr>
        <w:t xml:space="preserve">الدراسات المستقبلية</w:t>
      </w:r>
      <w:r>
        <w:rPr>
          <w:rFonts w:ascii="Times New Roman" w:cs="Noto Naskh Arabic" w:eastAsia="Noto Naskh Arabic" w:hAnsi="Times New Roman"/>
          <w:sz w:val="26"/>
          <w:szCs w:val="26"/>
          <w:rtl/>
        </w:rPr>
        <w:t xml:space="preserve"> الثقافة بطرق متعددة: موضوعاً لاستشراف شامل كما في مشروع اليونسكو</w:t>
      </w:r>
      <w:r>
        <w:rPr>
          <w:rStyle w:val="FootnoteReference"/>
        </w:rPr>
        <w:footnoteReference w:id="23"/>
      </w:r>
      <w:r>
        <w:rPr>
          <w:rFonts w:ascii="Times New Roman" w:cs="Noto Naskh Arabic" w:eastAsia="Noto Naskh Arabic" w:hAnsi="Times New Roman"/>
          <w:sz w:val="26"/>
          <w:szCs w:val="26"/>
          <w:rtl/>
        </w:rPr>
        <w:t xml:space="preserve">، أو سياقاً يؤثر في عمليات الاستشراف نفسها</w:t>
      </w:r>
      <w:r>
        <w:rPr>
          <w:rStyle w:val="FootnoteReference"/>
        </w:rPr>
        <w:footnoteReference w:id="24"/>
      </w:r>
      <w:r>
        <w:rPr>
          <w:rFonts w:ascii="Times New Roman" w:cs="Noto Naskh Arabic" w:eastAsia="Noto Naskh Arabic" w:hAnsi="Times New Roman"/>
          <w:sz w:val="26"/>
          <w:szCs w:val="26"/>
          <w:rtl/>
        </w:rPr>
        <w:t xml:space="preserve">. وأظهر </w:t>
      </w:r>
      <w:r>
        <w:rPr>
          <w:rFonts w:ascii="Times New Roman" w:cs="Noto Naskh Arabic" w:eastAsia="Noto Naskh Arabic" w:hAnsi="Times New Roman"/>
          <w:sz w:val="26"/>
          <w:szCs w:val="26"/>
          <w:rtl w:val="false"/>
        </w:rPr>
        <w:t xml:space="preserve">Andersen</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Rasmussen</w:t>
      </w:r>
      <w:r>
        <w:rPr>
          <w:rFonts w:ascii="Times New Roman" w:cs="Noto Naskh Arabic" w:eastAsia="Noto Naskh Arabic" w:hAnsi="Times New Roman"/>
          <w:sz w:val="26"/>
          <w:szCs w:val="26"/>
          <w:rtl/>
        </w:rPr>
        <w:t xml:space="preserve"> أن التقاليد الوطنية والثقافات تؤثر في عمليات الاستشراف الوطنية، وهو ما يعني أن الاستشراف ليس أداة محايدة تُستورد جاهزة. لكن الثقافة في هذه الأدبيات إما موضوع عام وإما سياق، لا حقل سياسة تُستشرف قيمتاه معاً.</w:t>
      </w:r>
    </w:p>
    <w:p>
      <w:pPr>
        <w:bidi/>
        <w:spacing w:after="120" w:line="336"/>
        <w:jc w:val="both"/>
      </w:pPr>
      <w:r>
        <w:rPr>
          <w:rFonts w:ascii="Times New Roman" w:cs="Noto Naskh Arabic" w:eastAsia="Noto Naskh Arabic" w:hAnsi="Times New Roman"/>
          <w:sz w:val="26"/>
          <w:szCs w:val="26"/>
          <w:rtl/>
        </w:rPr>
        <w:t xml:space="preserve">وفي الأدبيات العربية، تبيّن من المسح المفتوح أن الدراسات المستقبلية العربية عرفت مشروعات كبرى ثم تراجع زخمها، وهو ما صرّح به المركز العربي للأبحاث ودراسة السياسات عند إطلاق كتابه السنوي المحكَّم «استشراف»</w:t>
      </w:r>
      <w:r>
        <w:rPr>
          <w:rStyle w:val="FootnoteReference"/>
        </w:rPr>
        <w:footnoteReference w:id="25"/>
      </w:r>
      <w:r>
        <w:rPr>
          <w:rFonts w:ascii="Times New Roman" w:cs="Noto Naskh Arabic" w:eastAsia="Noto Naskh Arabic" w:hAnsi="Times New Roman"/>
          <w:sz w:val="26"/>
          <w:szCs w:val="26"/>
          <w:rtl/>
        </w:rPr>
        <w:t xml:space="preserve">. ووُجدت أعمال محكّمة في تعريف الصناعات الثقافية</w:t>
      </w:r>
      <w:r>
        <w:rPr>
          <w:rStyle w:val="FootnoteReference"/>
        </w:rPr>
        <w:footnoteReference w:id="26"/>
      </w:r>
      <w:r>
        <w:rPr>
          <w:rFonts w:ascii="Times New Roman" w:cs="Noto Naskh Arabic" w:eastAsia="Noto Naskh Arabic" w:hAnsi="Times New Roman"/>
          <w:sz w:val="26"/>
          <w:szCs w:val="26"/>
          <w:rtl/>
        </w:rPr>
        <w:t xml:space="preserve">، وممارسات سياساتية تشاركية في الخليج. لكن لم يُعثر — في حدود البحث المفتوح — على دراسة عربية محكّمة تجمع الاستشراف والسياسة الثقافية ومسألة القيمة. ولا يُعدّ هذا حكماً بالغياب، بل حدّاً لما فُحص.</w:t>
      </w:r>
    </w:p>
    <w:p>
      <w:pPr>
        <w:bidi/>
        <w:spacing w:after="120" w:line="336"/>
        <w:jc w:val="both"/>
      </w:pPr>
      <w:r>
        <w:rPr>
          <w:rFonts w:ascii="Times New Roman" w:cs="Noto Naskh Arabic" w:eastAsia="Noto Naskh Arabic" w:hAnsi="Times New Roman"/>
          <w:sz w:val="26"/>
          <w:szCs w:val="26"/>
          <w:rtl/>
        </w:rPr>
        <w:t xml:space="preserve">وعليه تُصاغ الفجوة على النحو الآتي: </w:t>
      </w:r>
      <w:r>
        <w:rPr>
          <w:rFonts w:ascii="Times New Roman" w:cs="Noto Naskh Arabic" w:eastAsia="Noto Naskh Arabic" w:hAnsi="Times New Roman"/>
          <w:b/>
          <w:bCs/>
          <w:sz w:val="26"/>
          <w:szCs w:val="26"/>
          <w:rtl/>
        </w:rPr>
        <w:t xml:space="preserve">لم يُرصد فيما فُحص من أدبيات عملٌ يطبّق أدوات استشرافية منهجية على مسارات العلاقة بين القيمة الاقتصادية والقيمة الفكرية للثقافة بوصفها موضوعاً للسياسة العامة، ويميّز في ذلك بين التباعد الحقيقي وتباعد القياس.</w:t>
      </w:r>
    </w:p>
    <w:p>
      <w:pPr>
        <w:bidi/>
        <w:spacing w:after="120" w:line="336"/>
        <w:jc w:val="both"/>
      </w:pPr>
      <w:r>
        <w:rPr>
          <w:rFonts w:ascii="Times New Roman" w:cs="Noto Naskh Arabic" w:eastAsia="Noto Naskh Arabic" w:hAnsi="Times New Roman"/>
          <w:sz w:val="26"/>
          <w:szCs w:val="26"/>
          <w:rtl/>
        </w:rPr>
        <w:t xml:space="preserve">ودرجة الدليل على هذه الفجوة متوسطة. فهي تستند إلى مصادر محكّمة وتقارير مؤسسية، لكنها نتاج استرجاع نطاقي منظَّم من مصادر مفتوحة، لا مراجعة نطاقية مكتملة في قواعد البيانات الاشتراكية. ولذلك تُقدَّم الفجوة بصيغة «لم يُرصد» لا بصيغة «لا يوجد».</w:t>
      </w:r>
    </w:p>
    <w:p>
      <w:pPr>
        <w:pStyle w:val="Heading2"/>
        <w:bidi/>
        <w:jc w:val="right"/>
      </w:pPr>
      <w:r>
        <w:rPr>
          <w:rFonts w:ascii="Times New Roman" w:cs="Noto Naskh Arabic" w:eastAsia="Noto Naskh Arabic" w:hAnsi="Times New Roman"/>
          <w:b/>
          <w:bCs/>
          <w:color w:val="1F4E79"/>
          <w:sz w:val="28"/>
          <w:szCs w:val="28"/>
          <w:rtl/>
        </w:rPr>
        <w:t xml:space="preserve">٢-٣ الأسئلة</w:t>
      </w:r>
    </w:p>
    <w:p>
      <w:pPr>
        <w:bidi/>
        <w:spacing w:after="120" w:line="336"/>
        <w:jc w:val="both"/>
      </w:pPr>
      <w:r>
        <w:rPr>
          <w:rFonts w:ascii="Times New Roman" w:cs="Noto Naskh Arabic" w:eastAsia="Noto Naskh Arabic" w:hAnsi="Times New Roman"/>
          <w:sz w:val="26"/>
          <w:szCs w:val="26"/>
          <w:rtl/>
        </w:rPr>
        <w:t xml:space="preserve">السؤال المركزي: </w:t>
      </w:r>
      <w:r>
        <w:rPr>
          <w:rFonts w:ascii="Times New Roman" w:cs="Noto Naskh Arabic" w:eastAsia="Noto Naskh Arabic" w:hAnsi="Times New Roman"/>
          <w:b/>
          <w:bCs/>
          <w:sz w:val="26"/>
          <w:szCs w:val="26"/>
          <w:rtl/>
        </w:rPr>
        <w:t xml:space="preserve">ما المسارات التي يمكن أن تسلكها العلاقة بين القيمة الاقتصادية والقيمة الفكرية للثقافة حتى عام ٢٠٥٠، وما الترتيبات المؤسسية والعتبات التي تحدد انتقالها من التلازم إلى التباعد، وما السياسات التي تحافظ على جدواها عبر هذه المسارات؟</w:t>
      </w:r>
    </w:p>
    <w:p>
      <w:pPr>
        <w:bidi/>
        <w:spacing w:after="120" w:line="336"/>
        <w:jc w:val="both"/>
      </w:pPr>
      <w:r>
        <w:rPr>
          <w:rFonts w:ascii="Times New Roman" w:cs="Noto Naskh Arabic" w:eastAsia="Noto Naskh Arabic" w:hAnsi="Times New Roman"/>
          <w:sz w:val="26"/>
          <w:szCs w:val="26"/>
          <w:rtl/>
        </w:rPr>
        <w:t xml:space="preserve">وتتفرع عنه ثمانية أسئلة:</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كيف عرّفت الأدبيات القيمتين، وما الذي يميّز القيمة الفكرية — بوصفها خاصية للنظام — عن القيمة الثقافية بوصفها صفة للسلعة؟</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ما الآليات التي تربط التمويل والوساطة الخوارزمية والملكية الفكرية بكل من القيمتين؟</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هل يمكن أن يرتفع العائد الاقتصادي بينما يتراجع التنوع الفاعل؟ وما التركيب المؤسسي الذي يُنتج ذلك إن وُجد؟</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ما الأثر المحتمل للذكاء الاصطناعي التوليدي ومنصات التوصية في استقلال الإنتاج الثقافي وتنوعه؟</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هل توجد عتبات في العلاقة بين القيمتين، وما الذي يحدد موقعها؟</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ما الذي يحدد الطلب الاجتماعي على العمق الثقافي؟</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أي السياسات تصمد عبر السيناريوهات كلها؟</w:t>
      </w:r>
    </w:p>
    <w:p>
      <w:pPr>
        <w:pStyle w:val="ListParagraph"/>
        <w:numPr>
          <w:ilvl w:val="0"/>
          <w:numId w:val="2"/>
        </w:numPr>
        <w:bidi/>
        <w:spacing w:after="80" w:line="336"/>
        <w:jc w:val="both"/>
      </w:pPr>
      <w:r>
        <w:rPr>
          <w:rFonts w:ascii="Times New Roman" w:cs="Noto Naskh Arabic" w:eastAsia="Noto Naskh Arabic" w:hAnsi="Times New Roman"/>
          <w:sz w:val="26"/>
          <w:szCs w:val="26"/>
          <w:rtl/>
        </w:rPr>
        <w:t xml:space="preserve">هل يمكن بناء نظام إنذار مبكر يميّز التباعد الحقيقي من تباعد القياس؟</w:t>
      </w:r>
    </w:p>
    <w:p>
      <w:pPr>
        <w:pStyle w:val="Heading2"/>
        <w:bidi/>
        <w:jc w:val="right"/>
      </w:pPr>
      <w:r>
        <w:rPr>
          <w:rFonts w:ascii="Times New Roman" w:cs="Noto Naskh Arabic" w:eastAsia="Noto Naskh Arabic" w:hAnsi="Times New Roman"/>
          <w:b/>
          <w:bCs/>
          <w:color w:val="1F4E79"/>
          <w:sz w:val="28"/>
          <w:szCs w:val="28"/>
          <w:rtl/>
        </w:rPr>
        <w:t xml:space="preserve">٢-٤ الفرضيات</w:t>
      </w:r>
    </w:p>
    <w:p>
      <w:pPr>
        <w:bidi/>
        <w:spacing w:after="120" w:line="336"/>
        <w:jc w:val="both"/>
      </w:pPr>
      <w:r>
        <w:rPr>
          <w:rFonts w:ascii="Times New Roman" w:cs="Noto Naskh Arabic" w:eastAsia="Noto Naskh Arabic" w:hAnsi="Times New Roman"/>
          <w:sz w:val="26"/>
          <w:szCs w:val="26"/>
          <w:rtl/>
        </w:rPr>
        <w:t xml:space="preserve">تعمل الورقة بثلاث فرضيات تُختبر اختبار اتساق ومعقولية عبر أدلة ثانوية ونمذجة، لا اختباراً سببياً:</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ف١:</w:t>
      </w:r>
      <w:r>
        <w:rPr>
          <w:rFonts w:ascii="Times New Roman" w:cs="Noto Naskh Arabic" w:eastAsia="Noto Naskh Arabic" w:hAnsi="Times New Roman"/>
          <w:sz w:val="26"/>
          <w:szCs w:val="26"/>
          <w:rtl/>
        </w:rPr>
        <w:t xml:space="preserve"> يتوسط استقلالُ القرار الفني أثرَ آليات التمويل في القيمة الفكرية.</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ف٢:</w:t>
      </w:r>
      <w:r>
        <w:rPr>
          <w:rFonts w:ascii="Times New Roman" w:cs="Noto Naskh Arabic" w:eastAsia="Noto Naskh Arabic" w:hAnsi="Times New Roman"/>
          <w:sz w:val="26"/>
          <w:szCs w:val="26"/>
          <w:rtl/>
        </w:rPr>
        <w:t xml:space="preserve"> يوجد تركيب مؤسسي واحد على الأقل يرتفع فيه العائد الاقتصادي بينما يتراجع التنوع الفاعل. والصيغة وجودية ضعيفة عمداً، فلا تفترض الورقة أن هذا هو الوضع الغالب.</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ف٣:</w:t>
      </w:r>
      <w:r>
        <w:rPr>
          <w:rFonts w:ascii="Times New Roman" w:cs="Noto Naskh Arabic" w:eastAsia="Noto Naskh Arabic" w:hAnsi="Times New Roman"/>
          <w:sz w:val="26"/>
          <w:szCs w:val="26"/>
          <w:rtl/>
        </w:rPr>
        <w:t xml:space="preserve"> للعلاقة بين القيمتين عتبة انطفاء في معامل الوساطة، يتوقف موقعها على الاستقلال المؤسسي. وقد صيغت هذه الفرضية في البداية على أنها «انقلاب غير خطي»، ثم عُدّلت بعد أن أظهرت المحاكاة عتبة انطفاء تدريجية لا قفزة مفاجئة؛ وتُثبت الورقة هذا التعديل بدلاً من إخفائه.</w:t>
      </w:r>
    </w:p>
    <w:p>
      <w:pPr>
        <w:pStyle w:val="Heading2"/>
        <w:bidi/>
        <w:jc w:val="right"/>
      </w:pPr>
      <w:r>
        <w:rPr>
          <w:rFonts w:ascii="Times New Roman" w:cs="Noto Naskh Arabic" w:eastAsia="Noto Naskh Arabic" w:hAnsi="Times New Roman"/>
          <w:b/>
          <w:bCs/>
          <w:color w:val="1F4E79"/>
          <w:sz w:val="28"/>
          <w:szCs w:val="28"/>
          <w:rtl/>
        </w:rPr>
        <w:t xml:space="preserve">٢-٥ الأهداف والإسهام المتوقع</w:t>
      </w:r>
    </w:p>
    <w:p>
      <w:pPr>
        <w:bidi/>
        <w:spacing w:after="120" w:line="336"/>
        <w:jc w:val="both"/>
      </w:pPr>
      <w:r>
        <w:rPr>
          <w:rFonts w:ascii="Times New Roman" w:cs="Noto Naskh Arabic" w:eastAsia="Noto Naskh Arabic" w:hAnsi="Times New Roman"/>
          <w:sz w:val="26"/>
          <w:szCs w:val="26"/>
          <w:rtl/>
        </w:rPr>
        <w:t xml:space="preserve">تسعى الورقة إلى خمسة أهداف: تعريف القيمة الفكرية تعريفاً إجرائياً قابلاً للرصد؛ ورسم الحلقات السببية التي تربط القيمتين؛ وبناء سيناريوهات متمايزة بنيوياً حتى ٢٠٥٠؛ وتحديد المؤشر الذي يميّز التباعد الحقيقي من تباعد القياس؛ واختبار متانة السياسات عبر السيناريوهات.</w:t>
      </w:r>
    </w:p>
    <w:p>
      <w:pPr>
        <w:bidi/>
        <w:spacing w:after="120" w:line="336"/>
        <w:jc w:val="both"/>
      </w:pPr>
      <w:r>
        <w:rPr>
          <w:rFonts w:ascii="Times New Roman" w:cs="Noto Naskh Arabic" w:eastAsia="Noto Naskh Arabic" w:hAnsi="Times New Roman"/>
          <w:sz w:val="26"/>
          <w:szCs w:val="26"/>
          <w:rtl/>
        </w:rPr>
        <w:t xml:space="preserve">ويُتوقّع أن يكون إسهامها في ثلاثة مستويات. </w:t>
      </w:r>
      <w:r>
        <w:rPr>
          <w:rFonts w:ascii="Times New Roman" w:cs="Noto Naskh Arabic" w:eastAsia="Noto Naskh Arabic" w:hAnsi="Times New Roman"/>
          <w:b/>
          <w:bCs/>
          <w:sz w:val="26"/>
          <w:szCs w:val="26"/>
          <w:rtl/>
        </w:rPr>
        <w:t xml:space="preserve">مفاهيمياً</w:t>
      </w:r>
      <w:r>
        <w:rPr>
          <w:rFonts w:ascii="Times New Roman" w:cs="Noto Naskh Arabic" w:eastAsia="Noto Naskh Arabic" w:hAnsi="Times New Roman"/>
          <w:sz w:val="26"/>
          <w:szCs w:val="26"/>
          <w:rtl/>
        </w:rPr>
        <w:t xml:space="preserve">: نقل سؤال القيمة من السلعة إلى النظام، وتطوير مفهوم الحيوية الثقافية ببُعدي الاستقلال والتنوع الفاعل. </w:t>
      </w:r>
      <w:r>
        <w:rPr>
          <w:rFonts w:ascii="Times New Roman" w:cs="Noto Naskh Arabic" w:eastAsia="Noto Naskh Arabic" w:hAnsi="Times New Roman"/>
          <w:b/>
          <w:bCs/>
          <w:sz w:val="26"/>
          <w:szCs w:val="26"/>
          <w:rtl/>
        </w:rPr>
        <w:t xml:space="preserve">منهجياً</w:t>
      </w:r>
      <w:r>
        <w:rPr>
          <w:rFonts w:ascii="Times New Roman" w:cs="Noto Naskh Arabic" w:eastAsia="Noto Naskh Arabic" w:hAnsi="Times New Roman"/>
          <w:sz w:val="26"/>
          <w:szCs w:val="26"/>
          <w:rtl/>
        </w:rPr>
        <w:t xml:space="preserve">: تكييف أدوات الاستشراف لحقل السياسة الثقافية، مع اختبار نادر لتوقع استشرافي ثقافي قديم على ما وقع. </w:t>
      </w:r>
      <w:r>
        <w:rPr>
          <w:rFonts w:ascii="Times New Roman" w:cs="Noto Naskh Arabic" w:eastAsia="Noto Naskh Arabic" w:hAnsi="Times New Roman"/>
          <w:b/>
          <w:bCs/>
          <w:sz w:val="26"/>
          <w:szCs w:val="26"/>
          <w:rtl/>
        </w:rPr>
        <w:t xml:space="preserve">تطبيقياً</w:t>
      </w:r>
      <w:r>
        <w:rPr>
          <w:rFonts w:ascii="Times New Roman" w:cs="Noto Naskh Arabic" w:eastAsia="Noto Naskh Arabic" w:hAnsi="Times New Roman"/>
          <w:sz w:val="26"/>
          <w:szCs w:val="26"/>
          <w:rtl/>
        </w:rPr>
        <w:t xml:space="preserve">: تحديد سياسات متينة، ومؤشر إنذار قابل للبناء من بيانات موجودة. ولا تدّعي الورقة أنها تُثبت تباعد القيمتين؛ فأقصى ما تطمح إليه أن تجعل هذا السؤال قابلاً للرصد والحسم.</w:t>
      </w:r>
    </w:p>
    <w:p>
      <w:pPr>
        <w:pStyle w:val="Heading1"/>
        <w:bidi/>
        <w:jc w:val="right"/>
      </w:pPr>
      <w:r>
        <w:rPr>
          <w:rFonts w:ascii="Times New Roman" w:cs="Noto Naskh Arabic" w:eastAsia="Noto Naskh Arabic" w:hAnsi="Times New Roman"/>
          <w:b/>
          <w:bCs/>
          <w:color w:val="1F4E79"/>
          <w:sz w:val="34"/>
          <w:szCs w:val="34"/>
          <w:rtl/>
        </w:rPr>
        <w:t xml:space="preserve">٣. الأسس المفاهيمية: ثلاث قيم وطبقتان</w:t>
      </w:r>
    </w:p>
    <w:p>
      <w:pPr>
        <w:bidi/>
        <w:spacing w:after="120" w:line="336"/>
        <w:jc w:val="both"/>
      </w:pPr>
      <w:r>
        <w:rPr>
          <w:rFonts w:ascii="Times New Roman" w:cs="Noto Naskh Arabic" w:eastAsia="Noto Naskh Arabic" w:hAnsi="Times New Roman"/>
          <w:sz w:val="26"/>
          <w:szCs w:val="26"/>
          <w:rtl/>
        </w:rPr>
        <w:t xml:space="preserve">يبني هذا القسم الجهاز المفاهيمي الذي تحتاجه بقية الورقة. ويبدأ بتحديد ما يُقصد بالثقافة وبالسياسة الثقافية، ثم يميّز بين ثلاث قيم: الاقتصادية، والثقافية، والفكرية. ثم يعرّف التباعد بنوعيه، ويقترح التمييز بين طبقتين يتحرك فيهما النظام الثقافي بإيقاعين مختلفين. ويختم بتحديد ما يعنيه الاستشراف هنا وما لا يعنيه.</w:t>
      </w:r>
    </w:p>
    <w:p>
      <w:pPr>
        <w:pStyle w:val="Heading2"/>
        <w:bidi/>
        <w:jc w:val="right"/>
      </w:pPr>
      <w:r>
        <w:rPr>
          <w:rFonts w:ascii="Times New Roman" w:cs="Noto Naskh Arabic" w:eastAsia="Noto Naskh Arabic" w:hAnsi="Times New Roman"/>
          <w:b/>
          <w:bCs/>
          <w:color w:val="1F4E79"/>
          <w:sz w:val="28"/>
          <w:szCs w:val="28"/>
          <w:rtl/>
        </w:rPr>
        <w:t xml:space="preserve">٣-١ الثقافة: قطاع ومنظومة</w:t>
      </w:r>
    </w:p>
    <w:p>
      <w:pPr>
        <w:bidi/>
        <w:spacing w:after="120" w:line="336"/>
        <w:jc w:val="both"/>
      </w:pPr>
      <w:r>
        <w:rPr>
          <w:rFonts w:ascii="Times New Roman" w:cs="Noto Naskh Arabic" w:eastAsia="Noto Naskh Arabic" w:hAnsi="Times New Roman"/>
          <w:sz w:val="26"/>
          <w:szCs w:val="26"/>
          <w:rtl/>
        </w:rPr>
        <w:t xml:space="preserve">يُستعمل لفظ «الثقافة» في السياسات العامة بمعنيين لا يتطابقان. فهي في المعنى الأول </w:t>
      </w:r>
      <w:r>
        <w:rPr>
          <w:rFonts w:ascii="Times New Roman" w:cs="Noto Naskh Arabic" w:eastAsia="Noto Naskh Arabic" w:hAnsi="Times New Roman"/>
          <w:b/>
          <w:bCs/>
          <w:sz w:val="26"/>
          <w:szCs w:val="26"/>
          <w:rtl/>
        </w:rPr>
        <w:t xml:space="preserve">قطاع إنتاجي</w:t>
      </w:r>
      <w:r>
        <w:rPr>
          <w:rFonts w:ascii="Times New Roman" w:cs="Noto Naskh Arabic" w:eastAsia="Noto Naskh Arabic" w:hAnsi="Times New Roman"/>
          <w:sz w:val="26"/>
          <w:szCs w:val="26"/>
          <w:rtl/>
        </w:rPr>
        <w:t xml:space="preserve">: مجموعة من الأنشطة والمنشآت والمهن التي تُنتج سلعاً وخدمات ذات محتوى رمزي، ويمكن عدّ منتجاتها وقياس صادراتها وحصتها من التوظيف. وهي في المعنى الثاني </w:t>
      </w:r>
      <w:r>
        <w:rPr>
          <w:rFonts w:ascii="Times New Roman" w:cs="Noto Naskh Arabic" w:eastAsia="Noto Naskh Arabic" w:hAnsi="Times New Roman"/>
          <w:b/>
          <w:bCs/>
          <w:sz w:val="26"/>
          <w:szCs w:val="26"/>
          <w:rtl/>
        </w:rPr>
        <w:t xml:space="preserve">منظومة اجتماعية</w:t>
      </w:r>
      <w:r>
        <w:rPr>
          <w:rFonts w:ascii="Times New Roman" w:cs="Noto Naskh Arabic" w:eastAsia="Noto Naskh Arabic" w:hAnsi="Times New Roman"/>
          <w:sz w:val="26"/>
          <w:szCs w:val="26"/>
          <w:rtl/>
        </w:rPr>
        <w:t xml:space="preserve"> يُنتج بها المجتمع المعنى، ويتداول القيم، ويصوغ صورته عن نفسه، ويراجعها.</w:t>
      </w:r>
    </w:p>
    <w:p>
      <w:pPr>
        <w:bidi/>
        <w:spacing w:after="120" w:line="336"/>
        <w:jc w:val="both"/>
      </w:pPr>
      <w:r>
        <w:rPr>
          <w:rFonts w:ascii="Times New Roman" w:cs="Noto Naskh Arabic" w:eastAsia="Noto Naskh Arabic" w:hAnsi="Times New Roman"/>
          <w:sz w:val="26"/>
          <w:szCs w:val="26"/>
          <w:rtl/>
        </w:rPr>
        <w:t xml:space="preserve">والمعنيان متداخلان، لكن الخلط بينهما مصدر لكثير من الالتباس في تقييم السياسات. فالقطاع يمكن أن ينمو بينما تضمر المنظومة، كما يمكن أن تزدهر المنظومة في أشكال لا يلتقطها القطاع: في الشعر المتداول خارج السوق، وفي النقاش العام، وفي الممارسات الحية التي لا تُباع. وقد أظهر تفكيك بيانات الخدمات الإبداعية أن ما يُعدّ «اقتصاداً إبداعياً» يتسع ليشمل البرمجيات والبحث والتطوير والإعلان والعمارة، بحيث لا تمثل الخدمات الثقافية والترفيهية والتراثية إلا جزءاً ضئيلاً منه</w:t>
      </w:r>
      <w:r>
        <w:rPr>
          <w:rStyle w:val="FootnoteReference"/>
        </w:rPr>
        <w:footnoteReference w:id="27"/>
      </w:r>
      <w:r>
        <w:rPr>
          <w:rFonts w:ascii="Times New Roman" w:cs="Noto Naskh Arabic" w:eastAsia="Noto Naskh Arabic" w:hAnsi="Times New Roman"/>
          <w:sz w:val="26"/>
          <w:szCs w:val="26"/>
          <w:rtl/>
        </w:rPr>
        <w:t xml:space="preserve">. فالقطاع المقيس نفسه ليس قطاعاً ثقافياً خالصاً، فضلاً عن أن يكون مرآة للمنظومة.</w:t>
      </w:r>
    </w:p>
    <w:p>
      <w:pPr>
        <w:bidi/>
        <w:spacing w:after="120" w:line="336"/>
        <w:jc w:val="both"/>
      </w:pPr>
      <w:r>
        <w:rPr>
          <w:rFonts w:ascii="Times New Roman" w:cs="Noto Naskh Arabic" w:eastAsia="Noto Naskh Arabic" w:hAnsi="Times New Roman"/>
          <w:sz w:val="26"/>
          <w:szCs w:val="26"/>
          <w:rtl/>
        </w:rPr>
        <w:t xml:space="preserve">وتعتمد هذه الورقة المعنى الثاني موضوعاً لسؤالها، والمعنى الأول مصدراً لبياناتها. وهذا الفارق بين موضوع السؤال ومصدر البيانات هو بذاته أحد أسباب المشكلة التي تعالجها.</w:t>
      </w:r>
    </w:p>
    <w:p>
      <w:pPr>
        <w:pStyle w:val="Heading2"/>
        <w:bidi/>
        <w:jc w:val="right"/>
      </w:pPr>
      <w:r>
        <w:rPr>
          <w:rFonts w:ascii="Times New Roman" w:cs="Noto Naskh Arabic" w:eastAsia="Noto Naskh Arabic" w:hAnsi="Times New Roman"/>
          <w:b/>
          <w:bCs/>
          <w:color w:val="1F4E79"/>
          <w:sz w:val="28"/>
          <w:szCs w:val="28"/>
          <w:rtl/>
        </w:rPr>
        <w:t xml:space="preserve">٣-٢ السياسة الثقافية</w:t>
      </w:r>
    </w:p>
    <w:p>
      <w:pPr>
        <w:bidi/>
        <w:spacing w:after="120" w:line="336"/>
        <w:jc w:val="both"/>
      </w:pPr>
      <w:r>
        <w:rPr>
          <w:rFonts w:ascii="Times New Roman" w:cs="Noto Naskh Arabic" w:eastAsia="Noto Naskh Arabic" w:hAnsi="Times New Roman"/>
          <w:sz w:val="26"/>
          <w:szCs w:val="26"/>
          <w:rtl/>
        </w:rPr>
        <w:t xml:space="preserve">تتبنى الورقة فهماً واسعاً للسياسة الثقافية، يقارب ما تعتمده المجلة الدولية للسياسة الثقافية في تحديد نطاقها: السياسة الثقافية هي تعزيز ممارسات وقيم ثقافية بعينها أو الحطّ منها، وهو فهم يتجاوز السياسات الموسومة صراحة بأنها «ثقافية» أو المتعلقة بالقطاع الثقافي والإبداعي وحده</w:t>
      </w:r>
      <w:r>
        <w:rPr>
          <w:rStyle w:val="FootnoteReference"/>
        </w:rPr>
        <w:footnoteReference w:id="28"/>
      </w:r>
      <w:r>
        <w:rPr>
          <w:rFonts w:ascii="Times New Roman" w:cs="Noto Naskh Arabic" w:eastAsia="Noto Naskh Arabic" w:hAnsi="Times New Roman"/>
          <w:sz w:val="26"/>
          <w:szCs w:val="26"/>
          <w:rtl/>
        </w:rPr>
        <w:t xml:space="preserve">. ويترتب على هذا الفهم أن قواعد حوكمة المنصات، وأنظمة الملكية الفكرية، ومعايير تقييم البرامج العامة، كلها سياسات ثقافية بأثرها وإن لم تكن كذلك باسمها.</w:t>
      </w:r>
    </w:p>
    <w:p>
      <w:pPr>
        <w:bidi/>
        <w:spacing w:after="120" w:line="336"/>
        <w:jc w:val="both"/>
      </w:pPr>
      <w:r>
        <w:rPr>
          <w:rFonts w:ascii="Times New Roman" w:cs="Noto Naskh Arabic" w:eastAsia="Noto Naskh Arabic" w:hAnsi="Times New Roman"/>
          <w:sz w:val="26"/>
          <w:szCs w:val="26"/>
          <w:rtl/>
        </w:rPr>
        <w:t xml:space="preserve">ولهذا التوسيع أهمية خاصة في هذه الورقة. فالمحركات التي تبيّن أنها الأكثر تأثيراً في القيمة الفكرية — كما سيُعرض في القسم السابع — تقع في معظمها خارج وزارات الثقافة: في حوكمة الذكاء الاصطناعي، وفي قواعد الوساطة الخوارزمية، وفي أنظمة توزيع العوائد. فإذا اقتصر مفهوم السياسة الثقافية على ما تفعله المؤسسات الثقافية الرسمية، خرجت أقوى أدوات التأثير من نطاق التحليل.</w:t>
      </w:r>
    </w:p>
    <w:p>
      <w:pPr>
        <w:pStyle w:val="Heading2"/>
        <w:bidi/>
        <w:jc w:val="right"/>
      </w:pPr>
      <w:r>
        <w:rPr>
          <w:rFonts w:ascii="Times New Roman" w:cs="Noto Naskh Arabic" w:eastAsia="Noto Naskh Arabic" w:hAnsi="Times New Roman"/>
          <w:b/>
          <w:bCs/>
          <w:color w:val="1F4E79"/>
          <w:sz w:val="28"/>
          <w:szCs w:val="28"/>
          <w:rtl/>
        </w:rPr>
        <w:t xml:space="preserve">٣-٣ القيمة الاقتصادية</w:t>
      </w:r>
    </w:p>
    <w:p>
      <w:pPr>
        <w:bidi/>
        <w:spacing w:after="120" w:line="336"/>
        <w:jc w:val="both"/>
      </w:pPr>
      <w:r>
        <w:rPr>
          <w:rFonts w:ascii="Times New Roman" w:cs="Noto Naskh Arabic" w:eastAsia="Noto Naskh Arabic" w:hAnsi="Times New Roman"/>
          <w:sz w:val="26"/>
          <w:szCs w:val="26"/>
          <w:rtl/>
        </w:rPr>
        <w:t xml:space="preserve">تشمل القيمة الاقتصادية للثقافة في أدبيات الاقتصاد الثقافي مكوّنين: قيمة سوقية تظهر في الأسعار والإيرادات والصادرات، وقيمة غير سوقية تعبّر عن استعداد الأفراد للدفع مقابل منافع لا تمر بالسوق، كقيمة وجود تراث لا يزوره المرء، أو قيمة توريثه للأجيال اللاحقة. وقد طوّر الاقتصاديون أدوات لتقدير المكوّن الثاني، أبرزها التقييم الطارئ. غير أن </w:t>
      </w:r>
      <w:r>
        <w:rPr>
          <w:rFonts w:ascii="Times New Roman" w:cs="Noto Naskh Arabic" w:eastAsia="Noto Naskh Arabic" w:hAnsi="Times New Roman"/>
          <w:sz w:val="26"/>
          <w:szCs w:val="26"/>
          <w:rtl w:val="false"/>
        </w:rPr>
        <w:t xml:space="preserve">Throsby (2003</w:t>
      </w:r>
      <w:r>
        <w:rPr>
          <w:rFonts w:ascii="Times New Roman" w:cs="Noto Naskh Arabic" w:eastAsia="Noto Naskh Arabic" w:hAnsi="Times New Roman"/>
          <w:sz w:val="26"/>
          <w:szCs w:val="26"/>
          <w:rtl/>
        </w:rPr>
        <w:t xml:space="preserve">)</w:t>
      </w:r>
      <w:r>
        <w:rPr>
          <w:rStyle w:val="FootnoteReference"/>
        </w:rPr>
        <w:footnoteReference w:id="29"/>
      </w:r>
      <w:r>
        <w:rPr>
          <w:rFonts w:ascii="Times New Roman" w:cs="Noto Naskh Arabic" w:eastAsia="Noto Naskh Arabic" w:hAnsi="Times New Roman"/>
          <w:sz w:val="26"/>
          <w:szCs w:val="26"/>
          <w:rtl/>
        </w:rPr>
        <w:t xml:space="preserve"> بيّن أن هذه الأداة، حين تُضم إلى التقييم السوقي في إطار نيوكلاسيكي، تُعدّ في ذلك الإطار صورة كاملة لقيمة السلعة الثقافية، بينما هي في الحقيقة تترك جوانب من القيمة لا تلتقطها أو لا تلتقطها كاملة.</w:t>
      </w:r>
    </w:p>
    <w:p>
      <w:pPr>
        <w:bidi/>
        <w:spacing w:after="120" w:line="336"/>
        <w:jc w:val="both"/>
      </w:pPr>
      <w:r>
        <w:rPr>
          <w:rFonts w:ascii="Times New Roman" w:cs="Noto Naskh Arabic" w:eastAsia="Noto Naskh Arabic" w:hAnsi="Times New Roman"/>
          <w:sz w:val="26"/>
          <w:szCs w:val="26"/>
          <w:rtl/>
        </w:rPr>
        <w:t xml:space="preserve">وتستخدم هذه الورقة القيمة الاقتصادية بمعناها المرصود في الإحصاءات الرسمية: الإسهام في الناتج، والتوظيف، والصادرات، والإنفاق. وهذا اختيار عملي تمليه البيانات المتاحة، لا موقف نظري يختزل القيمة الاقتصادية في السوق. لكن ينبغي التنبيه إلى أن تعريفات هذه الإحصاءات تختلف بين الجهات المُصدِرة: فما تعدّه منظمة الأمم المتحدة للتجارة والتنمية «إبداعياً» أوسع كثيراً مما تعدّه اليونسكو «ثقافياً»، ولا يصح جمع أرقام الجهتين أو المقارنة المباشرة بينها دون بيان هذا الاختلاف.</w:t>
      </w:r>
    </w:p>
    <w:p>
      <w:pPr>
        <w:pStyle w:val="Heading2"/>
        <w:bidi/>
        <w:jc w:val="right"/>
      </w:pPr>
      <w:r>
        <w:rPr>
          <w:rFonts w:ascii="Times New Roman" w:cs="Noto Naskh Arabic" w:eastAsia="Noto Naskh Arabic" w:hAnsi="Times New Roman"/>
          <w:b/>
          <w:bCs/>
          <w:color w:val="1F4E79"/>
          <w:sz w:val="28"/>
          <w:szCs w:val="28"/>
          <w:rtl/>
        </w:rPr>
        <w:t xml:space="preserve">٣-٤ القيمة الثقافية</w:t>
      </w:r>
    </w:p>
    <w:p>
      <w:pPr>
        <w:bidi/>
        <w:spacing w:after="120" w:line="336"/>
        <w:jc w:val="both"/>
      </w:pPr>
      <w:r>
        <w:rPr>
          <w:rFonts w:ascii="Times New Roman" w:cs="Noto Naskh Arabic" w:eastAsia="Noto Naskh Arabic" w:hAnsi="Times New Roman"/>
          <w:sz w:val="26"/>
          <w:szCs w:val="26"/>
          <w:rtl/>
        </w:rPr>
        <w:t xml:space="preserve">صاغ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مفهوم القيمة الثقافية بوصفه نوعاً متمايزاً من القيمة تحمله السلع والخدمات الثقافية أو تنتجه، يرتبط بالقيمة الاقتصادية دون أن يرادفها، ويتسق مع مفاهيم قيمة العمل الفني في علم الجمال وفلسفة الفن</w:t>
      </w:r>
      <w:r>
        <w:rPr>
          <w:rStyle w:val="FootnoteReference"/>
        </w:rPr>
        <w:footnoteReference w:id="30"/>
      </w:r>
      <w:r>
        <w:rPr>
          <w:rFonts w:ascii="Times New Roman" w:cs="Noto Naskh Arabic" w:eastAsia="Noto Naskh Arabic" w:hAnsi="Times New Roman"/>
          <w:sz w:val="26"/>
          <w:szCs w:val="26"/>
          <w:rtl/>
        </w:rPr>
        <w:t xml:space="preserve">. وتُفكَّك هذه القيمة في أدبيات الحقل إلى مكوّنات، منها الجمالية والروحية والاجتماعية والتاريخية وغيرها. والمهم لهذه الورقة ثلاث خصائص للمفهوم.</w:t>
      </w:r>
    </w:p>
    <w:p>
      <w:pPr>
        <w:bidi/>
        <w:spacing w:after="120" w:line="336"/>
        <w:jc w:val="both"/>
      </w:pPr>
      <w:r>
        <w:rPr>
          <w:rFonts w:ascii="Times New Roman" w:cs="Noto Naskh Arabic" w:eastAsia="Noto Naskh Arabic" w:hAnsi="Times New Roman"/>
          <w:sz w:val="26"/>
          <w:szCs w:val="26"/>
          <w:rtl/>
        </w:rPr>
        <w:t xml:space="preserve">الخاصية الأولى أن القيمة الثقافية </w:t>
      </w:r>
      <w:r>
        <w:rPr>
          <w:rFonts w:ascii="Times New Roman" w:cs="Noto Naskh Arabic" w:eastAsia="Noto Naskh Arabic" w:hAnsi="Times New Roman"/>
          <w:b/>
          <w:bCs/>
          <w:sz w:val="26"/>
          <w:szCs w:val="26"/>
          <w:rtl/>
        </w:rPr>
        <w:t xml:space="preserve">صفة للسلعة</w:t>
      </w:r>
      <w:r>
        <w:rPr>
          <w:rFonts w:ascii="Times New Roman" w:cs="Noto Naskh Arabic" w:eastAsia="Noto Naskh Arabic" w:hAnsi="Times New Roman"/>
          <w:sz w:val="26"/>
          <w:szCs w:val="26"/>
          <w:rtl/>
        </w:rPr>
        <w:t xml:space="preserve">: لوحة، أو مبنى، أو عرض، أو نص. وهي لذلك تُدرَس على مستوى العمل المفرد أو مجموعة من الأعمال.</w:t>
      </w:r>
    </w:p>
    <w:p>
      <w:pPr>
        <w:bidi/>
        <w:spacing w:after="120" w:line="336"/>
        <w:jc w:val="both"/>
      </w:pPr>
      <w:r>
        <w:rPr>
          <w:rFonts w:ascii="Times New Roman" w:cs="Noto Naskh Arabic" w:eastAsia="Noto Naskh Arabic" w:hAnsi="Times New Roman"/>
          <w:sz w:val="26"/>
          <w:szCs w:val="26"/>
          <w:rtl/>
        </w:rPr>
        <w:t xml:space="preserve">والخاصية الثانية أنها </w:t>
      </w:r>
      <w:r>
        <w:rPr>
          <w:rFonts w:ascii="Times New Roman" w:cs="Noto Naskh Arabic" w:eastAsia="Noto Naskh Arabic" w:hAnsi="Times New Roman"/>
          <w:b/>
          <w:bCs/>
          <w:sz w:val="26"/>
          <w:szCs w:val="26"/>
          <w:rtl/>
        </w:rPr>
        <w:t xml:space="preserve">تُدرَك عند المتلقي</w:t>
      </w:r>
      <w:r>
        <w:rPr>
          <w:rFonts w:ascii="Times New Roman" w:cs="Noto Naskh Arabic" w:eastAsia="Noto Naskh Arabic" w:hAnsi="Times New Roman"/>
          <w:sz w:val="26"/>
          <w:szCs w:val="26"/>
          <w:rtl/>
        </w:rPr>
        <w:t xml:space="preserve">. فالدراسات التجريبية التي حاولت قياسها اعتمدت غالباً على تقديرات الجمهور أو الخبراء لعمل معيّن، كما في دراسة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Zednik</w:t>
      </w:r>
      <w:r>
        <w:rPr>
          <w:rFonts w:ascii="Times New Roman" w:cs="Noto Naskh Arabic" w:eastAsia="Noto Naskh Arabic" w:hAnsi="Times New Roman"/>
          <w:sz w:val="26"/>
          <w:szCs w:val="26"/>
          <w:rtl/>
        </w:rPr>
        <w:t xml:space="preserve"> عن ردود فعل المستهلكين إزاء مجموعة من اللوحات.</w:t>
      </w:r>
    </w:p>
    <w:p>
      <w:pPr>
        <w:bidi/>
        <w:spacing w:after="120" w:line="336"/>
        <w:jc w:val="both"/>
      </w:pPr>
      <w:r>
        <w:rPr>
          <w:rFonts w:ascii="Times New Roman" w:cs="Noto Naskh Arabic" w:eastAsia="Noto Naskh Arabic" w:hAnsi="Times New Roman"/>
          <w:sz w:val="26"/>
          <w:szCs w:val="26"/>
          <w:rtl/>
        </w:rPr>
        <w:t xml:space="preserve">والخاصية الثالثة أن </w:t>
      </w:r>
      <w:r>
        <w:rPr>
          <w:rFonts w:ascii="Times New Roman" w:cs="Noto Naskh Arabic" w:eastAsia="Noto Naskh Arabic" w:hAnsi="Times New Roman"/>
          <w:b/>
          <w:bCs/>
          <w:sz w:val="26"/>
          <w:szCs w:val="26"/>
          <w:rtl/>
        </w:rPr>
        <w:t xml:space="preserve">علاقتها بالقيمة الاقتصادية لم تُحسم تجريبياً</w:t>
      </w:r>
      <w:r>
        <w:rPr>
          <w:rFonts w:ascii="Times New Roman" w:cs="Noto Naskh Arabic" w:eastAsia="Noto Naskh Arabic" w:hAnsi="Times New Roman"/>
          <w:sz w:val="26"/>
          <w:szCs w:val="26"/>
          <w:rtl/>
        </w:rPr>
        <w:t xml:space="preserve">؛ فقد صرّح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Zednik (2014</w:t>
      </w:r>
      <w:r>
        <w:rPr>
          <w:rFonts w:ascii="Times New Roman" w:cs="Noto Naskh Arabic" w:eastAsia="Noto Naskh Arabic" w:hAnsi="Times New Roman"/>
          <w:sz w:val="26"/>
          <w:szCs w:val="26"/>
          <w:rtl/>
        </w:rPr>
        <w:t xml:space="preserve">)</w:t>
      </w:r>
      <w:r>
        <w:rPr>
          <w:rStyle w:val="FootnoteReference"/>
        </w:rPr>
        <w:footnoteReference w:id="31"/>
      </w:r>
      <w:r>
        <w:rPr>
          <w:rFonts w:ascii="Times New Roman" w:cs="Noto Naskh Arabic" w:eastAsia="Noto Naskh Arabic" w:hAnsi="Times New Roman"/>
          <w:sz w:val="26"/>
          <w:szCs w:val="26"/>
          <w:rtl/>
        </w:rPr>
        <w:t xml:space="preserve"> بأن التمايز بين القيمتين، وإن أمكن اقتراحه نظرياً، يفتقر إلى أدلة تجريبية تكفي لإثبات أنهما ظاهرتان متمايزتان أو لاستكشاف العلاقة بينهما.</w:t>
      </w:r>
    </w:p>
    <w:p>
      <w:pPr>
        <w:bidi/>
        <w:spacing w:after="120" w:line="336"/>
        <w:jc w:val="both"/>
      </w:pPr>
      <w:r>
        <w:rPr>
          <w:rFonts w:ascii="Times New Roman" w:cs="Noto Naskh Arabic" w:eastAsia="Noto Naskh Arabic" w:hAnsi="Times New Roman"/>
          <w:sz w:val="26"/>
          <w:szCs w:val="26"/>
          <w:rtl/>
        </w:rPr>
        <w:t xml:space="preserve">ووسّع مشروع القيمة الثقافية البريطاني هذا الفهم في اتجاه آخر، فنقل النقاش إلى القطاعات التجارية والهواة والمشاركة، وجعل التجربة الفردية المباشرة للفنون والثقافة مركز فهم قيمتها</w:t>
      </w:r>
      <w:r>
        <w:rPr>
          <w:rStyle w:val="FootnoteReference"/>
        </w:rPr>
        <w:footnoteReference w:id="32"/>
      </w:r>
      <w:r>
        <w:rPr>
          <w:rFonts w:ascii="Times New Roman" w:cs="Noto Naskh Arabic" w:eastAsia="Noto Naskh Arabic" w:hAnsi="Times New Roman"/>
          <w:sz w:val="26"/>
          <w:szCs w:val="26"/>
          <w:rtl/>
        </w:rPr>
        <w:t xml:space="preserve">. وبذلك تحرك مركز الثقل من السلعة إلى التجربة؛ لكنه بقي على مستوى الفرد وتجربته، لا على مستوى النظام وقدرته.</w:t>
      </w:r>
    </w:p>
    <w:p>
      <w:pPr>
        <w:pStyle w:val="Heading2"/>
        <w:bidi/>
        <w:jc w:val="right"/>
      </w:pPr>
      <w:r>
        <w:rPr>
          <w:rFonts w:ascii="Times New Roman" w:cs="Noto Naskh Arabic" w:eastAsia="Noto Naskh Arabic" w:hAnsi="Times New Roman"/>
          <w:b/>
          <w:bCs/>
          <w:color w:val="1F4E79"/>
          <w:sz w:val="28"/>
          <w:szCs w:val="28"/>
          <w:rtl/>
        </w:rPr>
        <w:t xml:space="preserve">٣-٥ القيمة الفكرية: تعريف إجرائي</w:t>
      </w:r>
    </w:p>
    <w:p>
      <w:pPr>
        <w:bidi/>
        <w:spacing w:after="120" w:line="336"/>
        <w:jc w:val="both"/>
      </w:pPr>
      <w:r>
        <w:rPr>
          <w:rFonts w:ascii="Times New Roman" w:cs="Noto Naskh Arabic" w:eastAsia="Noto Naskh Arabic" w:hAnsi="Times New Roman"/>
          <w:sz w:val="26"/>
          <w:szCs w:val="26"/>
          <w:rtl/>
        </w:rPr>
        <w:t xml:space="preserve">تقترح الورقة مفهوماً ثالثاً تسميه </w:t>
      </w:r>
      <w:r>
        <w:rPr>
          <w:rFonts w:ascii="Times New Roman" w:cs="Noto Naskh Arabic" w:eastAsia="Noto Naskh Arabic" w:hAnsi="Times New Roman"/>
          <w:b/>
          <w:bCs/>
          <w:sz w:val="26"/>
          <w:szCs w:val="26"/>
          <w:rtl/>
        </w:rPr>
        <w:t xml:space="preserve">القيمة الفكرية</w:t>
      </w:r>
      <w:r>
        <w:rPr>
          <w:rFonts w:ascii="Times New Roman" w:cs="Noto Naskh Arabic" w:eastAsia="Noto Naskh Arabic" w:hAnsi="Times New Roman"/>
          <w:sz w:val="26"/>
          <w:szCs w:val="26"/>
          <w:rtl/>
        </w:rPr>
        <w:t xml:space="preserve">، وتعرّفه على النحو الآتي: القيمة الفكرية لنظام ثقافي هي قدرته على إنتاج المعنى والمعرفة وتداولهما ومساءلتهما وتجديدهما، باستقلال نسبي عن منطق التمويل ومنطق الانتباه.</w:t>
      </w:r>
    </w:p>
    <w:p>
      <w:pPr>
        <w:bidi/>
        <w:spacing w:after="120" w:line="336"/>
        <w:jc w:val="both"/>
      </w:pPr>
      <w:r>
        <w:rPr>
          <w:rFonts w:ascii="Times New Roman" w:cs="Noto Naskh Arabic" w:eastAsia="Noto Naskh Arabic" w:hAnsi="Times New Roman"/>
          <w:sz w:val="26"/>
          <w:szCs w:val="26"/>
          <w:rtl/>
        </w:rPr>
        <w:t xml:space="preserve">ويختلف هذا المفهوم عن القيمة الثقافية في موضعه لا في مادته. فالقيمة الثقافية تُنسب إلى ما يُنتَج، والقيمة الفكرية تُنسب إلى القدرة على الإنتاج. وقد يتباين الأمران: فيمكن لمجتمع أن يحفظ تراثاً بالغ القيمة الثقافية، ويوثّقه ويرقمنه بدقة، بينما تضعف قدرته على إنتاج أعمال جديدة أو على مساءلة ما ورثه. ويمكن، بالعكس، لمجتمع محدود الموارد التراثية أن يملك قدرة عالية على التجدد والنقد. فإذا ثبت أن البعدين يتحركان مستقلَّين في حالة واحدة على الأقل، صحّ التمييز؛ وإن تلازما دائماً، لزم التخلي عن المصطلح الجديد لصالح المستقر.</w:t>
      </w:r>
    </w:p>
    <w:p>
      <w:pPr>
        <w:bidi/>
        <w:spacing w:after="120" w:line="336"/>
        <w:jc w:val="both"/>
      </w:pPr>
      <w:r>
        <w:rPr>
          <w:rFonts w:ascii="Times New Roman" w:cs="Noto Naskh Arabic" w:eastAsia="Noto Naskh Arabic" w:hAnsi="Times New Roman"/>
          <w:sz w:val="26"/>
          <w:szCs w:val="26"/>
          <w:rtl/>
        </w:rPr>
        <w:t xml:space="preserve">وليس هذا المفهوم بلا سوابق. فقد عرّف </w:t>
      </w:r>
      <w:r>
        <w:rPr>
          <w:rFonts w:ascii="Times New Roman" w:cs="Noto Naskh Arabic" w:eastAsia="Noto Naskh Arabic" w:hAnsi="Times New Roman"/>
          <w:sz w:val="26"/>
          <w:szCs w:val="26"/>
          <w:rtl w:val="false"/>
        </w:rPr>
        <w:t xml:space="preserve">Jackson</w:t>
      </w:r>
      <w:r>
        <w:rPr>
          <w:rFonts w:ascii="Times New Roman" w:cs="Noto Naskh Arabic" w:eastAsia="Noto Naskh Arabic" w:hAnsi="Times New Roman"/>
          <w:sz w:val="26"/>
          <w:szCs w:val="26"/>
          <w:rtl/>
        </w:rPr>
        <w:t xml:space="preserve"> وزملاؤه (</w:t>
      </w:r>
      <w:r>
        <w:rPr>
          <w:rFonts w:ascii="Times New Roman" w:cs="Noto Naskh Arabic" w:eastAsia="Noto Naskh Arabic" w:hAnsi="Times New Roman"/>
          <w:sz w:val="26"/>
          <w:szCs w:val="26"/>
          <w:rtl w:val="false"/>
        </w:rPr>
        <w:t xml:space="preserve">2006</w:t>
      </w:r>
      <w:r>
        <w:rPr>
          <w:rFonts w:ascii="Times New Roman" w:cs="Noto Naskh Arabic" w:eastAsia="Noto Naskh Arabic" w:hAnsi="Times New Roman"/>
          <w:sz w:val="26"/>
          <w:szCs w:val="26"/>
          <w:rtl/>
        </w:rPr>
        <w:t xml:space="preserve">) «الحيوية الثقافية» بأنها دليل على إنشاء الفنون والثقافة ونشرها وإقرارها ودعمها بوصفها بعداً من الحياة اليومية في المجتمعات المحلية، وطوّروا مؤشرات لقياسها في ثلاثة ميادين: الحضور، والمشاركة، وأنظمة الدعم. ويلتقي التعريف المقترح هنا مع هذا المفهوم في بُعدي الإنشاء والإقرار. ويختلف عنه في ثلاثة أمور: أنه يُطبَّق على مستوى النظام الوطني أو الإقليمي لا المجتمع المحلي؛ وأنه يضيف بُعد </w:t>
      </w:r>
      <w:r>
        <w:rPr>
          <w:rFonts w:ascii="Times New Roman" w:cs="Noto Naskh Arabic" w:eastAsia="Noto Naskh Arabic" w:hAnsi="Times New Roman"/>
          <w:b/>
          <w:bCs/>
          <w:sz w:val="26"/>
          <w:szCs w:val="26"/>
          <w:rtl/>
        </w:rPr>
        <w:t xml:space="preserve">الاستقلال</w:t>
      </w:r>
      <w:r>
        <w:rPr>
          <w:rFonts w:ascii="Times New Roman" w:cs="Noto Naskh Arabic" w:eastAsia="Noto Naskh Arabic" w:hAnsi="Times New Roman"/>
          <w:sz w:val="26"/>
          <w:szCs w:val="26"/>
          <w:rtl/>
        </w:rPr>
        <w:t xml:space="preserve"> عن منطق التمويل والانتباه؛ وأنه يضيف بُعد </w:t>
      </w:r>
      <w:r>
        <w:rPr>
          <w:rFonts w:ascii="Times New Roman" w:cs="Noto Naskh Arabic" w:eastAsia="Noto Naskh Arabic" w:hAnsi="Times New Roman"/>
          <w:b/>
          <w:bCs/>
          <w:sz w:val="26"/>
          <w:szCs w:val="26"/>
          <w:rtl/>
        </w:rPr>
        <w:t xml:space="preserve">التنوع الفاعل</w:t>
      </w:r>
      <w:r>
        <w:rPr>
          <w:rFonts w:ascii="Times New Roman" w:cs="Noto Naskh Arabic" w:eastAsia="Noto Naskh Arabic" w:hAnsi="Times New Roman"/>
          <w:sz w:val="26"/>
          <w:szCs w:val="26"/>
          <w:rtl/>
        </w:rPr>
        <w:t xml:space="preserve">، الذي يقيس ما يُستهلَك فعلاً لا ما يُعرض فقط. وعليه، يُقدَّم المفهوم في هذه الورقة تطويراً لمفهوم الحيوية الثقافية، لا مفهوماً جديداً كلياً.</w:t>
      </w:r>
    </w:p>
    <w:p>
      <w:pPr>
        <w:bidi/>
        <w:spacing w:after="120" w:line="336"/>
        <w:jc w:val="both"/>
      </w:pPr>
      <w:r>
        <w:rPr>
          <w:rFonts w:ascii="Times New Roman" w:cs="Noto Naskh Arabic" w:eastAsia="Noto Naskh Arabic" w:hAnsi="Times New Roman"/>
          <w:sz w:val="26"/>
          <w:szCs w:val="26"/>
          <w:rtl/>
        </w:rPr>
        <w:t xml:space="preserve">وتتحدد القيمة الفكرية إجرائياً بأربعة أبعاد:</w:t>
      </w:r>
    </w:p>
    <w:p>
      <w:pPr>
        <w:pStyle w:val="ListParagraph"/>
        <w:numPr>
          <w:ilvl w:val="0"/>
          <w:numId w:val="4"/>
        </w:numPr>
        <w:bidi/>
        <w:spacing w:after="80" w:line="336"/>
        <w:jc w:val="both"/>
      </w:pPr>
      <w:r>
        <w:rPr>
          <w:rFonts w:ascii="Times New Roman" w:cs="Noto Naskh Arabic" w:eastAsia="Noto Naskh Arabic" w:hAnsi="Times New Roman"/>
          <w:b/>
          <w:bCs/>
          <w:sz w:val="26"/>
          <w:szCs w:val="26"/>
          <w:rtl/>
        </w:rPr>
        <w:t xml:space="preserve">الاستقلال</w:t>
      </w:r>
      <w:r>
        <w:rPr>
          <w:rFonts w:ascii="Times New Roman" w:cs="Noto Naskh Arabic" w:eastAsia="Noto Naskh Arabic" w:hAnsi="Times New Roman"/>
          <w:sz w:val="26"/>
          <w:szCs w:val="26"/>
          <w:rtl/>
        </w:rPr>
        <w:t xml:space="preserve">: من يقرر ما يُنتَج؟ ويُرصد بحصة التمويل غير المشروط بمعايير جماهيرية أو تجارية.</w:t>
      </w:r>
    </w:p>
    <w:p>
      <w:pPr>
        <w:pStyle w:val="ListParagraph"/>
        <w:numPr>
          <w:ilvl w:val="0"/>
          <w:numId w:val="4"/>
        </w:numPr>
        <w:bidi/>
        <w:spacing w:after="80" w:line="336"/>
        <w:jc w:val="both"/>
      </w:pPr>
      <w:r>
        <w:rPr>
          <w:rFonts w:ascii="Times New Roman" w:cs="Noto Naskh Arabic" w:eastAsia="Noto Naskh Arabic" w:hAnsi="Times New Roman"/>
          <w:b/>
          <w:bCs/>
          <w:sz w:val="26"/>
          <w:szCs w:val="26"/>
          <w:rtl/>
        </w:rPr>
        <w:t xml:space="preserve">التنوع الفاعل</w:t>
      </w:r>
      <w:r>
        <w:rPr>
          <w:rFonts w:ascii="Times New Roman" w:cs="Noto Naskh Arabic" w:eastAsia="Noto Naskh Arabic" w:hAnsi="Times New Roman"/>
          <w:sz w:val="26"/>
          <w:szCs w:val="26"/>
          <w:rtl/>
        </w:rPr>
        <w:t xml:space="preserve">: هل يُستهلك المتنوع أم يُعرض فقط؟ ويُرصد بمقارنة تركّز الاستهلاك بتنوع العرض.</w:t>
      </w:r>
    </w:p>
    <w:p>
      <w:pPr>
        <w:pStyle w:val="ListParagraph"/>
        <w:numPr>
          <w:ilvl w:val="0"/>
          <w:numId w:val="4"/>
        </w:numPr>
        <w:bidi/>
        <w:spacing w:after="80" w:line="336"/>
        <w:jc w:val="both"/>
      </w:pPr>
      <w:r>
        <w:rPr>
          <w:rFonts w:ascii="Times New Roman" w:cs="Noto Naskh Arabic" w:eastAsia="Noto Naskh Arabic" w:hAnsi="Times New Roman"/>
          <w:b/>
          <w:bCs/>
          <w:sz w:val="26"/>
          <w:szCs w:val="26"/>
          <w:rtl/>
        </w:rPr>
        <w:t xml:space="preserve">المساءلة</w:t>
      </w:r>
      <w:r>
        <w:rPr>
          <w:rFonts w:ascii="Times New Roman" w:cs="Noto Naskh Arabic" w:eastAsia="Noto Naskh Arabic" w:hAnsi="Times New Roman"/>
          <w:sz w:val="26"/>
          <w:szCs w:val="26"/>
          <w:rtl/>
        </w:rPr>
        <w:t xml:space="preserve">: هل ينتج النظام نقداً لذاته؟ ويُرصد بكثافة النقد والمراجعة والجدل العام.</w:t>
      </w:r>
    </w:p>
    <w:p>
      <w:pPr>
        <w:pStyle w:val="ListParagraph"/>
        <w:numPr>
          <w:ilvl w:val="0"/>
          <w:numId w:val="4"/>
        </w:numPr>
        <w:bidi/>
        <w:spacing w:after="80" w:line="336"/>
        <w:jc w:val="both"/>
      </w:pPr>
      <w:r>
        <w:rPr>
          <w:rFonts w:ascii="Times New Roman" w:cs="Noto Naskh Arabic" w:eastAsia="Noto Naskh Arabic" w:hAnsi="Times New Roman"/>
          <w:b/>
          <w:bCs/>
          <w:sz w:val="26"/>
          <w:szCs w:val="26"/>
          <w:rtl/>
        </w:rPr>
        <w:t xml:space="preserve">التجدد</w:t>
      </w:r>
      <w:r>
        <w:rPr>
          <w:rFonts w:ascii="Times New Roman" w:cs="Noto Naskh Arabic" w:eastAsia="Noto Naskh Arabic" w:hAnsi="Times New Roman"/>
          <w:sz w:val="26"/>
          <w:szCs w:val="26"/>
          <w:rtl/>
        </w:rPr>
        <w:t xml:space="preserve">: هل تولد أشكال ومعارف جديدة؟ ويُرصد بحصة الأعمال الجديدة من مؤلفين جدد.</w:t>
      </w:r>
    </w:p>
    <w:p>
      <w:pPr>
        <w:bidi/>
        <w:spacing w:after="120" w:line="336"/>
        <w:jc w:val="both"/>
      </w:pPr>
      <w:r>
        <w:rPr>
          <w:rFonts w:ascii="Times New Roman" w:cs="Noto Naskh Arabic" w:eastAsia="Noto Naskh Arabic" w:hAnsi="Times New Roman"/>
          <w:sz w:val="26"/>
          <w:szCs w:val="26"/>
          <w:rtl/>
        </w:rPr>
        <w:t xml:space="preserve">ويخضع بناء أي مؤشر لهذه الأبعاد لقاعدة واحدة: لا يُقبل مؤشر يرتفع بالكمّ وحده — كعدد الإصدارات، أو عدد الفعاليات، أو حجم الإنفاق — لأن هذه مؤشرات مخزون قد تصعد بينما تتراجع القدرة نفسها. فالمطلوب مؤشرات تقيس النسبة والاتجاه والتوزيع، لا الحجم.</w:t>
      </w:r>
    </w:p>
    <w:p>
      <w:pPr>
        <w:bidi/>
        <w:spacing w:after="120" w:line="336"/>
        <w:jc w:val="both"/>
      </w:pPr>
      <w:r>
        <w:rPr>
          <w:rFonts w:ascii="Times New Roman" w:cs="Noto Naskh Arabic" w:eastAsia="Noto Naskh Arabic" w:hAnsi="Times New Roman"/>
          <w:sz w:val="26"/>
          <w:szCs w:val="26"/>
          <w:rtl/>
        </w:rPr>
        <w:t xml:space="preserve">وتتفاوت الأبعاد الأربعة في إمكان قياسها اليوم. فالتجدد قابل للبناء جزئياً من سجلات الإيداع القانوني والنشر. والاستقلال يحتاج إلى إعادة تصنيف بيانات التمويل الموجودة. والمساءلة تحتاج إلى مسح منهجي للإنتاج النقدي. أما التنوع الفاعل فيعتمد على بيانات استهلاك تحتفظ بها المنصات ولا تُتاح للعموم. وهذا التفاوت ليس تفصيلاً فنياً، بل هو — كما سيتضح — جزء من موضوع البحث.</w:t>
      </w:r>
    </w:p>
    <w:p>
      <w:pPr>
        <w:pStyle w:val="Heading2"/>
        <w:bidi/>
        <w:jc w:val="right"/>
      </w:pPr>
      <w:r>
        <w:rPr>
          <w:rFonts w:ascii="Times New Roman" w:cs="Noto Naskh Arabic" w:eastAsia="Noto Naskh Arabic" w:hAnsi="Times New Roman"/>
          <w:b/>
          <w:bCs/>
          <w:color w:val="1F4E79"/>
          <w:sz w:val="28"/>
          <w:szCs w:val="28"/>
          <w:rtl/>
        </w:rPr>
        <w:t xml:space="preserve">٣-٦ التباعد: حقيقي وقياسي</w:t>
      </w:r>
    </w:p>
    <w:p>
      <w:pPr>
        <w:bidi/>
        <w:spacing w:after="120" w:line="336"/>
        <w:jc w:val="both"/>
      </w:pPr>
      <w:r>
        <w:rPr>
          <w:rFonts w:ascii="Times New Roman" w:cs="Noto Naskh Arabic" w:eastAsia="Noto Naskh Arabic" w:hAnsi="Times New Roman"/>
          <w:sz w:val="26"/>
          <w:szCs w:val="26"/>
          <w:rtl/>
        </w:rPr>
        <w:t xml:space="preserve">يُقصد بـ</w:t>
      </w:r>
      <w:r>
        <w:rPr>
          <w:rFonts w:ascii="Times New Roman" w:cs="Noto Naskh Arabic" w:eastAsia="Noto Naskh Arabic" w:hAnsi="Times New Roman"/>
          <w:b/>
          <w:bCs/>
          <w:sz w:val="26"/>
          <w:szCs w:val="26"/>
          <w:rtl/>
        </w:rPr>
        <w:t xml:space="preserve">التباعد</w:t>
      </w:r>
      <w:r>
        <w:rPr>
          <w:rFonts w:ascii="Times New Roman" w:cs="Noto Naskh Arabic" w:eastAsia="Noto Naskh Arabic" w:hAnsi="Times New Roman"/>
          <w:sz w:val="26"/>
          <w:szCs w:val="26"/>
          <w:rtl/>
        </w:rPr>
        <w:t xml:space="preserve"> في هذه الورقة افتراق مساري القيمة الاقتصادية والقيمة الفكرية لنظام ثقافي عبر الزمن، بحيث يصعد أحدهما بينما يثبت الآخر أو يهبط. ويُميَّز فيه بين نوعين.</w:t>
      </w:r>
    </w:p>
    <w:p>
      <w:pPr>
        <w:bidi/>
        <w:spacing w:after="120" w:line="336"/>
        <w:jc w:val="both"/>
      </w:pPr>
      <w:r>
        <w:rPr>
          <w:rFonts w:ascii="Times New Roman" w:cs="Noto Naskh Arabic" w:eastAsia="Noto Naskh Arabic" w:hAnsi="Times New Roman"/>
          <w:b/>
          <w:bCs/>
          <w:sz w:val="26"/>
          <w:szCs w:val="26"/>
          <w:rtl/>
        </w:rPr>
        <w:t xml:space="preserve">التباعد الحقيقي</w:t>
      </w:r>
      <w:r>
        <w:rPr>
          <w:rFonts w:ascii="Times New Roman" w:cs="Noto Naskh Arabic" w:eastAsia="Noto Naskh Arabic" w:hAnsi="Times New Roman"/>
          <w:sz w:val="26"/>
          <w:szCs w:val="26"/>
          <w:rtl/>
        </w:rPr>
        <w:t xml:space="preserve"> أن تتراجع القدرة الفكرية فعلاً بينما ينمو العائد. ومن آلياته المحتملة أن يدفع نمو العائد نحو معايير تمويل عائدية تُضعف تمويل ما لا عائد له، وأن تركّز الوساطة الخوارزمية الاستهلاك في عدد محدود من الأعمال. وهذا النوع صياغة ديناميكية لفكرة المزاحمة التي أبرزها </w:t>
      </w:r>
      <w:r>
        <w:rPr>
          <w:rFonts w:ascii="Times New Roman" w:cs="Noto Naskh Arabic" w:eastAsia="Noto Naskh Arabic" w:hAnsi="Times New Roman"/>
          <w:sz w:val="26"/>
          <w:szCs w:val="26"/>
          <w:rtl w:val="false"/>
        </w:rPr>
        <w:t xml:space="preserve">Hutter</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Throsby (2008</w:t>
      </w:r>
      <w:r>
        <w:rPr>
          <w:rFonts w:ascii="Times New Roman" w:cs="Noto Naskh Arabic" w:eastAsia="Noto Naskh Arabic" w:hAnsi="Times New Roman"/>
          <w:sz w:val="26"/>
          <w:szCs w:val="26"/>
          <w:rtl/>
        </w:rPr>
        <w:t xml:space="preserve">)</w:t>
      </w:r>
      <w:r>
        <w:rPr>
          <w:rStyle w:val="FootnoteReference"/>
        </w:rPr>
        <w:footnoteReference w:id="33"/>
      </w:r>
      <w:r>
        <w:rPr>
          <w:rFonts w:ascii="Times New Roman" w:cs="Noto Naskh Arabic" w:eastAsia="Noto Naskh Arabic" w:hAnsi="Times New Roman"/>
          <w:sz w:val="26"/>
          <w:szCs w:val="26"/>
          <w:rtl/>
        </w:rPr>
        <w:t xml:space="preserve">، مع فارقين: أنه يُنقل من عمليات التقييم إلى مسار النظام، وأنه يُعامل احتمالاً مشروطاً بترتيبات مؤسسية معيّنة لا قانوناً عاماً.</w:t>
      </w:r>
    </w:p>
    <w:p>
      <w:pPr>
        <w:bidi/>
        <w:spacing w:after="120" w:line="336"/>
        <w:jc w:val="both"/>
      </w:pPr>
      <w:r>
        <w:rPr>
          <w:rFonts w:ascii="Times New Roman" w:cs="Noto Naskh Arabic" w:eastAsia="Noto Naskh Arabic" w:hAnsi="Times New Roman"/>
          <w:b/>
          <w:bCs/>
          <w:sz w:val="26"/>
          <w:szCs w:val="26"/>
          <w:rtl/>
        </w:rPr>
        <w:t xml:space="preserve">تباعد القياس</w:t>
      </w:r>
      <w:r>
        <w:rPr>
          <w:rFonts w:ascii="Times New Roman" w:cs="Noto Naskh Arabic" w:eastAsia="Noto Naskh Arabic" w:hAnsi="Times New Roman"/>
          <w:sz w:val="26"/>
          <w:szCs w:val="26"/>
          <w:rtl/>
        </w:rPr>
        <w:t xml:space="preserve"> أن تبقى القدرة الفكرية على حالها، أو تتغير في اتجاه لا يُعرف، بينما يبدو أنها تتراجع لأن أدوات الرصد لا تراها. فإذا كانت القيمة الاقتصادية تُقاس بأحد عشر مؤشراً والقيمة الفكرية بلا مؤشر، فكل نمو في الأولى سيبدو تفوقاً على الثانية، لا لأنها تراجعت بل لأنها غائبة عن الجدول.</w:t>
      </w:r>
    </w:p>
    <w:p>
      <w:pPr>
        <w:bidi/>
        <w:spacing w:after="120" w:line="336"/>
        <w:jc w:val="both"/>
      </w:pPr>
      <w:r>
        <w:rPr>
          <w:rFonts w:ascii="Times New Roman" w:cs="Noto Naskh Arabic" w:eastAsia="Noto Naskh Arabic" w:hAnsi="Times New Roman"/>
          <w:sz w:val="26"/>
          <w:szCs w:val="26"/>
          <w:rtl/>
        </w:rPr>
        <w:t xml:space="preserve">ولا يتنافس النوعان على تفسير الماضي فقط، بل على تصميم السياسة. فإذا كان التباعد حقيقياً، كان العلاج في قواعد الحوكمة والتمويل التي تحمي القدرة. وإذا كان قياسياً، كان العلاج الأول في بناء أدوات الرصد، وكان الخطر الأكبر أن تُقلَّص برامج تحمل القدرة الفكرية لأنها «لا تُنتج» في جدول لا يعرف كيف يرى ما تُنتجه. ولذلك يصبح السؤال المنهجي الحاسم: ما المعطى الذي يميّز بين النوعين؟ وتجيب الورقة عنه في القسم الثامن.</w:t>
      </w:r>
    </w:p>
    <w:p>
      <w:pPr>
        <w:pStyle w:val="Heading2"/>
        <w:bidi/>
        <w:jc w:val="right"/>
      </w:pPr>
      <w:r>
        <w:rPr>
          <w:rFonts w:ascii="Times New Roman" w:cs="Noto Naskh Arabic" w:eastAsia="Noto Naskh Arabic" w:hAnsi="Times New Roman"/>
          <w:b/>
          <w:bCs/>
          <w:color w:val="1F4E79"/>
          <w:sz w:val="28"/>
          <w:szCs w:val="28"/>
          <w:rtl/>
        </w:rPr>
        <w:t xml:space="preserve">٣-٧ طبقتان بإيقاعين</w:t>
      </w:r>
    </w:p>
    <w:p>
      <w:pPr>
        <w:bidi/>
        <w:spacing w:after="120" w:line="336"/>
        <w:jc w:val="both"/>
      </w:pPr>
      <w:r>
        <w:rPr>
          <w:rFonts w:ascii="Times New Roman" w:cs="Noto Naskh Arabic" w:eastAsia="Noto Naskh Arabic" w:hAnsi="Times New Roman"/>
          <w:sz w:val="26"/>
          <w:szCs w:val="26"/>
          <w:rtl/>
        </w:rPr>
        <w:t xml:space="preserve">تقترح الورقة التمييز بين طبقتين في النظام الثقافي: </w:t>
      </w:r>
      <w:r>
        <w:rPr>
          <w:rFonts w:ascii="Times New Roman" w:cs="Noto Naskh Arabic" w:eastAsia="Noto Naskh Arabic" w:hAnsi="Times New Roman"/>
          <w:b/>
          <w:bCs/>
          <w:sz w:val="26"/>
          <w:szCs w:val="26"/>
          <w:rtl/>
        </w:rPr>
        <w:t xml:space="preserve">طبقة القيم والمعاني</w:t>
      </w:r>
      <w:r>
        <w:rPr>
          <w:rFonts w:ascii="Times New Roman" w:cs="Noto Naskh Arabic" w:eastAsia="Noto Naskh Arabic" w:hAnsi="Times New Roman"/>
          <w:sz w:val="26"/>
          <w:szCs w:val="26"/>
          <w:rtl/>
        </w:rPr>
        <w:t xml:space="preserve">، وهي ما يعتقده المجتمع ويقدّره ويتداوله من تصورات؛ و</w:t>
      </w:r>
      <w:r>
        <w:rPr>
          <w:rFonts w:ascii="Times New Roman" w:cs="Noto Naskh Arabic" w:eastAsia="Noto Naskh Arabic" w:hAnsi="Times New Roman"/>
          <w:b/>
          <w:bCs/>
          <w:sz w:val="26"/>
          <w:szCs w:val="26"/>
          <w:rtl/>
        </w:rPr>
        <w:t xml:space="preserve">طبقة الوساطة والسوق</w:t>
      </w:r>
      <w:r>
        <w:rPr>
          <w:rFonts w:ascii="Times New Roman" w:cs="Noto Naskh Arabic" w:eastAsia="Noto Naskh Arabic" w:hAnsi="Times New Roman"/>
          <w:sz w:val="26"/>
          <w:szCs w:val="26"/>
          <w:rtl/>
        </w:rPr>
        <w:t xml:space="preserve">، وهي البنى التي يصل عبرها الإنتاج الثقافي إلى جمهوره ويُموَّل ويُكافأ.</w:t>
      </w:r>
    </w:p>
    <w:p>
      <w:pPr>
        <w:bidi/>
        <w:spacing w:after="120" w:line="336"/>
        <w:jc w:val="both"/>
      </w:pPr>
      <w:r>
        <w:rPr>
          <w:rFonts w:ascii="Times New Roman" w:cs="Noto Naskh Arabic" w:eastAsia="Noto Naskh Arabic" w:hAnsi="Times New Roman"/>
          <w:sz w:val="26"/>
          <w:szCs w:val="26"/>
          <w:rtl/>
        </w:rPr>
        <w:t xml:space="preserve">ومصدر هذا التمييز اختبار تجريه الورقة لتوقع قديم. فقد طرح الفريق العامل الذي أطلق مشروع اليونسكو عن مستقبلات الثقافة سنة ١٩٩٠ قضية مؤداها أن قوى التنميط تعمل مجتمعةً وتراكمياً على تجانس الثقافات أو دفعها إلى مواقع زخرفية وهامشية</w:t>
      </w:r>
      <w:r>
        <w:rPr>
          <w:rStyle w:val="FootnoteReference"/>
        </w:rPr>
        <w:footnoteReference w:id="34"/>
      </w:r>
      <w:r>
        <w:rPr>
          <w:rFonts w:ascii="Times New Roman" w:cs="Noto Naskh Arabic" w:eastAsia="Noto Naskh Arabic" w:hAnsi="Times New Roman"/>
          <w:sz w:val="26"/>
          <w:szCs w:val="26"/>
          <w:rtl/>
        </w:rPr>
        <w:t xml:space="preserve">. وبعد أكثر من ثلاثة عقود، حللت دراسة منشورة في </w:t>
      </w:r>
      <w:r>
        <w:rPr>
          <w:rFonts w:ascii="Times New Roman" w:cs="Noto Naskh Arabic" w:eastAsia="Noto Naskh Arabic" w:hAnsi="Times New Roman"/>
          <w:i/>
          <w:sz w:val="26"/>
          <w:szCs w:val="26"/>
          <w:rtl w:val="false"/>
        </w:rPr>
        <w:t xml:space="preserve">Nature Communications</w:t>
      </w:r>
      <w:r>
        <w:rPr>
          <w:rFonts w:ascii="Times New Roman" w:cs="Noto Naskh Arabic" w:eastAsia="Noto Naskh Arabic" w:hAnsi="Times New Roman"/>
          <w:sz w:val="26"/>
          <w:szCs w:val="26"/>
          <w:rtl/>
        </w:rPr>
        <w:t xml:space="preserve"> بيانات مسح القيم العالمي من ١٩٨١ إلى ٢٠٢٢، شملت ٤٠٦٬١٨٥ مستجيباً من ٧٦ ثقافة وطنية، فوجدت تباعداً عالمياً في القيم لا تقارباً؛ وكان أشدّه في قيم التسامح والتعبير عن الذات بين الدول الغربية مرتفعة الدخل وبقية العالم، مع تقارب متزايد بين دول الإقليم الواحد</w:t>
      </w:r>
      <w:r>
        <w:rPr>
          <w:rStyle w:val="FootnoteReference"/>
        </w:rPr>
        <w:footnoteReference w:id="35"/>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فالتوقع لم يتحقق في طبقة القيم. أما في طبقة الوساطة والسوق، فالبيانات تُظهر تركّزاً: إذ استأثر أكبر عشرة مصدّرين بـ٧٣٪ من صادرات الخدمات الإبداعية عام ٢٠٢٤</w:t>
      </w:r>
      <w:r>
        <w:rPr>
          <w:rStyle w:val="FootnoteReference"/>
        </w:rPr>
        <w:footnoteReference w:id="36"/>
      </w:r>
      <w:r>
        <w:rPr>
          <w:rFonts w:ascii="Times New Roman" w:cs="Noto Naskh Arabic" w:eastAsia="Noto Naskh Arabic" w:hAnsi="Times New Roman"/>
          <w:sz w:val="26"/>
          <w:szCs w:val="26"/>
          <w:rtl/>
        </w:rPr>
        <w:t xml:space="preserve">. والتركّز ليس تنميطاً بالضرورة، فلا يُحكم بتحقق التوقع في هذه الطبقة؛ لكنه يكفي لبيان أن الطبقتين لا تتحركان معاً.</w:t>
      </w:r>
    </w:p>
    <w:p>
      <w:pPr>
        <w:bidi/>
        <w:spacing w:after="120" w:line="336"/>
        <w:jc w:val="both"/>
      </w:pPr>
      <w:r>
        <w:rPr>
          <w:rFonts w:ascii="Times New Roman" w:cs="Noto Naskh Arabic" w:eastAsia="Noto Naskh Arabic" w:hAnsi="Times New Roman"/>
          <w:sz w:val="26"/>
          <w:szCs w:val="26"/>
          <w:rtl/>
        </w:rPr>
        <w:t xml:space="preserve">ويترتب على هذا التمييز أمر جوهري في بناء النموذج. فالصيغة الساذجة لفرضية التباعد — كلما نما السوق تجانس الفكر — لا تصمد أمام هذه الأدلة، لأن المعنى قد يتحرك في طبقة غير التي يتحرك فيها السوق. أما الصيغة الطبقية فتقول: إن تركّز الوساطة قد يضغط على أبعاد معيّنة من القيمة الفكرية — التنوع الفاعل والتجدد — دون أن يمسّ بالضرورة طبقة القيم العميقة. وهذا يجعل التنبؤ بأثر الوساطة أصعب، لكنه أقرب إلى الأدلة المتاحة.</w:t>
      </w:r>
    </w:p>
    <w:p>
      <w:pPr>
        <w:pStyle w:val="Heading2"/>
        <w:bidi/>
        <w:jc w:val="right"/>
      </w:pPr>
      <w:r>
        <w:rPr>
          <w:rFonts w:ascii="Times New Roman" w:cs="Noto Naskh Arabic" w:eastAsia="Noto Naskh Arabic" w:hAnsi="Times New Roman"/>
          <w:b/>
          <w:bCs/>
          <w:color w:val="1F4E79"/>
          <w:sz w:val="28"/>
          <w:szCs w:val="28"/>
          <w:rtl/>
        </w:rPr>
        <w:t xml:space="preserve">٣-٨ الاستشراف: ما يعنيه هنا</w:t>
      </w:r>
    </w:p>
    <w:p>
      <w:pPr>
        <w:bidi/>
        <w:spacing w:after="120" w:line="336"/>
        <w:jc w:val="both"/>
      </w:pPr>
      <w:r>
        <w:rPr>
          <w:rFonts w:ascii="Times New Roman" w:cs="Noto Naskh Arabic" w:eastAsia="Noto Naskh Arabic" w:hAnsi="Times New Roman"/>
          <w:sz w:val="26"/>
          <w:szCs w:val="26"/>
          <w:rtl/>
        </w:rPr>
        <w:t xml:space="preserve">يُستعمل الاستشراف في هذه الورقة بمعناه المنهجي: استكشاف منظّم لمستقبلات بديلة ممكنة، استناداً إلى تحليل المحركات وعدم اليقين، بهدف دعم القرار في الحاضر. وهو بهذا يختلف عن التنبؤ الخطي، الذي يمدّ الاتجاهات الراهنة إلى المستقبل ويقدّم مستقبلاً واحداً مرجّحاً. فالسيناريوهات في هذه الورقة ليست توقعات، بل تراكيب تحليلية متمايزة بنيوياً، يُختبر أمامها متانة السياسات.</w:t>
      </w:r>
    </w:p>
    <w:p>
      <w:pPr>
        <w:bidi/>
        <w:spacing w:after="120" w:line="336"/>
        <w:jc w:val="both"/>
      </w:pPr>
      <w:r>
        <w:rPr>
          <w:rFonts w:ascii="Times New Roman" w:cs="Noto Naskh Arabic" w:eastAsia="Noto Naskh Arabic" w:hAnsi="Times New Roman"/>
          <w:sz w:val="26"/>
          <w:szCs w:val="26"/>
          <w:rtl/>
        </w:rPr>
        <w:t xml:space="preserve">ويؤخذ في الحسبان أن الاستشراف نفسه موسَّط ثقافياً. فقد أظهرت الأدبيات أن التقاليد الوطنية والثقافات تؤثر في عمليات الاستشراف الوطنية</w:t>
      </w:r>
      <w:r>
        <w:rPr>
          <w:rStyle w:val="FootnoteReference"/>
        </w:rPr>
        <w:footnoteReference w:id="37"/>
      </w:r>
      <w:r>
        <w:rPr>
          <w:rFonts w:ascii="Times New Roman" w:cs="Noto Naskh Arabic" w:eastAsia="Noto Naskh Arabic" w:hAnsi="Times New Roman"/>
          <w:sz w:val="26"/>
          <w:szCs w:val="26"/>
          <w:rtl/>
        </w:rPr>
        <w:t xml:space="preserve">، وأن الخلفية الثقافية للمشاركين تؤثر في ورش بناء السيناريوهات وفي أنماط التفاعل داخلها</w:t>
      </w:r>
      <w:r>
        <w:rPr>
          <w:rStyle w:val="FootnoteReference"/>
        </w:rPr>
        <w:footnoteReference w:id="38"/>
      </w:r>
      <w:r>
        <w:rPr>
          <w:rFonts w:ascii="Times New Roman" w:cs="Noto Naskh Arabic" w:eastAsia="Noto Naskh Arabic" w:hAnsi="Times New Roman"/>
          <w:sz w:val="26"/>
          <w:szCs w:val="26"/>
          <w:rtl/>
        </w:rPr>
        <w:t xml:space="preserve">. ويعني ذلك أن تطبيق أدوات الاستشراف على السياسة الثقافية العربية والخليجية لا يكون باستيراد إطار جاهز، بل بتكييف يحدد وحدة التحليل من الداخل ويختبر قابلية النقل.</w:t>
      </w:r>
    </w:p>
    <w:p>
      <w:pPr>
        <w:pStyle w:val="Heading2"/>
        <w:bidi/>
        <w:jc w:val="right"/>
      </w:pPr>
      <w:r>
        <w:rPr>
          <w:rFonts w:ascii="Times New Roman" w:cs="Noto Naskh Arabic" w:eastAsia="Noto Naskh Arabic" w:hAnsi="Times New Roman"/>
          <w:b/>
          <w:bCs/>
          <w:color w:val="1F4E79"/>
          <w:sz w:val="28"/>
          <w:szCs w:val="28"/>
          <w:rtl/>
        </w:rPr>
        <w:t xml:space="preserve">٣-٩ خلاصة الجهاز المفاهيمي</w:t>
      </w:r>
    </w:p>
    <w:p>
      <w:pPr>
        <w:bidi/>
        <w:spacing w:after="120" w:line="336"/>
        <w:jc w:val="both"/>
      </w:pPr>
      <w:r>
        <w:rPr>
          <w:rFonts w:ascii="Times New Roman" w:cs="Noto Naskh Arabic" w:eastAsia="Noto Naskh Arabic" w:hAnsi="Times New Roman"/>
          <w:sz w:val="26"/>
          <w:szCs w:val="26"/>
          <w:rtl/>
        </w:rPr>
        <w:t xml:space="preserve">يقوم بقية البحث على خمسة تمييزات أرساها هذا القسم: الثقافة قطاعاً والثقافة منظومة؛ والقيمة الاقتصادية المرصودة والقيمة الثقافية للسلعة والقيمة الفكرية للنظام؛ والتباعد الحقيقي وتباعد القياس؛ وطبقة القيم وطبقة الوساطة؛ والاستشراف استكشافاً لا تنبؤاً. وكل تمييز من هذه يحمل فرضية قابلة للنقض. فإذا لم يثبت أن القيمة الفكرية تتحرك مستقلة عن القيمة الثقافية، سقط المفهوم الثالث. وإذا لم يوجد معطى يميّز التباعد الحقيقي من القياسي، بقي السؤال المركزي معلّقاً. وإذا تبيّن أن الطبقتين تتحركان معاً في الثقافة العربية والخليجية خلافاً لما رُصد عالمياً، لزم تعديل النموذج. والورقة تعرض هذه الشروط سلفاً لأن قيمة الجهاز المفاهيمي في قابليته للاختبار، لا في اكتماله.</w:t>
      </w:r>
    </w:p>
    <w:p>
      <w:pPr>
        <w:pStyle w:val="Heading1"/>
        <w:bidi/>
        <w:jc w:val="right"/>
      </w:pPr>
      <w:r>
        <w:rPr>
          <w:rFonts w:ascii="Times New Roman" w:cs="Noto Naskh Arabic" w:eastAsia="Noto Naskh Arabic" w:hAnsi="Times New Roman"/>
          <w:b/>
          <w:bCs/>
          <w:color w:val="1F4E79"/>
          <w:sz w:val="34"/>
          <w:szCs w:val="34"/>
          <w:rtl/>
        </w:rPr>
        <w:t xml:space="preserve">٤. المراجعة النقدية للأدبيات</w:t>
      </w:r>
    </w:p>
    <w:p>
      <w:pPr>
        <w:bidi/>
        <w:spacing w:after="120" w:line="336"/>
        <w:jc w:val="both"/>
      </w:pPr>
      <w:r>
        <w:rPr>
          <w:rFonts w:ascii="Times New Roman" w:cs="Noto Naskh Arabic" w:eastAsia="Noto Naskh Arabic" w:hAnsi="Times New Roman"/>
          <w:sz w:val="26"/>
          <w:szCs w:val="26"/>
          <w:rtl/>
        </w:rPr>
        <w:t xml:space="preserve">تقرأ هذه المراجعة ستة تقاليد بحثية تمسّ سؤال الورقة، وتسأل كلاً منها سؤالاً واحداً: ماذا قدّم لفهم العلاقة بين القيمة الاقتصادية والقيمة الفكرية للثقافة عبر الزمن، وأين توقف؟ ولا تهدف إلى الإحاطة بكل ما كُتب في كل تقليد، بل إلى تحديد موضع كل منها من المشكلة. وتُعرض إجراءات البحث والاشتمال والاستبعاد في القسم الخامس.</w:t>
      </w:r>
    </w:p>
    <w:p>
      <w:pPr>
        <w:pStyle w:val="Heading2"/>
        <w:bidi/>
        <w:jc w:val="right"/>
      </w:pPr>
      <w:r>
        <w:rPr>
          <w:rFonts w:ascii="Times New Roman" w:cs="Noto Naskh Arabic" w:eastAsia="Noto Naskh Arabic" w:hAnsi="Times New Roman"/>
          <w:b/>
          <w:bCs/>
          <w:color w:val="1F4E79"/>
          <w:sz w:val="28"/>
          <w:szCs w:val="28"/>
          <w:rtl/>
        </w:rPr>
        <w:t xml:space="preserve">٤-١ الاقتصاد الثقافي: من الثنائية إلى المزاحمة</w:t>
      </w:r>
    </w:p>
    <w:p>
      <w:pPr>
        <w:bidi/>
        <w:spacing w:after="120" w:line="336"/>
        <w:jc w:val="both"/>
      </w:pPr>
      <w:r>
        <w:rPr>
          <w:rFonts w:ascii="Times New Roman" w:cs="Noto Naskh Arabic" w:eastAsia="Noto Naskh Arabic" w:hAnsi="Times New Roman"/>
          <w:sz w:val="26"/>
          <w:szCs w:val="26"/>
          <w:rtl/>
        </w:rPr>
        <w:t xml:space="preserve">نشأ التمييز بين القيمة الاقتصادية والقيمة الثقافية في الاقتصاد الثقافي من حاجة عملية قبل أن يكون موقفاً فلسفياً. فقد اعتمد الدفاع عن التمويل العام للفنون طويلاً على أسس اقتصادية: الآثار الخارجية الإيجابية، وطبيعة السلعة العامة، وقيم الوجود والتوريث التي لا تظهر في الأسعار. وطوّر الاقتصاديون أدوات لتقدير هذه القيم غير السوقية، أبرزها التقييم الطارئ الذي يسأل الأفراد عن استعدادهم للدفع مقابل منفعة ثقافية لا تُباع.</w:t>
      </w:r>
    </w:p>
    <w:p>
      <w:pPr>
        <w:bidi/>
        <w:spacing w:after="120" w:line="336"/>
        <w:jc w:val="both"/>
      </w:pPr>
      <w:r>
        <w:rPr>
          <w:rFonts w:ascii="Times New Roman" w:cs="Noto Naskh Arabic" w:eastAsia="Noto Naskh Arabic" w:hAnsi="Times New Roman"/>
          <w:sz w:val="26"/>
          <w:szCs w:val="26"/>
          <w:rtl/>
        </w:rPr>
        <w:t xml:space="preserve">وفي ورقة منشورة في مجلة الاقتصاد الثقافي، سأل </w:t>
      </w:r>
      <w:r>
        <w:rPr>
          <w:rFonts w:ascii="Times New Roman" w:cs="Noto Naskh Arabic" w:eastAsia="Noto Naskh Arabic" w:hAnsi="Times New Roman"/>
          <w:sz w:val="26"/>
          <w:szCs w:val="26"/>
          <w:rtl w:val="false"/>
        </w:rPr>
        <w:t xml:space="preserve">Throsby (2003</w:t>
      </w:r>
      <w:r>
        <w:rPr>
          <w:rFonts w:ascii="Times New Roman" w:cs="Noto Naskh Arabic" w:eastAsia="Noto Naskh Arabic" w:hAnsi="Times New Roman"/>
          <w:sz w:val="26"/>
          <w:szCs w:val="26"/>
          <w:rtl/>
        </w:rPr>
        <w:t xml:space="preserve">)</w:t>
      </w:r>
      <w:r>
        <w:rPr>
          <w:rStyle w:val="FootnoteReference"/>
        </w:rPr>
        <w:footnoteReference w:id="39"/>
      </w:r>
      <w:r>
        <w:rPr>
          <w:rFonts w:ascii="Times New Roman" w:cs="Noto Naskh Arabic" w:eastAsia="Noto Naskh Arabic" w:hAnsi="Times New Roman"/>
          <w:sz w:val="26"/>
          <w:szCs w:val="26"/>
          <w:rtl/>
        </w:rPr>
        <w:t xml:space="preserve"> عن حدود هذه الأداة. فالتقييم الطارئ، مضافاً إلى التقييم السوقي، يُعدّ في الإطار النيوكلاسيكي صورة مكتملة لقيمة السلعة الثقافية. لكن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بيّن أن هذه الصورة ناقصة، وأن ثمة جوانب من قيمة السلع الثقافية لا تلتقطها الأداة أو لا تلتقطها كاملة، ودعا إلى تطوير مقاييس بديلة. وأهمية هذه الحجة لبحثنا أنها تقرّ، من داخل علم الاقتصاد، بأن أداة القياس الاقتصادي الأوسع لا تستوعب كل ما يُقدَّر في الثقافة. وهذا هو جذر ما تسميه الورقة «تباعد القياس».</w:t>
      </w:r>
    </w:p>
    <w:p>
      <w:pPr>
        <w:bidi/>
        <w:spacing w:after="120" w:line="336"/>
        <w:jc w:val="both"/>
      </w:pPr>
      <w:r>
        <w:rPr>
          <w:rFonts w:ascii="Times New Roman" w:cs="Noto Naskh Arabic" w:eastAsia="Noto Naskh Arabic" w:hAnsi="Times New Roman"/>
          <w:sz w:val="26"/>
          <w:szCs w:val="26"/>
          <w:rtl/>
        </w:rPr>
        <w:t xml:space="preserve">وجمع المجلد الذي حرّره </w:t>
      </w:r>
      <w:r>
        <w:rPr>
          <w:rFonts w:ascii="Times New Roman" w:cs="Noto Naskh Arabic" w:eastAsia="Noto Naskh Arabic" w:hAnsi="Times New Roman"/>
          <w:sz w:val="26"/>
          <w:szCs w:val="26"/>
          <w:rtl w:val="false"/>
        </w:rPr>
        <w:t xml:space="preserve">Hutter</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Throsby (2008</w:t>
      </w:r>
      <w:r>
        <w:rPr>
          <w:rFonts w:ascii="Times New Roman" w:cs="Noto Naskh Arabic" w:eastAsia="Noto Naskh Arabic" w:hAnsi="Times New Roman"/>
          <w:sz w:val="26"/>
          <w:szCs w:val="26"/>
          <w:rtl/>
        </w:rPr>
        <w:t xml:space="preserve">)</w:t>
      </w:r>
      <w:r>
        <w:rPr>
          <w:rStyle w:val="FootnoteReference"/>
        </w:rPr>
        <w:footnoteReference w:id="40"/>
      </w:r>
      <w:r>
        <w:rPr>
          <w:rFonts w:ascii="Times New Roman" w:cs="Noto Naskh Arabic" w:eastAsia="Noto Naskh Arabic" w:hAnsi="Times New Roman"/>
          <w:sz w:val="26"/>
          <w:szCs w:val="26"/>
          <w:rtl/>
        </w:rPr>
        <w:t xml:space="preserve"> باحثين من الاقتصاد وعلم الجمال وتاريخ الفن والفلسفة حول فرضية موجّهة: أن التمييز بين القيمة الاقتصادية والقيمة الثقافية ممكن، وأن ما يحتاج إلى البحث هو طبيعة القيمتين، وكيف تتكوّنان، وكيف ترتبطان أو لا ترتبطان. وصرّح المحرران في مقدمتهما بأن الأساس الاقتصادي في تحديد قيمة الفن يبدو في العالم المعاصر آخذاً في حجب المفاهيم البديلة، وبأن صعوبة مستمرة في الدراسات القائمة تعود إلى الحدود التخصصية الصارمة التي عمل داخلها الباحثون. ويقدّم وصف الكتاب فكرته المحورية بوضوح: أن ثمة خطراً حقيقياً في أن تزاحم الاعتبارات المالية سائر جوانب القيمة.</w:t>
      </w:r>
    </w:p>
    <w:p>
      <w:pPr>
        <w:bidi/>
        <w:spacing w:after="120" w:line="336"/>
        <w:jc w:val="both"/>
      </w:pPr>
      <w:r>
        <w:rPr>
          <w:rFonts w:ascii="Times New Roman" w:cs="Noto Naskh Arabic" w:eastAsia="Noto Naskh Arabic" w:hAnsi="Times New Roman"/>
          <w:sz w:val="26"/>
          <w:szCs w:val="26"/>
          <w:rtl/>
        </w:rPr>
        <w:t xml:space="preserve">وهذه «المزاحمة» هي أقرب سابقة نظرية لفرضية التباعد الحقيقي في هذه الورقة، ويجب الاعتراف بها صراحة. غير أن الفرق بين المعالجتين في المستوى والزمن. فالمزاحمة في مجلد </w:t>
      </w:r>
      <w:r>
        <w:rPr>
          <w:rFonts w:ascii="Times New Roman" w:cs="Noto Naskh Arabic" w:eastAsia="Noto Naskh Arabic" w:hAnsi="Times New Roman"/>
          <w:sz w:val="26"/>
          <w:szCs w:val="26"/>
          <w:rtl w:val="false"/>
        </w:rPr>
        <w:t xml:space="preserve">Hutter</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تجري داخل عمليات التقييم: حين يُقدَّر عمل فني، يطغى المعيار المالي على غيره. أما التباعد في هذه الورقة فيجري في مسار النظام: حين تنمو القيمة الاقتصادية لقطاع ما عبر سنوات، هل تضعف قدرة النظام على إنتاج المعنى وتجديده؟ والسؤال الأول عن حكم القيمة، والثاني عن ديناميكا القدرة.</w:t>
      </w:r>
    </w:p>
    <w:p>
      <w:pPr>
        <w:bidi/>
        <w:spacing w:after="120" w:line="336"/>
        <w:jc w:val="both"/>
      </w:pPr>
      <w:r>
        <w:rPr>
          <w:rFonts w:ascii="Times New Roman" w:cs="Noto Naskh Arabic" w:eastAsia="Noto Naskh Arabic" w:hAnsi="Times New Roman"/>
          <w:sz w:val="26"/>
          <w:szCs w:val="26"/>
          <w:rtl/>
        </w:rPr>
        <w:t xml:space="preserve">ثم جاءت المحاولة التجريبية. فقد اختبر </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Zednik (2014</w:t>
      </w:r>
      <w:r>
        <w:rPr>
          <w:rFonts w:ascii="Times New Roman" w:cs="Noto Naskh Arabic" w:eastAsia="Noto Naskh Arabic" w:hAnsi="Times New Roman"/>
          <w:sz w:val="26"/>
          <w:szCs w:val="26"/>
          <w:rtl/>
        </w:rPr>
        <w:t xml:space="preserve">)</w:t>
      </w:r>
      <w:r>
        <w:rPr>
          <w:rStyle w:val="FootnoteReference"/>
        </w:rPr>
        <w:footnoteReference w:id="41"/>
      </w:r>
      <w:r>
        <w:rPr>
          <w:rFonts w:ascii="Times New Roman" w:cs="Noto Naskh Arabic" w:eastAsia="Noto Naskh Arabic" w:hAnsi="Times New Roman"/>
          <w:sz w:val="26"/>
          <w:szCs w:val="26"/>
          <w:rtl/>
        </w:rPr>
        <w:t xml:space="preserve"> العلاقة بين القيمتين عبر مسح لردود فعل المستهلكين إزاء مجموعة من اللوحات، وسألا هل يستوعب التقييم الاقتصادي لسلعة ثقافية كل أبعاد قيمتها الثقافية، أم تبقى منها مكوّنات تستعصي على التقييم النقدي. والأهم من نتيجة الدراسة إقرارها في مطلعها بأن التمايز بين القيمتين، وإن أمكن اقتراحه نظرياً، يكاد يفتقر إلى أدلة تجريبية تثبت أنهما ظاهرتان متمايزتان أو تستكشف العلاقة بينهما.</w:t>
      </w:r>
    </w:p>
    <w:p>
      <w:pPr>
        <w:bidi/>
        <w:spacing w:after="120" w:line="336"/>
        <w:jc w:val="both"/>
      </w:pPr>
      <w:r>
        <w:rPr>
          <w:rFonts w:ascii="Times New Roman" w:cs="Noto Naskh Arabic" w:eastAsia="Noto Naskh Arabic" w:hAnsi="Times New Roman"/>
          <w:sz w:val="26"/>
          <w:szCs w:val="26"/>
          <w:rtl/>
        </w:rPr>
        <w:t xml:space="preserve">وتكشف هذه السلسلة عن ثلاثة حدود تتصل مباشرة بسؤال الورقة. الحد الأول </w:t>
      </w:r>
      <w:r>
        <w:rPr>
          <w:rFonts w:ascii="Times New Roman" w:cs="Noto Naskh Arabic" w:eastAsia="Noto Naskh Arabic" w:hAnsi="Times New Roman"/>
          <w:b/>
          <w:bCs/>
          <w:sz w:val="26"/>
          <w:szCs w:val="26"/>
          <w:rtl/>
        </w:rPr>
        <w:t xml:space="preserve">المستوى</w:t>
      </w:r>
      <w:r>
        <w:rPr>
          <w:rFonts w:ascii="Times New Roman" w:cs="Noto Naskh Arabic" w:eastAsia="Noto Naskh Arabic" w:hAnsi="Times New Roman"/>
          <w:sz w:val="26"/>
          <w:szCs w:val="26"/>
          <w:rtl/>
        </w:rPr>
        <w:t xml:space="preserve">: فالعلاقة تُدرس على مستوى السلعة المفردة — لوحة أو مجموعة لوحات — لا على مستوى النظام الثقافي. والحد الثاني </w:t>
      </w:r>
      <w:r>
        <w:rPr>
          <w:rFonts w:ascii="Times New Roman" w:cs="Noto Naskh Arabic" w:eastAsia="Noto Naskh Arabic" w:hAnsi="Times New Roman"/>
          <w:b/>
          <w:bCs/>
          <w:sz w:val="26"/>
          <w:szCs w:val="26"/>
          <w:rtl/>
        </w:rPr>
        <w:t xml:space="preserve">الزمن</w:t>
      </w:r>
      <w:r>
        <w:rPr>
          <w:rFonts w:ascii="Times New Roman" w:cs="Noto Naskh Arabic" w:eastAsia="Noto Naskh Arabic" w:hAnsi="Times New Roman"/>
          <w:sz w:val="26"/>
          <w:szCs w:val="26"/>
          <w:rtl/>
        </w:rPr>
        <w:t xml:space="preserve">: فالمعالجات ساكنة، تسأل عن العلاقة في لحظة التقييم، لا عن تطورها عبر سنوات أو عقود. والحد الثالث </w:t>
      </w:r>
      <w:r>
        <w:rPr>
          <w:rFonts w:ascii="Times New Roman" w:cs="Noto Naskh Arabic" w:eastAsia="Noto Naskh Arabic" w:hAnsi="Times New Roman"/>
          <w:b/>
          <w:bCs/>
          <w:sz w:val="26"/>
          <w:szCs w:val="26"/>
          <w:rtl/>
        </w:rPr>
        <w:t xml:space="preserve">موضع الإدراك</w:t>
      </w:r>
      <w:r>
        <w:rPr>
          <w:rFonts w:ascii="Times New Roman" w:cs="Noto Naskh Arabic" w:eastAsia="Noto Naskh Arabic" w:hAnsi="Times New Roman"/>
          <w:sz w:val="26"/>
          <w:szCs w:val="26"/>
          <w:rtl/>
        </w:rPr>
        <w:t xml:space="preserve">: فالقيمة الثقافية تُقاس بتقديرات المتلقين، ولا تُقاس قدرة النظام على إنتاج ما يُقدَّر. وهذه الحدود ليست عيوباً في الأعمال المذكورة، فهي لم تُصمَّم للإجابة عن سؤال استشرافي؛ لكنها تحدّد الموضع الذي تبدأ منه هذه الورقة.</w:t>
      </w:r>
    </w:p>
    <w:p>
      <w:pPr>
        <w:pStyle w:val="Heading2"/>
        <w:bidi/>
        <w:jc w:val="right"/>
      </w:pPr>
      <w:r>
        <w:rPr>
          <w:rFonts w:ascii="Times New Roman" w:cs="Noto Naskh Arabic" w:eastAsia="Noto Naskh Arabic" w:hAnsi="Times New Roman"/>
          <w:b/>
          <w:bCs/>
          <w:color w:val="1F4E79"/>
          <w:sz w:val="28"/>
          <w:szCs w:val="28"/>
          <w:rtl/>
        </w:rPr>
        <w:t xml:space="preserve">٤-٢ دراسات القيمة الثقافية: من السلعة إلى التجربة</w:t>
      </w:r>
    </w:p>
    <w:p>
      <w:pPr>
        <w:bidi/>
        <w:spacing w:after="120" w:line="336"/>
        <w:jc w:val="both"/>
      </w:pPr>
      <w:r>
        <w:rPr>
          <w:rFonts w:ascii="Times New Roman" w:cs="Noto Naskh Arabic" w:eastAsia="Noto Naskh Arabic" w:hAnsi="Times New Roman"/>
          <w:sz w:val="26"/>
          <w:szCs w:val="26"/>
          <w:rtl/>
        </w:rPr>
        <w:t xml:space="preserve">حاول مشروع القيمة الثقافية الذي موّله مجلس أبحاث الفنون والعلوم الإنسانية في بريطانيا أن يخرج من أسر النقاش الاقتصادي. وقد امتد المشروع بين ٢٠١٢ و٢٠١٥، وصدر تقريره النهائي عام ٢٠١٦</w:t>
      </w:r>
      <w:r>
        <w:rPr>
          <w:rStyle w:val="FootnoteReference"/>
        </w:rPr>
        <w:footnoteReference w:id="42"/>
      </w:r>
      <w:r>
        <w:rPr>
          <w:rFonts w:ascii="Times New Roman" w:cs="Noto Naskh Arabic" w:eastAsia="Noto Naskh Arabic" w:hAnsi="Times New Roman"/>
          <w:sz w:val="26"/>
          <w:szCs w:val="26"/>
          <w:rtl/>
        </w:rPr>
        <w:t xml:space="preserve">. ونشأ — كما تصفه إحدى قائدتيه — من عدم الرضا عن الحال الموروثة لنقاش القيمة الثقافية</w:t>
      </w:r>
      <w:r>
        <w:rPr>
          <w:rStyle w:val="FootnoteReference"/>
        </w:rPr>
        <w:footnoteReference w:id="43"/>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وأحدث المشروع نقلتين. الأولى في </w:t>
      </w:r>
      <w:r>
        <w:rPr>
          <w:rFonts w:ascii="Times New Roman" w:cs="Noto Naskh Arabic" w:eastAsia="Noto Naskh Arabic" w:hAnsi="Times New Roman"/>
          <w:b/>
          <w:bCs/>
          <w:sz w:val="26"/>
          <w:szCs w:val="26"/>
          <w:rtl/>
        </w:rPr>
        <w:t xml:space="preserve">النطاق</w:t>
      </w:r>
      <w:r>
        <w:rPr>
          <w:rFonts w:ascii="Times New Roman" w:cs="Noto Naskh Arabic" w:eastAsia="Noto Naskh Arabic" w:hAnsi="Times New Roman"/>
          <w:sz w:val="26"/>
          <w:szCs w:val="26"/>
          <w:rtl/>
        </w:rPr>
        <w:t xml:space="preserve">: فقد وسّع النقاش من القطاع المدعوم إلى القطاع التجاري والفنون الهاوية والتشاركية، وهي الأشكال التي يتعامل عبرها أكثر الناس مع الثقافة. والثانية في </w:t>
      </w:r>
      <w:r>
        <w:rPr>
          <w:rFonts w:ascii="Times New Roman" w:cs="Noto Naskh Arabic" w:eastAsia="Noto Naskh Arabic" w:hAnsi="Times New Roman"/>
          <w:b/>
          <w:bCs/>
          <w:sz w:val="26"/>
          <w:szCs w:val="26"/>
          <w:rtl/>
        </w:rPr>
        <w:t xml:space="preserve">المركز</w:t>
      </w:r>
      <w:r>
        <w:rPr>
          <w:rFonts w:ascii="Times New Roman" w:cs="Noto Naskh Arabic" w:eastAsia="Noto Naskh Arabic" w:hAnsi="Times New Roman"/>
          <w:sz w:val="26"/>
          <w:szCs w:val="26"/>
          <w:rtl/>
        </w:rPr>
        <w:t xml:space="preserve">: فقد جعل التجربة الفردية المباشرة للفنون والثقافة محور فهم قيمتها، بدلاً من آثارها الخارجية في الاقتصاد أو الصحة أو التماسك الاجتماعي.</w:t>
      </w:r>
    </w:p>
    <w:p>
      <w:pPr>
        <w:bidi/>
        <w:spacing w:after="120" w:line="336"/>
        <w:jc w:val="both"/>
      </w:pPr>
      <w:r>
        <w:rPr>
          <w:rFonts w:ascii="Times New Roman" w:cs="Noto Naskh Arabic" w:eastAsia="Noto Naskh Arabic" w:hAnsi="Times New Roman"/>
          <w:sz w:val="26"/>
          <w:szCs w:val="26"/>
          <w:rtl/>
        </w:rPr>
        <w:t xml:space="preserve">ولهذه النقلة قيمة كبيرة لسؤال الورقة. فهي تعترف بأن القيمة الثقافية لا تُختزل في آثارها القابلة للقياس الاقتصادي، وتنقد صراحةً الإطار الذي يُخضع الثقافة لأهداف سياسات أخرى. لكن مركز الثقل فيها انتقل من السلعة إلى الفرد، لا إلى النظام. فهي تسأل: ماذا تفعل الثقافة بمن يعيشها؟ ولا تسأل: ما الذي يجعل مجتمعاً قادراً على الاستمرار في إنتاج ثقافة تستحق أن تُعاش؟ والفرق بين السؤالين هو الفرق بين القيمة الثقافية والقيمة الفكرية كما تعرّفهما هذه الورقة.</w:t>
      </w:r>
    </w:p>
    <w:p>
      <w:pPr>
        <w:pStyle w:val="Heading2"/>
        <w:bidi/>
        <w:jc w:val="right"/>
      </w:pPr>
      <w:r>
        <w:rPr>
          <w:rFonts w:ascii="Times New Roman" w:cs="Noto Naskh Arabic" w:eastAsia="Noto Naskh Arabic" w:hAnsi="Times New Roman"/>
          <w:b/>
          <w:bCs/>
          <w:color w:val="1F4E79"/>
          <w:sz w:val="28"/>
          <w:szCs w:val="28"/>
          <w:rtl/>
        </w:rPr>
        <w:t xml:space="preserve">٤-٣ قياس الحيوية: محاولة على مستوى المجتمع المحلي</w:t>
      </w:r>
    </w:p>
    <w:p>
      <w:pPr>
        <w:bidi/>
        <w:spacing w:after="120" w:line="336"/>
        <w:jc w:val="both"/>
      </w:pPr>
      <w:r>
        <w:rPr>
          <w:rFonts w:ascii="Times New Roman" w:cs="Noto Naskh Arabic" w:eastAsia="Noto Naskh Arabic" w:hAnsi="Times New Roman"/>
          <w:sz w:val="26"/>
          <w:szCs w:val="26"/>
          <w:rtl/>
        </w:rPr>
        <w:t xml:space="preserve">يقع أقرب جهد قياسي إلى مفهوم «القيمة الفكرية» في مشروع مؤشرات الفنون والثقافة الذي أطلقه معهد </w:t>
      </w:r>
      <w:r>
        <w:rPr>
          <w:rFonts w:ascii="Times New Roman" w:cs="Noto Naskh Arabic" w:eastAsia="Noto Naskh Arabic" w:hAnsi="Times New Roman"/>
          <w:sz w:val="26"/>
          <w:szCs w:val="26"/>
          <w:rtl w:val="false"/>
        </w:rPr>
        <w:t xml:space="preserve">Urban</w:t>
      </w:r>
      <w:r>
        <w:rPr>
          <w:rFonts w:ascii="Times New Roman" w:cs="Noto Naskh Arabic" w:eastAsia="Noto Naskh Arabic" w:hAnsi="Times New Roman"/>
          <w:sz w:val="26"/>
          <w:szCs w:val="26"/>
          <w:rtl/>
        </w:rPr>
        <w:t xml:space="preserve"> في الولايات المتحدة عام ١٩٩٦ بتمويل من مؤسسة روكفلر. وكان دافعه، كما يصف القائمون عليه، أن الفنون والثقافة كثيراً ما أُهملت في جهود تقييم جودة الحياة</w:t>
      </w:r>
      <w:r>
        <w:rPr>
          <w:rStyle w:val="FootnoteReference"/>
        </w:rPr>
        <w:footnoteReference w:id="44"/>
      </w:r>
      <w:r>
        <w:rPr>
          <w:rFonts w:ascii="Times New Roman" w:cs="Noto Naskh Arabic" w:eastAsia="Noto Naskh Arabic" w:hAnsi="Times New Roman"/>
          <w:sz w:val="26"/>
          <w:szCs w:val="26"/>
          <w:rtl/>
        </w:rPr>
        <w:t xml:space="preserve">. واقترح المشروع إطاراً مفاهيمياً من أربعة ميادين، ثم عرّف في تقرير لاحق «الحيوية الثقافية» بأنها دليل على إنشاء الفنون والثقافة ونشرها وإقرارها ودعمها بوصفها بعداً من الحياة اليومية في المجتمعات المحلية</w:t>
      </w:r>
      <w:r>
        <w:rPr>
          <w:rStyle w:val="FootnoteReference"/>
        </w:rPr>
        <w:footnoteReference w:id="45"/>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ويقترب هذا التعريف من سؤال الورقة أكثر من غيره، لأنه يتحدث عن عمليات لا عن سلع: الإنشاء والنشر والإقرار والدعم. لكنه حين انتقل إلى القياس، اقتصر على ثلاثة ميادين رآها قابلة للقياس بالمؤشرات: حضور فرص المشاركة الثقافية، والمشاركة نفسها، وأنظمة الدعم</w:t>
      </w:r>
      <w:r>
        <w:rPr>
          <w:rStyle w:val="FootnoteReference"/>
        </w:rPr>
        <w:footnoteReference w:id="46"/>
      </w:r>
      <w:r>
        <w:rPr>
          <w:rFonts w:ascii="Times New Roman" w:cs="Noto Naskh Arabic" w:eastAsia="Noto Naskh Arabic" w:hAnsi="Times New Roman"/>
          <w:sz w:val="26"/>
          <w:szCs w:val="26"/>
          <w:rtl/>
        </w:rPr>
        <w:t xml:space="preserve">. ويُلاحظ على هذه الميادين أن اثنين منها — الحضور والدعم — يقيسان المدخلات والمخرجات أكثر مما يقيسان القدرة؛ فوجود منشأة ثقافية أو برنامج تمويل لا يدل وحده على أن المجتمع ينتج معنى جديداً أو يسائل ما ورثه. كما أن الإطار صُمّم للمجتمعات المحلية والمدن، لا للأنظمة الوطنية.</w:t>
      </w:r>
    </w:p>
    <w:p>
      <w:pPr>
        <w:bidi/>
        <w:spacing w:after="120" w:line="336"/>
        <w:jc w:val="both"/>
      </w:pPr>
      <w:r>
        <w:rPr>
          <w:rFonts w:ascii="Times New Roman" w:cs="Noto Naskh Arabic" w:eastAsia="Noto Naskh Arabic" w:hAnsi="Times New Roman"/>
          <w:sz w:val="26"/>
          <w:szCs w:val="26"/>
          <w:rtl/>
        </w:rPr>
        <w:t xml:space="preserve">ويستفيد التعريف الإجرائي في هذه الورقة من هذا الجهد في بُعدين (الإنشاء الذي يقابل التجدد، والإقرار الذي يقابل جزئياً المساءلة)، ويضيف إليه بُعدين لم يظهرا فيه: الاستقلال عن منطق التمويل والانتباه، والتنوع الفاعل في الاستهلاك. وسبب الإضافة أن بيئة الوساطة الخوارزمية التي نشأت بعد صدور التقرير بعقد أو أكثر جعلت هذين البعدين أكثر حسماً، كما يظهر في الفقرة ٤-٥.</w:t>
      </w:r>
    </w:p>
    <w:p>
      <w:pPr>
        <w:pStyle w:val="Heading2"/>
        <w:bidi/>
        <w:jc w:val="right"/>
      </w:pPr>
      <w:r>
        <w:rPr>
          <w:rFonts w:ascii="Times New Roman" w:cs="Noto Naskh Arabic" w:eastAsia="Noto Naskh Arabic" w:hAnsi="Times New Roman"/>
          <w:b/>
          <w:bCs/>
          <w:color w:val="1F4E79"/>
          <w:sz w:val="28"/>
          <w:szCs w:val="28"/>
          <w:rtl/>
        </w:rPr>
        <w:t xml:space="preserve">٤-٤ السياسة الثقافية: أزمة التبرير الممتدة</w:t>
      </w:r>
    </w:p>
    <w:p>
      <w:pPr>
        <w:bidi/>
        <w:spacing w:after="120" w:line="336"/>
        <w:jc w:val="both"/>
      </w:pPr>
      <w:r>
        <w:rPr>
          <w:rFonts w:ascii="Times New Roman" w:cs="Noto Naskh Arabic" w:eastAsia="Noto Naskh Arabic" w:hAnsi="Times New Roman"/>
          <w:sz w:val="26"/>
          <w:szCs w:val="26"/>
          <w:rtl/>
        </w:rPr>
        <w:t xml:space="preserve">يقرّ حقل السياسة الثقافية منذ وقت مبكر بأن مسوّغاته في أزمة. ففي العدد الثاني من المجلة الدولية للسياسة الثقافية، كتب </w:t>
      </w:r>
      <w:r>
        <w:rPr>
          <w:rFonts w:ascii="Times New Roman" w:cs="Noto Naskh Arabic" w:eastAsia="Noto Naskh Arabic" w:hAnsi="Times New Roman"/>
          <w:sz w:val="26"/>
          <w:szCs w:val="26"/>
          <w:rtl w:val="false"/>
        </w:rPr>
        <w:t xml:space="preserve">Bennett (1995</w:t>
      </w:r>
      <w:r>
        <w:rPr>
          <w:rFonts w:ascii="Times New Roman" w:cs="Noto Naskh Arabic" w:eastAsia="Noto Naskh Arabic" w:hAnsi="Times New Roman"/>
          <w:sz w:val="26"/>
          <w:szCs w:val="26"/>
          <w:rtl/>
        </w:rPr>
        <w:t xml:space="preserve">)</w:t>
      </w:r>
      <w:r>
        <w:rPr>
          <w:rStyle w:val="FootnoteReference"/>
        </w:rPr>
        <w:footnoteReference w:id="47"/>
      </w:r>
      <w:r>
        <w:rPr>
          <w:rFonts w:ascii="Times New Roman" w:cs="Noto Naskh Arabic" w:eastAsia="Noto Naskh Arabic" w:hAnsi="Times New Roman"/>
          <w:sz w:val="26"/>
          <w:szCs w:val="26"/>
          <w:rtl/>
        </w:rPr>
        <w:t xml:space="preserve"> عن انهيار مسوّغات السياسة الثقافية في المملكة المتحدة ونهاية تقليدها. وعاد </w:t>
      </w:r>
      <w:r>
        <w:rPr>
          <w:rFonts w:ascii="Times New Roman" w:cs="Noto Naskh Arabic" w:eastAsia="Noto Naskh Arabic" w:hAnsi="Times New Roman"/>
          <w:sz w:val="26"/>
          <w:szCs w:val="26"/>
          <w:rtl w:val="false"/>
        </w:rPr>
        <w:t xml:space="preserve">Mangset</w:t>
      </w:r>
      <w:r>
        <w:rPr>
          <w:rFonts w:ascii="Times New Roman" w:cs="Noto Naskh Arabic" w:eastAsia="Noto Naskh Arabic" w:hAnsi="Times New Roman"/>
          <w:sz w:val="26"/>
          <w:szCs w:val="26"/>
          <w:rtl/>
        </w:rPr>
        <w:t xml:space="preserve"> إلى السؤال بعد أكثر من عقدين في مقالة عنوانها «نهاية السياسة الثقافية؟» نُشرت إلكترونياً عام ٢٠١٨ وفي العدد المطبوع عام ٢٠٢٠، وناقش فيها هل تقترب السياسة الثقافية العامة في الديمقراطيات الغربية من نهايتها لأنها لم تتكيّف مع التحولات الكبرى في المجتمعات المعاصرة</w:t>
      </w:r>
      <w:r>
        <w:rPr>
          <w:rStyle w:val="FootnoteReference"/>
        </w:rPr>
        <w:footnoteReference w:id="48"/>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وطرح </w:t>
      </w:r>
      <w:r>
        <w:rPr>
          <w:rFonts w:ascii="Times New Roman" w:cs="Noto Naskh Arabic" w:eastAsia="Noto Naskh Arabic" w:hAnsi="Times New Roman"/>
          <w:sz w:val="26"/>
          <w:szCs w:val="26"/>
          <w:rtl w:val="false"/>
        </w:rPr>
        <w:t xml:space="preserve">Mangset</w:t>
      </w:r>
      <w:r>
        <w:rPr>
          <w:rFonts w:ascii="Times New Roman" w:cs="Noto Naskh Arabic" w:eastAsia="Noto Naskh Arabic" w:hAnsi="Times New Roman"/>
          <w:sz w:val="26"/>
          <w:szCs w:val="26"/>
          <w:rtl/>
        </w:rPr>
        <w:t xml:space="preserve"> سبعة تحديات، كلٌّ منها يمسّ سؤال الورقة من جهة: صعوبة دمقرطة الثقافة؛ واستمرار دعم مؤسسات ثقافية قد تكون تقادمت؛ وبقاء الفنانين المحترفين فقراء رغم أنظمة الدعم؛ وبقاء السياسة الثقافية وطنية في الغالب رغم عولمة الإنتاج والتوزيع؛ وتزايد تسويغ الدعم العام بآثار الثقافة خارج حقلها، بما يوحي بأن جهات عامة أخرى قد تتولى الشأن الثقافي على نحو أفضل؛ واحتمال أن يحبس قطاع ثقافي مستقل الثقافة في «قفص حديدي» بيروقراطي؛ واحتمال أن تفقد السياسة الثقافية معناها في زمن ركود المالية العامة. وناقش </w:t>
      </w:r>
      <w:r>
        <w:rPr>
          <w:rFonts w:ascii="Times New Roman" w:cs="Noto Naskh Arabic" w:eastAsia="Noto Naskh Arabic" w:hAnsi="Times New Roman"/>
          <w:sz w:val="26"/>
          <w:szCs w:val="26"/>
          <w:rtl w:val="false"/>
        </w:rPr>
        <w:t xml:space="preserve">Mangset</w:t>
      </w:r>
      <w:r>
        <w:rPr>
          <w:rFonts w:ascii="Times New Roman" w:cs="Noto Naskh Arabic" w:eastAsia="Noto Naskh Arabic" w:hAnsi="Times New Roman"/>
          <w:sz w:val="26"/>
          <w:szCs w:val="26"/>
          <w:rtl/>
        </w:rPr>
        <w:t xml:space="preserve"> حججاً مضادة لهذه التحديات دون أن يصل إلى حكم حاسم.</w:t>
      </w:r>
    </w:p>
    <w:p>
      <w:pPr>
        <w:bidi/>
        <w:spacing w:after="120" w:line="336"/>
        <w:jc w:val="both"/>
      </w:pPr>
      <w:r>
        <w:rPr>
          <w:rFonts w:ascii="Times New Roman" w:cs="Noto Naskh Arabic" w:eastAsia="Noto Naskh Arabic" w:hAnsi="Times New Roman"/>
          <w:sz w:val="26"/>
          <w:szCs w:val="26"/>
          <w:rtl/>
        </w:rPr>
        <w:t xml:space="preserve">والتحدي الخامس أوثق التحديات صلة بهذه الورقة. فحين يُسوَّغ الدعم العام بآثار الثقافة في الاقتصاد أو الصحة أو التماسك، تُقاس الثقافة بمعايير غيرها، ويُفتح الباب لما تصفه أدبيات الحقل بالأداتية، إذ تُفسَّر شراكات السياسة الثقافية مع الفاعلين من خارج الحقل بوصفها توظيفاً أداتياً للثقافة</w:t>
      </w:r>
      <w:r>
        <w:rPr>
          <w:rStyle w:val="FootnoteReference"/>
        </w:rPr>
        <w:footnoteReference w:id="49"/>
      </w:r>
      <w:r>
        <w:rPr>
          <w:rFonts w:ascii="Times New Roman" w:cs="Noto Naskh Arabic" w:eastAsia="Noto Naskh Arabic" w:hAnsi="Times New Roman"/>
          <w:sz w:val="26"/>
          <w:szCs w:val="26"/>
          <w:rtl/>
        </w:rPr>
        <w:t xml:space="preserve">. وهذه الأداتية هي الصورة السياساتية للمزاحمة التي تحدث عنها </w:t>
      </w:r>
      <w:r>
        <w:rPr>
          <w:rFonts w:ascii="Times New Roman" w:cs="Noto Naskh Arabic" w:eastAsia="Noto Naskh Arabic" w:hAnsi="Times New Roman"/>
          <w:sz w:val="26"/>
          <w:szCs w:val="26"/>
          <w:rtl w:val="false"/>
        </w:rPr>
        <w:t xml:space="preserve">Hutter</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Throsby</w:t>
      </w:r>
      <w:r>
        <w:rPr>
          <w:rFonts w:ascii="Times New Roman" w:cs="Noto Naskh Arabic" w:eastAsia="Noto Naskh Arabic" w:hAnsi="Times New Roman"/>
          <w:sz w:val="26"/>
          <w:szCs w:val="26"/>
          <w:rtl/>
        </w:rPr>
        <w:t xml:space="preserve"> في مستوى التقييم: القيمة الاقتصادية لا تزاحم القيمة الثقافية في حكم المقيّم فحسب، بل في معايير التمويل العام نفسه.</w:t>
      </w:r>
    </w:p>
    <w:p>
      <w:pPr>
        <w:bidi/>
        <w:spacing w:after="120" w:line="336"/>
        <w:jc w:val="both"/>
      </w:pPr>
      <w:r>
        <w:rPr>
          <w:rFonts w:ascii="Times New Roman" w:cs="Noto Naskh Arabic" w:eastAsia="Noto Naskh Arabic" w:hAnsi="Times New Roman"/>
          <w:sz w:val="26"/>
          <w:szCs w:val="26"/>
          <w:rtl/>
        </w:rPr>
        <w:t xml:space="preserve">كما يتناول الحقل التوتر بين منطق الصناعة ومنطق السياسة. فقد عالج </w:t>
      </w:r>
      <w:r>
        <w:rPr>
          <w:rFonts w:ascii="Times New Roman" w:cs="Noto Naskh Arabic" w:eastAsia="Noto Naskh Arabic" w:hAnsi="Times New Roman"/>
          <w:sz w:val="26"/>
          <w:szCs w:val="26"/>
          <w:rtl w:val="false"/>
        </w:rPr>
        <w:t xml:space="preserve">Hesmondhalgh</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Pratt (2005</w:t>
      </w:r>
      <w:r>
        <w:rPr>
          <w:rFonts w:ascii="Times New Roman" w:cs="Noto Naskh Arabic" w:eastAsia="Noto Naskh Arabic" w:hAnsi="Times New Roman"/>
          <w:sz w:val="26"/>
          <w:szCs w:val="26"/>
          <w:rtl/>
        </w:rPr>
        <w:t xml:space="preserve">)</w:t>
      </w:r>
      <w:r>
        <w:rPr>
          <w:rStyle w:val="FootnoteReference"/>
        </w:rPr>
        <w:footnoteReference w:id="50"/>
      </w:r>
      <w:r>
        <w:rPr>
          <w:rFonts w:ascii="Times New Roman" w:cs="Noto Naskh Arabic" w:eastAsia="Noto Naskh Arabic" w:hAnsi="Times New Roman"/>
          <w:sz w:val="26"/>
          <w:szCs w:val="26"/>
          <w:rtl/>
        </w:rPr>
        <w:t xml:space="preserve"> العلاقة بين الصناعات الثقافية والسياسة الثقافية في المجلة الدولية للسياسة الثقافية.</w:t>
      </w:r>
    </w:p>
    <w:p>
      <w:pPr>
        <w:bidi/>
        <w:spacing w:after="120" w:line="336"/>
        <w:jc w:val="both"/>
      </w:pPr>
      <w:r>
        <w:rPr>
          <w:rFonts w:ascii="Times New Roman" w:cs="Noto Naskh Arabic" w:eastAsia="Noto Naskh Arabic" w:hAnsi="Times New Roman"/>
          <w:sz w:val="26"/>
          <w:szCs w:val="26"/>
          <w:rtl/>
        </w:rPr>
        <w:t xml:space="preserve">غير أن معالجات الحقل لمستقبله ظلت في أغلبها حجاجية. فتحديات </w:t>
      </w:r>
      <w:r>
        <w:rPr>
          <w:rFonts w:ascii="Times New Roman" w:cs="Noto Naskh Arabic" w:eastAsia="Noto Naskh Arabic" w:hAnsi="Times New Roman"/>
          <w:sz w:val="26"/>
          <w:szCs w:val="26"/>
          <w:rtl w:val="false"/>
        </w:rPr>
        <w:t xml:space="preserve">Mangset</w:t>
      </w:r>
      <w:r>
        <w:rPr>
          <w:rFonts w:ascii="Times New Roman" w:cs="Noto Naskh Arabic" w:eastAsia="Noto Naskh Arabic" w:hAnsi="Times New Roman"/>
          <w:sz w:val="26"/>
          <w:szCs w:val="26"/>
          <w:rtl/>
        </w:rPr>
        <w:t xml:space="preserve"> تحليل نقدي لاتجاهات قائمة، لا سيناريوهات مبنية بأداة منهجية. وقد اقترب الحقل من الممارسة الاستشرافية في مواضع: ففي اجتماع شبكة «خلاصة السياسات والاتجاهات الثقافية» في باريس عام ٢٠١٩، عُقدت جلسة بعنوان «تخيّل مستقبل السياسة الثقافية» استُخدمت فيها بطاقات سيناريو، وأشار </w:t>
      </w:r>
      <w:r>
        <w:rPr>
          <w:rFonts w:ascii="Times New Roman" w:cs="Noto Naskh Arabic" w:eastAsia="Noto Naskh Arabic" w:hAnsi="Times New Roman"/>
          <w:sz w:val="26"/>
          <w:szCs w:val="26"/>
          <w:rtl w:val="false"/>
        </w:rPr>
        <w:t xml:space="preserve">Mangset</w:t>
      </w:r>
      <w:r>
        <w:rPr>
          <w:rFonts w:ascii="Times New Roman" w:cs="Noto Naskh Arabic" w:eastAsia="Noto Naskh Arabic" w:hAnsi="Times New Roman"/>
          <w:sz w:val="26"/>
          <w:szCs w:val="26"/>
          <w:rtl/>
        </w:rPr>
        <w:t xml:space="preserve"> في افتتاحها إلى أن بطاقة «الانهيار» هي الأقرب إلى تصوره</w:t>
      </w:r>
      <w:r>
        <w:rPr>
          <w:rStyle w:val="FootnoteReference"/>
        </w:rPr>
        <w:footnoteReference w:id="51"/>
      </w:r>
      <w:r>
        <w:rPr>
          <w:rFonts w:ascii="Times New Roman" w:cs="Noto Naskh Arabic" w:eastAsia="Noto Naskh Arabic" w:hAnsi="Times New Roman"/>
          <w:sz w:val="26"/>
          <w:szCs w:val="26"/>
          <w:rtl/>
        </w:rPr>
        <w:t xml:space="preserve">. وهذا دليل على اهتمام عملي بالاستشراف، لكنه يبقى في الأدب الرمادي، ولا يُعدّ بحثاً محكّماً. ويصرّح باحثون في الحقل بأن صناعة السياسة الثقافية وبحثها يفتقران، فيما يبدو، إلى مناهج مجرَّبة لتخيّل المستقبلات</w:t>
      </w:r>
      <w:r>
        <w:rPr>
          <w:rStyle w:val="FootnoteReference"/>
        </w:rPr>
        <w:footnoteReference w:id="52"/>
      </w:r>
      <w:r>
        <w:rPr>
          <w:rFonts w:ascii="Times New Roman" w:cs="Noto Naskh Arabic" w:eastAsia="Noto Naskh Arabic" w:hAnsi="Times New Roman"/>
          <w:sz w:val="26"/>
          <w:szCs w:val="26"/>
          <w:rtl/>
        </w:rPr>
        <w:t xml:space="preserve">. ويحلل </w:t>
      </w:r>
      <w:r>
        <w:rPr>
          <w:rFonts w:ascii="Times New Roman" w:cs="Noto Naskh Arabic" w:eastAsia="Noto Naskh Arabic" w:hAnsi="Times New Roman"/>
          <w:sz w:val="26"/>
          <w:szCs w:val="26"/>
          <w:rtl w:val="false"/>
        </w:rPr>
        <w:t xml:space="preserve">Hylland (2025</w:t>
      </w:r>
      <w:r>
        <w:rPr>
          <w:rFonts w:ascii="Times New Roman" w:cs="Noto Naskh Arabic" w:eastAsia="Noto Naskh Arabic" w:hAnsi="Times New Roman"/>
          <w:sz w:val="26"/>
          <w:szCs w:val="26"/>
          <w:rtl/>
        </w:rPr>
        <w:t xml:space="preserve">)</w:t>
      </w:r>
      <w:r>
        <w:rPr>
          <w:rStyle w:val="FootnoteReference"/>
        </w:rPr>
        <w:footnoteReference w:id="53"/>
      </w:r>
      <w:r>
        <w:rPr>
          <w:rFonts w:ascii="Times New Roman" w:cs="Noto Naskh Arabic" w:eastAsia="Noto Naskh Arabic" w:hAnsi="Times New Roman"/>
          <w:sz w:val="26"/>
          <w:szCs w:val="26"/>
          <w:rtl/>
        </w:rPr>
        <w:t xml:space="preserve"> في العدد نفسه سرديات المستقبل في وثائق السياسة الثقافية النرويجية منذ ١٩٤٥، ويقارن المستقبلات التي تخيّلتها سيناريوهات السبعينيات والثمانينيات بما تصفه الاستراتيجيات الحالية في شأن الابتكار التقني والذكاء الاصطناعي. وهو أقرب الأعمال إلى سؤال هذه الورقة، لكنه يدرس كيف يُروى المستقبل في الخطاب السياساتي، لا كيف تتحرك العلاقة بين القيمتين الاقتصادية والفكرية ولا ما العتبات التي تحكمها.</w:t>
      </w:r>
    </w:p>
    <w:p>
      <w:pPr>
        <w:pStyle w:val="Heading2"/>
        <w:bidi/>
        <w:jc w:val="right"/>
      </w:pPr>
      <w:r>
        <w:rPr>
          <w:rFonts w:ascii="Times New Roman" w:cs="Noto Naskh Arabic" w:eastAsia="Noto Naskh Arabic" w:hAnsi="Times New Roman"/>
          <w:b/>
          <w:bCs/>
          <w:color w:val="1F4E79"/>
          <w:sz w:val="28"/>
          <w:szCs w:val="28"/>
          <w:rtl/>
        </w:rPr>
        <w:t xml:space="preserve">٤-٥ منصّنة الإنتاج الثقافي: الوساطة بوصفها محركاً</w:t>
      </w:r>
    </w:p>
    <w:p>
      <w:pPr>
        <w:bidi/>
        <w:spacing w:after="120" w:line="336"/>
        <w:jc w:val="both"/>
      </w:pPr>
      <w:r>
        <w:rPr>
          <w:rFonts w:ascii="Times New Roman" w:cs="Noto Naskh Arabic" w:eastAsia="Noto Naskh Arabic" w:hAnsi="Times New Roman"/>
          <w:sz w:val="26"/>
          <w:szCs w:val="26"/>
          <w:rtl/>
        </w:rPr>
        <w:t xml:space="preserve">تقدّم أدبيات «المنصّنة» أوضح وصف للتحول الذي يجعل سؤال الورقة ملحّاً. فقد عرّف </w:t>
      </w:r>
      <w:r>
        <w:rPr>
          <w:rFonts w:ascii="Times New Roman" w:cs="Noto Naskh Arabic" w:eastAsia="Noto Naskh Arabic" w:hAnsi="Times New Roman"/>
          <w:sz w:val="26"/>
          <w:szCs w:val="26"/>
          <w:rtl w:val="false"/>
        </w:rPr>
        <w:t xml:space="preserve">Nieborg</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Poell (2018</w:t>
      </w:r>
      <w:r>
        <w:rPr>
          <w:rFonts w:ascii="Times New Roman" w:cs="Noto Naskh Arabic" w:eastAsia="Noto Naskh Arabic" w:hAnsi="Times New Roman"/>
          <w:sz w:val="26"/>
          <w:szCs w:val="26"/>
          <w:rtl/>
        </w:rPr>
        <w:t xml:space="preserve">)</w:t>
      </w:r>
      <w:r>
        <w:rPr>
          <w:rStyle w:val="FootnoteReference"/>
        </w:rPr>
        <w:footnoteReference w:id="54"/>
      </w:r>
      <w:r>
        <w:rPr>
          <w:rFonts w:ascii="Times New Roman" w:cs="Noto Naskh Arabic" w:eastAsia="Noto Naskh Arabic" w:hAnsi="Times New Roman"/>
          <w:sz w:val="26"/>
          <w:szCs w:val="26"/>
          <w:rtl/>
        </w:rPr>
        <w:t xml:space="preserve"> المنصّنة بأنها تغلغل الامتدادات الاقتصادية والبنيوية للمنصات الرقمية في الويب، على نحو يمسّ إنتاج المحتوى الثقافي وتوزيعه وتداوله. وبيّنا، بدراسة إنتاج الأخبار والألعاب، أن المنصّنة تستبدل بنية السوق ثنائية الطرف بتشكيلات متعددة الأطراف تهيمن عليها شركات المنصات الكبرى. ويواجه المنتجون الثقافيون تغيرات متلاحقة في حوكمة المنصات، من تنظيم المحتوى إلى استراتيجيات التسعير. والنتيجة أن السلعة الثقافية تصير «طارئة»: تُصمَّم وحداتٍ قابلة لإعادة التركيب، وتُعاد صياغتها وتعبئتها باستمرار في ضوء بيانات المستخدمين.</w:t>
      </w:r>
    </w:p>
    <w:p>
      <w:pPr>
        <w:bidi/>
        <w:spacing w:after="120" w:line="336"/>
        <w:jc w:val="both"/>
      </w:pPr>
      <w:r>
        <w:rPr>
          <w:rFonts w:ascii="Times New Roman" w:cs="Noto Naskh Arabic" w:eastAsia="Noto Naskh Arabic" w:hAnsi="Times New Roman"/>
          <w:sz w:val="26"/>
          <w:szCs w:val="26"/>
          <w:rtl/>
        </w:rPr>
        <w:t xml:space="preserve">ووسّع </w:t>
      </w:r>
      <w:r>
        <w:rPr>
          <w:rFonts w:ascii="Times New Roman" w:cs="Noto Naskh Arabic" w:eastAsia="Noto Naskh Arabic" w:hAnsi="Times New Roman"/>
          <w:sz w:val="26"/>
          <w:szCs w:val="26"/>
          <w:rtl w:val="false"/>
        </w:rPr>
        <w:t xml:space="preserve">Duffy</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Poell</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Nieborg (2019</w:t>
      </w:r>
      <w:r>
        <w:rPr>
          <w:rFonts w:ascii="Times New Roman" w:cs="Noto Naskh Arabic" w:eastAsia="Noto Naskh Arabic" w:hAnsi="Times New Roman"/>
          <w:sz w:val="26"/>
          <w:szCs w:val="26"/>
          <w:rtl/>
        </w:rPr>
        <w:t xml:space="preserve">)</w:t>
      </w:r>
      <w:r>
        <w:rPr>
          <w:rStyle w:val="FootnoteReference"/>
        </w:rPr>
        <w:footnoteReference w:id="55"/>
      </w:r>
      <w:r>
        <w:rPr>
          <w:rFonts w:ascii="Times New Roman" w:cs="Noto Naskh Arabic" w:eastAsia="Noto Naskh Arabic" w:hAnsi="Times New Roman"/>
          <w:sz w:val="26"/>
          <w:szCs w:val="26"/>
          <w:rtl/>
        </w:rPr>
        <w:t xml:space="preserve"> هذا التحليل في مجموعة من أربع عشرة مقالة، رأوا أن فهم المنصّنة مؤسسيٌّ — يمسّ الأسواق والحوكمة والبنى التحتية — بقدر ما هو متجذر في الممارسات اليومية. ونظّموا المقالات في أربعة محاور: الاستمرار والتغير، والتنوع والإبداع، والعمل في عصر الأنظمة الخوارزمية، والسلطة والاستقلال والمواطنة.</w:t>
      </w:r>
    </w:p>
    <w:p>
      <w:pPr>
        <w:bidi/>
        <w:spacing w:after="120" w:line="336"/>
        <w:jc w:val="both"/>
      </w:pPr>
      <w:r>
        <w:rPr>
          <w:rFonts w:ascii="Times New Roman" w:cs="Noto Naskh Arabic" w:eastAsia="Noto Naskh Arabic" w:hAnsi="Times New Roman"/>
          <w:sz w:val="26"/>
          <w:szCs w:val="26"/>
          <w:rtl/>
        </w:rPr>
        <w:t xml:space="preserve">وتمسّ هذه الأدبيات ثلاثة من أبعاد القيمة الفكرية مباشرة. فالسلعة الطارئة التي تُعاد صياغتها في ضوء بيانات المستخدم تقع في صلب سؤال </w:t>
      </w:r>
      <w:r>
        <w:rPr>
          <w:rFonts w:ascii="Times New Roman" w:cs="Noto Naskh Arabic" w:eastAsia="Noto Naskh Arabic" w:hAnsi="Times New Roman"/>
          <w:b/>
          <w:bCs/>
          <w:sz w:val="26"/>
          <w:szCs w:val="26"/>
          <w:rtl/>
        </w:rPr>
        <w:t xml:space="preserve">الاستقلال</w:t>
      </w:r>
      <w:r>
        <w:rPr>
          <w:rFonts w:ascii="Times New Roman" w:cs="Noto Naskh Arabic" w:eastAsia="Noto Naskh Arabic" w:hAnsi="Times New Roman"/>
          <w:sz w:val="26"/>
          <w:szCs w:val="26"/>
          <w:rtl/>
        </w:rPr>
        <w:t xml:space="preserve">: من يقرر ما يُنتَج؟ والتنوع والإبداع محور صريح عند </w:t>
      </w:r>
      <w:r>
        <w:rPr>
          <w:rFonts w:ascii="Times New Roman" w:cs="Noto Naskh Arabic" w:eastAsia="Noto Naskh Arabic" w:hAnsi="Times New Roman"/>
          <w:sz w:val="26"/>
          <w:szCs w:val="26"/>
          <w:rtl w:val="false"/>
        </w:rPr>
        <w:t xml:space="preserve">Duffy</w:t>
      </w:r>
      <w:r>
        <w:rPr>
          <w:rFonts w:ascii="Times New Roman" w:cs="Noto Naskh Arabic" w:eastAsia="Noto Naskh Arabic" w:hAnsi="Times New Roman"/>
          <w:sz w:val="26"/>
          <w:szCs w:val="26"/>
          <w:rtl/>
        </w:rPr>
        <w:t xml:space="preserve"> وزميليه، وهو ما تسميه الورقة </w:t>
      </w:r>
      <w:r>
        <w:rPr>
          <w:rFonts w:ascii="Times New Roman" w:cs="Noto Naskh Arabic" w:eastAsia="Noto Naskh Arabic" w:hAnsi="Times New Roman"/>
          <w:b/>
          <w:bCs/>
          <w:sz w:val="26"/>
          <w:szCs w:val="26"/>
          <w:rtl/>
        </w:rPr>
        <w:t xml:space="preserve">التنوع الفاعل</w:t>
      </w:r>
      <w:r>
        <w:rPr>
          <w:rFonts w:ascii="Times New Roman" w:cs="Noto Naskh Arabic" w:eastAsia="Noto Naskh Arabic" w:hAnsi="Times New Roman"/>
          <w:sz w:val="26"/>
          <w:szCs w:val="26"/>
          <w:rtl/>
        </w:rPr>
        <w:t xml:space="preserve">. والسلطة والاستقلال محور آخر. غير أن هذه الأدبيات وصفية تحليلية في الغالب، تدرس ما يحدث الآن، ولا تستشرف مسارات بديلة، ولا تربط تحولات الوساطة بمؤشرات السياسة الثقافية العامة. وهنا موضع إسهام الورقة: ترجمة هذا التحليل إلى محرك في نموذج استشرافي، ومحور سيناريو، ومؤشر إنذار.</w:t>
      </w:r>
    </w:p>
    <w:p>
      <w:pPr>
        <w:pStyle w:val="Heading2"/>
        <w:bidi/>
        <w:jc w:val="right"/>
      </w:pPr>
      <w:r>
        <w:rPr>
          <w:rFonts w:ascii="Times New Roman" w:cs="Noto Naskh Arabic" w:eastAsia="Noto Naskh Arabic" w:hAnsi="Times New Roman"/>
          <w:b/>
          <w:bCs/>
          <w:color w:val="1F4E79"/>
          <w:sz w:val="28"/>
          <w:szCs w:val="28"/>
          <w:rtl/>
        </w:rPr>
        <w:t xml:space="preserve">٤-٦ الاستشراف: من السياسة العامة إلى الثقافة</w:t>
      </w:r>
    </w:p>
    <w:p>
      <w:pPr>
        <w:bidi/>
        <w:spacing w:after="120" w:line="336"/>
        <w:jc w:val="both"/>
      </w:pPr>
      <w:r>
        <w:rPr>
          <w:rFonts w:ascii="Times New Roman" w:cs="Noto Naskh Arabic" w:eastAsia="Noto Naskh Arabic" w:hAnsi="Times New Roman"/>
          <w:b/>
          <w:bCs/>
          <w:sz w:val="26"/>
          <w:szCs w:val="26"/>
          <w:rtl/>
        </w:rPr>
        <w:t xml:space="preserve">الاستشراف في السياسات العامة.</w:t>
      </w:r>
      <w:r>
        <w:rPr>
          <w:rFonts w:ascii="Times New Roman" w:cs="Noto Naskh Arabic" w:eastAsia="Noto Naskh Arabic" w:hAnsi="Times New Roman"/>
          <w:sz w:val="26"/>
          <w:szCs w:val="26"/>
          <w:rtl/>
        </w:rPr>
        <w:t xml:space="preserve"> راجع </w:t>
      </w:r>
      <w:r>
        <w:rPr>
          <w:rFonts w:ascii="Times New Roman" w:cs="Noto Naskh Arabic" w:eastAsia="Noto Naskh Arabic" w:hAnsi="Times New Roman"/>
          <w:sz w:val="26"/>
          <w:szCs w:val="26"/>
          <w:rtl w:val="false"/>
        </w:rPr>
        <w:t xml:space="preserve">Habegger (2010</w:t>
      </w:r>
      <w:r>
        <w:rPr>
          <w:rFonts w:ascii="Times New Roman" w:cs="Noto Naskh Arabic" w:eastAsia="Noto Naskh Arabic" w:hAnsi="Times New Roman"/>
          <w:sz w:val="26"/>
          <w:szCs w:val="26"/>
          <w:rtl/>
        </w:rPr>
        <w:t xml:space="preserve">)</w:t>
      </w:r>
      <w:r>
        <w:rPr>
          <w:rStyle w:val="FootnoteReference"/>
        </w:rPr>
        <w:footnoteReference w:id="56"/>
      </w:r>
      <w:r>
        <w:rPr>
          <w:rFonts w:ascii="Times New Roman" w:cs="Noto Naskh Arabic" w:eastAsia="Noto Naskh Arabic" w:hAnsi="Times New Roman"/>
          <w:sz w:val="26"/>
          <w:szCs w:val="26"/>
          <w:rtl/>
        </w:rPr>
        <w:t xml:space="preserve"> تجارب ثلاث دول كانت في طليعة استخدام الاستشراف الاستراتيجي العابر لحدود القطاعات والوزارات: المملكة المتحدة وسنغافورة وهولندا. وانطلق من أن قلة من تحديات السياسة العامة يمكن حصرها اليوم في قطاع واحد. وميّز وظيفتين للاستشراف: أن يزوّد السياسة بمعرفة منهجية عن الاتجاهات والتطورات في بيئتها، وأن يحرّك تعلماً اجتماعياً متبادلاً بين صنّاع السياسة يولّد رؤى مشتركة. وانتهى إلى استخلاص عوامل النجاح التي تمكّن الاستشراف من الإسهام الفعلي في صناعة السياسة. وتلت ذلك أدبيات منهجية في اختيار أدوات الاستشراف</w:t>
      </w:r>
      <w:r>
        <w:rPr>
          <w:rStyle w:val="FootnoteReference"/>
        </w:rPr>
        <w:footnoteReference w:id="57"/>
      </w:r>
      <w:r>
        <w:rPr>
          <w:rFonts w:ascii="Times New Roman" w:cs="Noto Naskh Arabic" w:eastAsia="Noto Naskh Arabic" w:hAnsi="Times New Roman"/>
          <w:sz w:val="26"/>
          <w:szCs w:val="26"/>
          <w:rtl/>
        </w:rPr>
        <w:t xml:space="preserve">، وأدلة تطبيقية رسمية</w:t>
      </w:r>
      <w:r>
        <w:rPr>
          <w:rStyle w:val="FootnoteReference"/>
        </w:rPr>
        <w:footnoteReference w:id="58"/>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وما يهمّ هذه الورقة من هذا التقليد أمران. الأول أن الاستشراف يُبرَّر في السياسة العامة لأن التحديات عابرة للقطاعات؛ وهو تبرير ينطبق على الثقافة بقوة خاصة، لأن أقوى المحركات المؤثرة فيها — الذكاء الاصطناعي والمنصات والملكية الفكرية — تقع خارج وزاراتها. والثاني أن الوظيفة الثانية التي ميّزها </w:t>
      </w:r>
      <w:r>
        <w:rPr>
          <w:rFonts w:ascii="Times New Roman" w:cs="Noto Naskh Arabic" w:eastAsia="Noto Naskh Arabic" w:hAnsi="Times New Roman"/>
          <w:sz w:val="26"/>
          <w:szCs w:val="26"/>
          <w:rtl w:val="false"/>
        </w:rPr>
        <w:t xml:space="preserve">Habegger</w:t>
      </w:r>
      <w:r>
        <w:rPr>
          <w:rFonts w:ascii="Times New Roman" w:cs="Noto Naskh Arabic" w:eastAsia="Noto Naskh Arabic" w:hAnsi="Times New Roman"/>
          <w:sz w:val="26"/>
          <w:szCs w:val="26"/>
          <w:rtl/>
        </w:rPr>
        <w:t xml:space="preserve">، أي التعلم المشترك، تفترض مشاركين؛ وهو ما لا تملكه هذه الورقة القائمة على أدلة ثانوية، فتعلن ذلك حداً.</w:t>
      </w:r>
    </w:p>
    <w:p>
      <w:pPr>
        <w:bidi/>
        <w:spacing w:after="120" w:line="336"/>
        <w:jc w:val="both"/>
      </w:pPr>
      <w:r>
        <w:rPr>
          <w:rFonts w:ascii="Times New Roman" w:cs="Noto Naskh Arabic" w:eastAsia="Noto Naskh Arabic" w:hAnsi="Times New Roman"/>
          <w:b/>
          <w:bCs/>
          <w:sz w:val="26"/>
          <w:szCs w:val="26"/>
          <w:rtl/>
        </w:rPr>
        <w:t xml:space="preserve">الثقافة سياقاً للاستشراف.</w:t>
      </w:r>
      <w:r>
        <w:rPr>
          <w:rFonts w:ascii="Times New Roman" w:cs="Noto Naskh Arabic" w:eastAsia="Noto Naskh Arabic" w:hAnsi="Times New Roman"/>
          <w:sz w:val="26"/>
          <w:szCs w:val="26"/>
          <w:rtl/>
        </w:rPr>
        <w:t xml:space="preserve"> نشأ داخل الدراسات المستقبلية خط بحثي يدرس أثر الثقافة في عمليات الاستشراف نفسها. فقد بيّن </w:t>
      </w:r>
      <w:r>
        <w:rPr>
          <w:rFonts w:ascii="Times New Roman" w:cs="Noto Naskh Arabic" w:eastAsia="Noto Naskh Arabic" w:hAnsi="Times New Roman"/>
          <w:sz w:val="26"/>
          <w:szCs w:val="26"/>
          <w:rtl w:val="false"/>
        </w:rPr>
        <w:t xml:space="preserve">Andersen</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Rasmussen (2014</w:t>
      </w:r>
      <w:r>
        <w:rPr>
          <w:rFonts w:ascii="Times New Roman" w:cs="Noto Naskh Arabic" w:eastAsia="Noto Naskh Arabic" w:hAnsi="Times New Roman"/>
          <w:sz w:val="26"/>
          <w:szCs w:val="26"/>
          <w:rtl/>
        </w:rPr>
        <w:t xml:space="preserve">)</w:t>
      </w:r>
      <w:r>
        <w:rPr>
          <w:rStyle w:val="FootnoteReference"/>
        </w:rPr>
        <w:footnoteReference w:id="59"/>
      </w:r>
      <w:r>
        <w:rPr>
          <w:rFonts w:ascii="Times New Roman" w:cs="Noto Naskh Arabic" w:eastAsia="Noto Naskh Arabic" w:hAnsi="Times New Roman"/>
          <w:sz w:val="26"/>
          <w:szCs w:val="26"/>
          <w:rtl/>
        </w:rPr>
        <w:t xml:space="preserve"> أن التقاليد الوطنية والثقافات تؤثر في عمليات الاستشراف الوطنية، وحذّرا من المقاربات الموحّدة التي تُطبَّق في كل سياق. وطوّر </w:t>
      </w:r>
      <w:r>
        <w:rPr>
          <w:rFonts w:ascii="Times New Roman" w:cs="Noto Naskh Arabic" w:eastAsia="Noto Naskh Arabic" w:hAnsi="Times New Roman"/>
          <w:sz w:val="26"/>
          <w:szCs w:val="26"/>
          <w:rtl w:val="false"/>
        </w:rPr>
        <w:t xml:space="preserve">Santana-Villegas</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Álvarez von Gustedt (in press</w:t>
      </w:r>
      <w:r>
        <w:rPr>
          <w:rFonts w:ascii="Times New Roman" w:cs="Noto Naskh Arabic" w:eastAsia="Noto Naskh Arabic" w:hAnsi="Times New Roman"/>
          <w:sz w:val="26"/>
          <w:szCs w:val="26"/>
          <w:rtl/>
        </w:rPr>
        <w:t xml:space="preserve">)</w:t>
      </w:r>
      <w:r>
        <w:rPr>
          <w:rStyle w:val="FootnoteReference"/>
        </w:rPr>
        <w:footnoteReference w:id="60"/>
      </w:r>
      <w:r>
        <w:rPr>
          <w:rFonts w:ascii="Times New Roman" w:cs="Noto Naskh Arabic" w:eastAsia="Noto Naskh Arabic" w:hAnsi="Times New Roman"/>
          <w:sz w:val="26"/>
          <w:szCs w:val="26"/>
          <w:rtl/>
        </w:rPr>
        <w:t xml:space="preserve"> إطاراً مفاهيمياً يدمج أبعاد </w:t>
      </w:r>
      <w:r>
        <w:rPr>
          <w:rFonts w:ascii="Times New Roman" w:cs="Noto Naskh Arabic" w:eastAsia="Noto Naskh Arabic" w:hAnsi="Times New Roman"/>
          <w:sz w:val="26"/>
          <w:szCs w:val="26"/>
          <w:rtl w:val="false"/>
        </w:rPr>
        <w:t xml:space="preserve">Hofstede</w:t>
      </w:r>
      <w:r>
        <w:rPr>
          <w:rFonts w:ascii="Times New Roman" w:cs="Noto Naskh Arabic" w:eastAsia="Noto Naskh Arabic" w:hAnsi="Times New Roman"/>
          <w:sz w:val="26"/>
          <w:szCs w:val="26"/>
          <w:rtl/>
        </w:rPr>
        <w:t xml:space="preserve"> الثقافية — وبخاصة مسافة السلطة وتجنب عدم اليقين — في تخطيط السيناريوهات، وحللا ست ورش استشراف منشورة لاستخلاص مقترحات عملية للميسّرين. ويقرّ هذان الباحثان بأن البحث في تقاطع الثقافة والاستشراف ما يزال محدوداً.</w:t>
      </w:r>
    </w:p>
    <w:p>
      <w:pPr>
        <w:bidi/>
        <w:spacing w:after="120" w:line="336"/>
        <w:jc w:val="both"/>
      </w:pPr>
      <w:r>
        <w:rPr>
          <w:rFonts w:ascii="Times New Roman" w:cs="Noto Naskh Arabic" w:eastAsia="Noto Naskh Arabic" w:hAnsi="Times New Roman"/>
          <w:sz w:val="26"/>
          <w:szCs w:val="26"/>
          <w:rtl/>
        </w:rPr>
        <w:t xml:space="preserve">وهذا الخط مهم لأنه يحذّر من استيراد أدوات الاستشراف إلى السياق العربي والخليجي دون تكييف. لكنه يعامل الثقافة </w:t>
      </w:r>
      <w:r>
        <w:rPr>
          <w:rFonts w:ascii="Times New Roman" w:cs="Noto Naskh Arabic" w:eastAsia="Noto Naskh Arabic" w:hAnsi="Times New Roman"/>
          <w:b/>
          <w:bCs/>
          <w:sz w:val="26"/>
          <w:szCs w:val="26"/>
          <w:rtl/>
        </w:rPr>
        <w:t xml:space="preserve">سياقاً</w:t>
      </w:r>
      <w:r>
        <w:rPr>
          <w:rFonts w:ascii="Times New Roman" w:cs="Noto Naskh Arabic" w:eastAsia="Noto Naskh Arabic" w:hAnsi="Times New Roman"/>
          <w:sz w:val="26"/>
          <w:szCs w:val="26"/>
          <w:rtl/>
        </w:rPr>
        <w:t xml:space="preserve"> يؤثر في الاستشراف، لا </w:t>
      </w:r>
      <w:r>
        <w:rPr>
          <w:rFonts w:ascii="Times New Roman" w:cs="Noto Naskh Arabic" w:eastAsia="Noto Naskh Arabic" w:hAnsi="Times New Roman"/>
          <w:b/>
          <w:bCs/>
          <w:sz w:val="26"/>
          <w:szCs w:val="26"/>
          <w:rtl/>
        </w:rPr>
        <w:t xml:space="preserve">موضوعاً</w:t>
      </w:r>
      <w:r>
        <w:rPr>
          <w:rFonts w:ascii="Times New Roman" w:cs="Noto Naskh Arabic" w:eastAsia="Noto Naskh Arabic" w:hAnsi="Times New Roman"/>
          <w:sz w:val="26"/>
          <w:szCs w:val="26"/>
          <w:rtl/>
        </w:rPr>
        <w:t xml:space="preserve"> يُستشرف، ولا حقل سياسة تُستشرف أدواته.</w:t>
      </w:r>
    </w:p>
    <w:p>
      <w:pPr>
        <w:bidi/>
        <w:spacing w:after="120" w:line="336"/>
        <w:jc w:val="both"/>
      </w:pPr>
      <w:r>
        <w:rPr>
          <w:rFonts w:ascii="Times New Roman" w:cs="Noto Naskh Arabic" w:eastAsia="Noto Naskh Arabic" w:hAnsi="Times New Roman"/>
          <w:b/>
          <w:bCs/>
          <w:sz w:val="26"/>
          <w:szCs w:val="26"/>
          <w:rtl/>
        </w:rPr>
        <w:t xml:space="preserve">الثقافة موضوعاً للاستشراف.</w:t>
      </w:r>
      <w:r>
        <w:rPr>
          <w:rFonts w:ascii="Times New Roman" w:cs="Noto Naskh Arabic" w:eastAsia="Noto Naskh Arabic" w:hAnsi="Times New Roman"/>
          <w:sz w:val="26"/>
          <w:szCs w:val="26"/>
          <w:rtl/>
        </w:rPr>
        <w:t xml:space="preserve"> أطلقت اليونسكو ضمن خطتها متوسطة الأجل الثالثة (١٩٩٠–١٩٩٥) برنامجاً عرضياً للدراسات المستقبلية، ومن ضمنه مشروع «مستقبلات الثقافات» الذي بدأ باجتماع فريق عامل في باريس في يناير ١٩٩٠، بتنسيق </w:t>
      </w:r>
      <w:r>
        <w:rPr>
          <w:rFonts w:ascii="Times New Roman" w:cs="Noto Naskh Arabic" w:eastAsia="Noto Naskh Arabic" w:hAnsi="Times New Roman"/>
          <w:sz w:val="26"/>
          <w:szCs w:val="26"/>
          <w:rtl w:val="false"/>
        </w:rPr>
        <w:t xml:space="preserve">Eleonora Masini</w:t>
      </w:r>
      <w:r>
        <w:rPr>
          <w:rStyle w:val="FootnoteReference"/>
        </w:rPr>
        <w:footnoteReference w:id="61"/>
      </w:r>
      <w:r>
        <w:rPr>
          <w:rFonts w:ascii="Times New Roman" w:cs="Noto Naskh Arabic" w:eastAsia="Noto Naskh Arabic" w:hAnsi="Times New Roman"/>
          <w:sz w:val="26"/>
          <w:szCs w:val="26"/>
          <w:rtl/>
        </w:rPr>
        <w:t xml:space="preserve">. وصدرت عن المشروع مجلدات إقليمية، منها مجلد عن مستقبلات الثقافات الآسيوية</w:t>
      </w:r>
      <w:r>
        <w:rPr>
          <w:rStyle w:val="FootnoteReference"/>
        </w:rPr>
        <w:footnoteReference w:id="62"/>
      </w:r>
      <w:r>
        <w:rPr>
          <w:rFonts w:ascii="Times New Roman" w:cs="Noto Naskh Arabic" w:eastAsia="Noto Naskh Arabic" w:hAnsi="Times New Roman"/>
          <w:sz w:val="26"/>
          <w:szCs w:val="26"/>
          <w:rtl/>
        </w:rPr>
        <w:t xml:space="preserve">، ثم مجلد تركيبي عام ١٩٩٤ يجمع نتائجه</w:t>
      </w:r>
      <w:r>
        <w:rPr>
          <w:rStyle w:val="FootnoteReference"/>
        </w:rPr>
        <w:footnoteReference w:id="63"/>
      </w:r>
      <w:r>
        <w:rPr>
          <w:rFonts w:ascii="Times New Roman" w:cs="Noto Naskh Arabic" w:eastAsia="Noto Naskh Arabic" w:hAnsi="Times New Roman"/>
          <w:sz w:val="26"/>
          <w:szCs w:val="26"/>
          <w:rtl/>
        </w:rPr>
        <w:t xml:space="preserve">. وكان من القضايا التي طرحها الفريق العامل في اجتماعه الأول أن جميع الثقافات والقيم الثقافية تتعرض لهجوم قوي من قوى التنميط، التي تعمل مجتمعةً وتراكمياً على تجانسها أو إضعافها أو دفعها إلى مواقع زخرفية أو أثرية أو هامشية.</w:t>
      </w:r>
    </w:p>
    <w:p>
      <w:pPr>
        <w:bidi/>
        <w:spacing w:after="120" w:line="336"/>
        <w:jc w:val="both"/>
      </w:pPr>
      <w:r>
        <w:rPr>
          <w:rFonts w:ascii="Times New Roman" w:cs="Noto Naskh Arabic" w:eastAsia="Noto Naskh Arabic" w:hAnsi="Times New Roman"/>
          <w:sz w:val="26"/>
          <w:szCs w:val="26"/>
          <w:rtl/>
        </w:rPr>
        <w:t xml:space="preserve">ويمثل هذا المشروع سابقة مباشرة تنقض أي ادعاء بأن الاستشراف الثقافي غائب. لكنه استشراف للثقافات بوصفها حضارات وهويات، لا للسياسة الثقافية بوصفها أداة؛ ولا يتناول العلاقة بين القيمة الاقتصادية والقيمة الفكرية. وتكمن قيمته الخاصة لهذه الورقة في أنه «مستقبل ماضٍ» يمكن اختباره. فقد حللت دراسة </w:t>
      </w:r>
      <w:r>
        <w:rPr>
          <w:rFonts w:ascii="Times New Roman" w:cs="Noto Naskh Arabic" w:eastAsia="Noto Naskh Arabic" w:hAnsi="Times New Roman"/>
          <w:sz w:val="26"/>
          <w:szCs w:val="26"/>
          <w:rtl w:val="false"/>
        </w:rPr>
        <w:t xml:space="preserve">Jackson</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Medvedev (2024</w:t>
      </w:r>
      <w:r>
        <w:rPr>
          <w:rFonts w:ascii="Times New Roman" w:cs="Noto Naskh Arabic" w:eastAsia="Noto Naskh Arabic" w:hAnsi="Times New Roman"/>
          <w:sz w:val="26"/>
          <w:szCs w:val="26"/>
          <w:rtl/>
        </w:rPr>
        <w:t xml:space="preserve">)</w:t>
      </w:r>
      <w:r>
        <w:rPr>
          <w:rStyle w:val="FootnoteReference"/>
        </w:rPr>
        <w:footnoteReference w:id="64"/>
      </w:r>
      <w:r>
        <w:rPr>
          <w:rFonts w:ascii="Times New Roman" w:cs="Noto Naskh Arabic" w:eastAsia="Noto Naskh Arabic" w:hAnsi="Times New Roman"/>
          <w:sz w:val="26"/>
          <w:szCs w:val="26"/>
          <w:rtl/>
        </w:rPr>
        <w:t xml:space="preserve"> بيانات مسح القيم العالمي بين ١٩٨١ و٢٠٢٢، ووجدت تباعداً عالمياً في القيم لا تقارباً، مع تقارب إقليمي متزايد، ورأت أن الثراء قد يؤثر في القيم الثقافية تأثيراً مختلفاً من منطقة إلى أخرى. فقضية التنميط، في طبقة القيم على الأقل، لم تتحقق كما صيغت.</w:t>
      </w:r>
    </w:p>
    <w:p>
      <w:pPr>
        <w:bidi/>
        <w:spacing w:after="120" w:line="336"/>
        <w:jc w:val="both"/>
      </w:pPr>
      <w:r>
        <w:rPr>
          <w:rFonts w:ascii="Times New Roman" w:cs="Noto Naskh Arabic" w:eastAsia="Noto Naskh Arabic" w:hAnsi="Times New Roman"/>
          <w:sz w:val="26"/>
          <w:szCs w:val="26"/>
          <w:rtl/>
        </w:rPr>
        <w:t xml:space="preserve">ويستخلص هذا الاختبار درساً منهجياً يتجاوز المشروع نفسه: أن توقعات الاستشراف الثقافي يمكن أن تُراجَع بعد عقود، وأن الثقافة قد تتحرك في طبقات مختلفة بإيقاعات مختلفة. وهذا ما بنت عليه الورقة تمييزها بين طبقة القيم وطبقة الوساطة (الفقرة ٣-٧).</w:t>
      </w:r>
    </w:p>
    <w:p>
      <w:pPr>
        <w:pStyle w:val="Heading2"/>
        <w:bidi/>
        <w:jc w:val="right"/>
      </w:pPr>
      <w:r>
        <w:rPr>
          <w:rFonts w:ascii="Times New Roman" w:cs="Noto Naskh Arabic" w:eastAsia="Noto Naskh Arabic" w:hAnsi="Times New Roman"/>
          <w:b/>
          <w:bCs/>
          <w:color w:val="1F4E79"/>
          <w:sz w:val="28"/>
          <w:szCs w:val="28"/>
          <w:rtl/>
        </w:rPr>
        <w:t xml:space="preserve">٤-٧ الأدبيات العربية</w:t>
      </w:r>
    </w:p>
    <w:p>
      <w:pPr>
        <w:bidi/>
        <w:spacing w:after="120" w:line="336"/>
        <w:jc w:val="both"/>
      </w:pPr>
      <w:r>
        <w:rPr>
          <w:rFonts w:ascii="Times New Roman" w:cs="Noto Naskh Arabic" w:eastAsia="Noto Naskh Arabic" w:hAnsi="Times New Roman"/>
          <w:sz w:val="26"/>
          <w:szCs w:val="26"/>
          <w:rtl/>
        </w:rPr>
        <w:t xml:space="preserve">يكشف المسح المفتوح للأدبيات العربية ثلاثة مسارات متوازية لا تتقاطع. </w:t>
      </w:r>
      <w:r>
        <w:rPr>
          <w:rFonts w:ascii="Times New Roman" w:cs="Noto Naskh Arabic" w:eastAsia="Noto Naskh Arabic" w:hAnsi="Times New Roman"/>
          <w:b/>
          <w:bCs/>
          <w:sz w:val="26"/>
          <w:szCs w:val="26"/>
          <w:rtl/>
        </w:rPr>
        <w:t xml:space="preserve">المسار الأول</w:t>
      </w:r>
      <w:r>
        <w:rPr>
          <w:rFonts w:ascii="Times New Roman" w:cs="Noto Naskh Arabic" w:eastAsia="Noto Naskh Arabic" w:hAnsi="Times New Roman"/>
          <w:sz w:val="26"/>
          <w:szCs w:val="26"/>
          <w:rtl/>
        </w:rPr>
        <w:t xml:space="preserve"> الدراسات المستقبلية العربية، وقد عرفت مشروعات كبرى في العقود الماضية، ثم تراجع زخمها. وهذا ما صرّح به المركز العربي للأبحاث ودراسة السياسات عند إطلاق كتابه السنوي المحكَّم «استشراف»، الذي خصّص عدده الأول لمراجعة حصيلة الدراسات المستقبلية العربية، ومنها مقال عن أثر الأبعاد المنهجية في الحصيلة العلمية والمجتمعية لهذه الدراسات</w:t>
      </w:r>
      <w:r>
        <w:rPr>
          <w:rStyle w:val="FootnoteReference"/>
        </w:rPr>
        <w:footnoteReference w:id="65"/>
      </w:r>
      <w:r>
        <w:rPr>
          <w:rFonts w:ascii="Times New Roman" w:cs="Noto Naskh Arabic" w:eastAsia="Noto Naskh Arabic" w:hAnsi="Times New Roman"/>
          <w:sz w:val="26"/>
          <w:szCs w:val="26"/>
          <w:rtl/>
        </w:rPr>
        <w:t xml:space="preserve">، ومقال عن مشروع استشراف مستقبل الأمة العربية بين استشراف المستقبل والتطلع الأيديولوجي</w:t>
      </w:r>
      <w:r>
        <w:rPr>
          <w:rStyle w:val="FootnoteReference"/>
        </w:rPr>
        <w:footnoteReference w:id="66"/>
      </w:r>
      <w:r>
        <w:rPr>
          <w:rFonts w:ascii="Times New Roman" w:cs="Noto Naskh Arabic" w:eastAsia="Noto Naskh Arabic" w:hAnsi="Times New Roman"/>
          <w:sz w:val="26"/>
          <w:szCs w:val="26"/>
          <w:rtl/>
        </w:rPr>
        <w:t xml:space="preserve">. وعنوان المقال الأخير وحده يكشف عن توتر قديم في الاستشراف العربي بين التحليل والرغبة، وهو توتر يجب أن تحتاط له أي ورقة استشرافية تتناول الثقافة العربية.</w:t>
      </w:r>
    </w:p>
    <w:p>
      <w:pPr>
        <w:bidi/>
        <w:spacing w:after="120" w:line="336"/>
        <w:jc w:val="both"/>
      </w:pPr>
      <w:r>
        <w:rPr>
          <w:rFonts w:ascii="Times New Roman" w:cs="Noto Naskh Arabic" w:eastAsia="Noto Naskh Arabic" w:hAnsi="Times New Roman"/>
          <w:b/>
          <w:bCs/>
          <w:sz w:val="26"/>
          <w:szCs w:val="26"/>
          <w:rtl/>
        </w:rPr>
        <w:t xml:space="preserve">المسار الثاني</w:t>
      </w:r>
      <w:r>
        <w:rPr>
          <w:rFonts w:ascii="Times New Roman" w:cs="Noto Naskh Arabic" w:eastAsia="Noto Naskh Arabic" w:hAnsi="Times New Roman"/>
          <w:sz w:val="26"/>
          <w:szCs w:val="26"/>
          <w:rtl/>
        </w:rPr>
        <w:t xml:space="preserve"> الدراسات المفاهيمية في الصناعات الثقافية، ومنها بحث محكّم في صياغة مفهوم الصناعات الثقافية</w:t>
      </w:r>
      <w:r>
        <w:rPr>
          <w:rStyle w:val="FootnoteReference"/>
        </w:rPr>
        <w:footnoteReference w:id="67"/>
      </w:r>
      <w:r>
        <w:rPr>
          <w:rFonts w:ascii="Times New Roman" w:cs="Noto Naskh Arabic" w:eastAsia="Noto Naskh Arabic" w:hAnsi="Times New Roman"/>
          <w:sz w:val="26"/>
          <w:szCs w:val="26"/>
          <w:rtl/>
        </w:rPr>
        <w:t xml:space="preserve">. وهذه الدراسات تؤسس للجانب الاقتصادي من السؤال، لكنها لا تتناول القيمة الفكرية ولا الاستشراف.</w:t>
      </w:r>
    </w:p>
    <w:p>
      <w:pPr>
        <w:bidi/>
        <w:spacing w:after="120" w:line="336"/>
        <w:jc w:val="both"/>
      </w:pPr>
      <w:r>
        <w:rPr>
          <w:rFonts w:ascii="Times New Roman" w:cs="Noto Naskh Arabic" w:eastAsia="Noto Naskh Arabic" w:hAnsi="Times New Roman"/>
          <w:b/>
          <w:bCs/>
          <w:sz w:val="26"/>
          <w:szCs w:val="26"/>
          <w:rtl/>
        </w:rPr>
        <w:t xml:space="preserve">المسار الثالث</w:t>
      </w:r>
      <w:r>
        <w:rPr>
          <w:rFonts w:ascii="Times New Roman" w:cs="Noto Naskh Arabic" w:eastAsia="Noto Naskh Arabic" w:hAnsi="Times New Roman"/>
          <w:sz w:val="26"/>
          <w:szCs w:val="26"/>
          <w:rtl/>
        </w:rPr>
        <w:t xml:space="preserve"> الممارسة السياساتية في الخليج، كمختبر السياسات الثقافية في وزارة الثقافة السعودية، الذي يدعو المهتمين والعاملين في القطاعات الثقافية إلى المشاركة في تصميم مقترحات تعالج التحديات الحالية أو تحقق تطلعات مستقبلية</w:t>
      </w:r>
      <w:r>
        <w:rPr>
          <w:rStyle w:val="FootnoteReference"/>
        </w:rPr>
        <w:footnoteReference w:id="68"/>
      </w:r>
      <w:r>
        <w:rPr>
          <w:rFonts w:ascii="Times New Roman" w:cs="Noto Naskh Arabic" w:eastAsia="Noto Naskh Arabic" w:hAnsi="Times New Roman"/>
          <w:sz w:val="26"/>
          <w:szCs w:val="26"/>
          <w:rtl/>
        </w:rPr>
        <w:t xml:space="preserve">. وهذا دليل على حراك سياساتي يتجه نحو المستقبل، لكنه ممارسة لا بحث.</w:t>
      </w:r>
    </w:p>
    <w:p>
      <w:pPr>
        <w:bidi/>
        <w:spacing w:after="120" w:line="336"/>
        <w:jc w:val="both"/>
      </w:pPr>
      <w:r>
        <w:rPr>
          <w:rFonts w:ascii="Times New Roman" w:cs="Noto Naskh Arabic" w:eastAsia="Noto Naskh Arabic" w:hAnsi="Times New Roman"/>
          <w:sz w:val="26"/>
          <w:szCs w:val="26"/>
          <w:rtl/>
        </w:rPr>
        <w:t xml:space="preserve">ولم يُعثر — في حدود البحث المفتوح — على دراسة عربية محكّمة تجمع الاستشراف والسياسة الثقافية ومسألة القيمة. ولا يُعدّ هذا حكماً بالغياب: فقواعد البيانات العربية الاشتراكية لم تُفحص، ولا أعداد «استشراف» و«تبيّن» كاملة. لكنه يكفي لأن يُصاغ الإسهام الإقليمي للورقة بحذر: سدّ فجوة تقاطع، لا ريادة في حقل فارغ.</w:t>
      </w:r>
    </w:p>
    <w:p>
      <w:pPr>
        <w:pStyle w:val="Heading2"/>
        <w:bidi/>
        <w:jc w:val="right"/>
      </w:pPr>
      <w:r>
        <w:rPr>
          <w:rFonts w:ascii="Times New Roman" w:cs="Noto Naskh Arabic" w:eastAsia="Noto Naskh Arabic" w:hAnsi="Times New Roman"/>
          <w:b/>
          <w:bCs/>
          <w:color w:val="1F4E79"/>
          <w:sz w:val="28"/>
          <w:szCs w:val="28"/>
          <w:rtl/>
        </w:rPr>
        <w:t xml:space="preserve">٤-٨ تركيب: أربع نقاط عمياء</w:t>
      </w:r>
    </w:p>
    <w:p>
      <w:pPr>
        <w:bidi/>
        <w:spacing w:after="120" w:line="336"/>
        <w:jc w:val="both"/>
      </w:pPr>
      <w:r>
        <w:rPr>
          <w:rFonts w:ascii="Times New Roman" w:cs="Noto Naskh Arabic" w:eastAsia="Noto Naskh Arabic" w:hAnsi="Times New Roman"/>
          <w:sz w:val="26"/>
          <w:szCs w:val="26"/>
          <w:rtl/>
        </w:rPr>
        <w:t xml:space="preserve">تتقاطع التقاليد الستة عند أربع نقاط لم يغطها أي منها، وهي ما تتصدى له الورقة.</w:t>
      </w:r>
    </w:p>
    <w:p>
      <w:pPr>
        <w:bidi/>
        <w:spacing w:after="120" w:line="336"/>
        <w:jc w:val="both"/>
      </w:pPr>
      <w:r>
        <w:rPr>
          <w:rFonts w:ascii="Times New Roman" w:cs="Noto Naskh Arabic" w:eastAsia="Noto Naskh Arabic" w:hAnsi="Times New Roman"/>
          <w:b/>
          <w:bCs/>
          <w:sz w:val="26"/>
          <w:szCs w:val="26"/>
          <w:rtl/>
        </w:rPr>
        <w:t xml:space="preserve">نقطة المستوى.</w:t>
      </w:r>
      <w:r>
        <w:rPr>
          <w:rFonts w:ascii="Times New Roman" w:cs="Noto Naskh Arabic" w:eastAsia="Noto Naskh Arabic" w:hAnsi="Times New Roman"/>
          <w:sz w:val="26"/>
          <w:szCs w:val="26"/>
          <w:rtl/>
        </w:rPr>
        <w:t xml:space="preserve"> يدرس الاقتصاد الثقافي القيمة على مستوى السلعة، وتدرسها دراسات القيمة الثقافية على مستوى التجربة الفردية، وتدرس أطر الحيوية المجتمع المحلي. ولم يُرصد إطار يدرس قيمة النظام الثقافي الوطني أو الإقليمي بوصفها قدرة.</w:t>
      </w:r>
    </w:p>
    <w:p>
      <w:pPr>
        <w:bidi/>
        <w:spacing w:after="120" w:line="336"/>
        <w:jc w:val="both"/>
      </w:pPr>
      <w:r>
        <w:rPr>
          <w:rFonts w:ascii="Times New Roman" w:cs="Noto Naskh Arabic" w:eastAsia="Noto Naskh Arabic" w:hAnsi="Times New Roman"/>
          <w:b/>
          <w:bCs/>
          <w:sz w:val="26"/>
          <w:szCs w:val="26"/>
          <w:rtl/>
        </w:rPr>
        <w:t xml:space="preserve">نقطة الزمن.</w:t>
      </w:r>
      <w:r>
        <w:rPr>
          <w:rFonts w:ascii="Times New Roman" w:cs="Noto Naskh Arabic" w:eastAsia="Noto Naskh Arabic" w:hAnsi="Times New Roman"/>
          <w:sz w:val="26"/>
          <w:szCs w:val="26"/>
          <w:rtl/>
        </w:rPr>
        <w:t xml:space="preserve"> معالجات القيمة ساكنة، ومعالجات مستقبل السياسة الثقافية حجاجية. ولم يُرصد عمل يتتبع مسار العلاقة بين القيمتين عبر سيناريوهات بديلة.</w:t>
      </w:r>
    </w:p>
    <w:p>
      <w:pPr>
        <w:bidi/>
        <w:spacing w:after="120" w:line="336"/>
        <w:jc w:val="both"/>
      </w:pPr>
      <w:r>
        <w:rPr>
          <w:rFonts w:ascii="Times New Roman" w:cs="Noto Naskh Arabic" w:eastAsia="Noto Naskh Arabic" w:hAnsi="Times New Roman"/>
          <w:b/>
          <w:bCs/>
          <w:sz w:val="26"/>
          <w:szCs w:val="26"/>
          <w:rtl/>
        </w:rPr>
        <w:t xml:space="preserve">نقطة القياس.</w:t>
      </w:r>
      <w:r>
        <w:rPr>
          <w:rFonts w:ascii="Times New Roman" w:cs="Noto Naskh Arabic" w:eastAsia="Noto Naskh Arabic" w:hAnsi="Times New Roman"/>
          <w:sz w:val="26"/>
          <w:szCs w:val="26"/>
          <w:rtl/>
        </w:rPr>
        <w:t xml:space="preserve"> تقيس المؤشرات المتاحة الاقتصاد والمدخلات والحضور. ولم يُرصد مؤشر لقدرة النظام على التجدد والمساءلة والاستقلال، ولا أداة تميّز التراجع الحقيقي من الغياب عن الرصد.</w:t>
      </w:r>
    </w:p>
    <w:p>
      <w:pPr>
        <w:bidi/>
        <w:spacing w:after="120" w:line="336"/>
        <w:jc w:val="both"/>
      </w:pPr>
      <w:r>
        <w:rPr>
          <w:rFonts w:ascii="Times New Roman" w:cs="Noto Naskh Arabic" w:eastAsia="Noto Naskh Arabic" w:hAnsi="Times New Roman"/>
          <w:b/>
          <w:bCs/>
          <w:sz w:val="26"/>
          <w:szCs w:val="26"/>
          <w:rtl/>
        </w:rPr>
        <w:t xml:space="preserve">نقطة المنهج.</w:t>
      </w:r>
      <w:r>
        <w:rPr>
          <w:rFonts w:ascii="Times New Roman" w:cs="Noto Naskh Arabic" w:eastAsia="Noto Naskh Arabic" w:hAnsi="Times New Roman"/>
          <w:sz w:val="26"/>
          <w:szCs w:val="26"/>
          <w:rtl/>
        </w:rPr>
        <w:t xml:space="preserve"> يملك الاستشراف أدوات ناضجة في حقول أخرى، ولم تُكيَّف لحقل السياسة الثقافية. وما وُجد من استشراف ثقافي إما شامل للثقافات، وإما ممارسة لم تُنشر في مصادر محكّمة، وإما معالجة للثقافة سياقاً لا موضوعاً.</w:t>
      </w:r>
    </w:p>
    <w:p>
      <w:pPr>
        <w:bidi/>
        <w:spacing w:after="120" w:line="336"/>
        <w:jc w:val="both"/>
      </w:pPr>
      <w:r>
        <w:rPr>
          <w:rFonts w:ascii="Times New Roman" w:cs="Noto Naskh Arabic" w:eastAsia="Noto Naskh Arabic" w:hAnsi="Times New Roman"/>
          <w:sz w:val="26"/>
          <w:szCs w:val="26"/>
          <w:rtl/>
        </w:rPr>
        <w:t xml:space="preserve">ولكل نقطة عمياء ما يقابلها في بناء الورقة. فنقطة المستوى يعالجها مفهوم القيمة الفكرية بوصفها خاصية للنظام (القسم ٣). ونقطة الزمن تعالجها السيناريوهات والمحاكاة (القسمان ٧ و٨). ونقطة القياس يعالجها التمييز بين التباعد الحقيقي والقياسي والمؤشر الفاصل بينهما (القسم ٨). ونقطة المنهج يعالجها تكييف أدوات الاستشراف وإعلان حدودها (القسم ٥). ولا تزعم الورقة أنها تسدّ هذه النقاط سدّاً كاملاً، بل أنها تجعلها قابلة للبحث.</w:t>
      </w:r>
    </w:p>
    <w:p>
      <w:pPr>
        <w:pStyle w:val="Heading1"/>
        <w:bidi/>
        <w:jc w:val="right"/>
      </w:pPr>
      <w:r>
        <w:rPr>
          <w:rFonts w:ascii="Times New Roman" w:cs="Noto Naskh Arabic" w:eastAsia="Noto Naskh Arabic" w:hAnsi="Times New Roman"/>
          <w:b/>
          <w:bCs/>
          <w:color w:val="1F4E79"/>
          <w:sz w:val="34"/>
          <w:szCs w:val="34"/>
          <w:rtl/>
        </w:rPr>
        <w:t xml:space="preserve">٥. المنهجية</w:t>
      </w:r>
    </w:p>
    <w:p>
      <w:pPr>
        <w:pStyle w:val="Heading2"/>
        <w:bidi/>
        <w:jc w:val="right"/>
      </w:pPr>
      <w:r>
        <w:rPr>
          <w:rFonts w:ascii="Times New Roman" w:cs="Noto Naskh Arabic" w:eastAsia="Noto Naskh Arabic" w:hAnsi="Times New Roman"/>
          <w:b/>
          <w:bCs/>
          <w:color w:val="1F4E79"/>
          <w:sz w:val="28"/>
          <w:szCs w:val="28"/>
          <w:rtl/>
        </w:rPr>
        <w:t xml:space="preserve">٥-١ التصميم واختياره</w:t>
      </w:r>
    </w:p>
    <w:p>
      <w:pPr>
        <w:bidi/>
        <w:spacing w:after="120" w:line="336"/>
        <w:jc w:val="both"/>
      </w:pPr>
      <w:r>
        <w:rPr>
          <w:rFonts w:ascii="Times New Roman" w:cs="Noto Naskh Arabic" w:eastAsia="Noto Naskh Arabic" w:hAnsi="Times New Roman"/>
          <w:sz w:val="26"/>
          <w:szCs w:val="26"/>
          <w:rtl/>
        </w:rPr>
        <w:t xml:space="preserve">تعتمد الورقة تصميماً </w:t>
      </w:r>
      <w:r>
        <w:rPr>
          <w:rFonts w:ascii="Times New Roman" w:cs="Noto Naskh Arabic" w:eastAsia="Noto Naskh Arabic" w:hAnsi="Times New Roman"/>
          <w:b/>
          <w:bCs/>
          <w:sz w:val="26"/>
          <w:szCs w:val="26"/>
          <w:rtl/>
        </w:rPr>
        <w:t xml:space="preserve">نظرياً استشرافياً</w:t>
      </w:r>
      <w:r>
        <w:rPr>
          <w:rFonts w:ascii="Times New Roman" w:cs="Noto Naskh Arabic" w:eastAsia="Noto Naskh Arabic" w:hAnsi="Times New Roman"/>
          <w:sz w:val="26"/>
          <w:szCs w:val="26"/>
          <w:rtl/>
        </w:rPr>
        <w:t xml:space="preserve"> عموداً، تُضاف إليه </w:t>
      </w:r>
      <w:r>
        <w:rPr>
          <w:rFonts w:ascii="Times New Roman" w:cs="Noto Naskh Arabic" w:eastAsia="Noto Naskh Arabic" w:hAnsi="Times New Roman"/>
          <w:b/>
          <w:bCs/>
          <w:sz w:val="26"/>
          <w:szCs w:val="26"/>
          <w:rtl/>
        </w:rPr>
        <w:t xml:space="preserve">طبقة نمذجة</w:t>
      </w:r>
      <w:r>
        <w:rPr>
          <w:rFonts w:ascii="Times New Roman" w:cs="Noto Naskh Arabic" w:eastAsia="Noto Naskh Arabic" w:hAnsi="Times New Roman"/>
          <w:sz w:val="26"/>
          <w:szCs w:val="26"/>
          <w:rtl/>
        </w:rPr>
        <w:t xml:space="preserve"> محدودة. وقد اختير هذا التصميم بعد مقارنة ثلاثة تصميمات ممكنة.</w:t>
      </w:r>
    </w:p>
    <w:p>
      <w:pPr>
        <w:bidi/>
        <w:spacing w:after="120" w:line="336"/>
        <w:jc w:val="both"/>
      </w:pPr>
      <w:r>
        <w:rPr>
          <w:rFonts w:ascii="Times New Roman" w:cs="Noto Naskh Arabic" w:eastAsia="Noto Naskh Arabic" w:hAnsi="Times New Roman"/>
          <w:sz w:val="26"/>
          <w:szCs w:val="26"/>
          <w:rtl/>
        </w:rPr>
        <w:t xml:space="preserve">فالتصميم </w:t>
      </w:r>
      <w:r>
        <w:rPr>
          <w:rFonts w:ascii="Times New Roman" w:cs="Noto Naskh Arabic" w:eastAsia="Noto Naskh Arabic" w:hAnsi="Times New Roman"/>
          <w:b/>
          <w:bCs/>
          <w:sz w:val="26"/>
          <w:szCs w:val="26"/>
          <w:rtl/>
        </w:rPr>
        <w:t xml:space="preserve">المختلط</w:t>
      </w:r>
      <w:r>
        <w:rPr>
          <w:rFonts w:ascii="Times New Roman" w:cs="Noto Naskh Arabic" w:eastAsia="Noto Naskh Arabic" w:hAnsi="Times New Roman"/>
          <w:sz w:val="26"/>
          <w:szCs w:val="26"/>
          <w:rtl/>
        </w:rPr>
        <w:t xml:space="preserve"> — الذي يجمع بيانات أولية من مقابلات أو استبانات أو جولات دلفي — كان سيمنح الورقة قوة تجريبية أكبر، لكنه يتطلب عملاً ميدانياً لم يُنفَّذ. ولا تنسب الورقة إلى نفسها توافقاً بين خبراء لم يُستشاروا، ولا آراء لم تُجمع. ولذلك رُحّل هذا التصميم إلى دراسة لاحقة تختبر ما تقترحه هذه الورقة.</w:t>
      </w:r>
    </w:p>
    <w:p>
      <w:pPr>
        <w:bidi/>
        <w:spacing w:after="120" w:line="336"/>
        <w:jc w:val="both"/>
      </w:pPr>
      <w:r>
        <w:rPr>
          <w:rFonts w:ascii="Times New Roman" w:cs="Noto Naskh Arabic" w:eastAsia="Noto Naskh Arabic" w:hAnsi="Times New Roman"/>
          <w:sz w:val="26"/>
          <w:szCs w:val="26"/>
          <w:rtl/>
        </w:rPr>
        <w:t xml:space="preserve">والتصميم </w:t>
      </w:r>
      <w:r>
        <w:rPr>
          <w:rFonts w:ascii="Times New Roman" w:cs="Noto Naskh Arabic" w:eastAsia="Noto Naskh Arabic" w:hAnsi="Times New Roman"/>
          <w:b/>
          <w:bCs/>
          <w:sz w:val="26"/>
          <w:szCs w:val="26"/>
          <w:rtl/>
        </w:rPr>
        <w:t xml:space="preserve">المقارن القائم على النمذجة الإحصائية</w:t>
      </w:r>
      <w:r>
        <w:rPr>
          <w:rFonts w:ascii="Times New Roman" w:cs="Noto Naskh Arabic" w:eastAsia="Noto Naskh Arabic" w:hAnsi="Times New Roman"/>
          <w:sz w:val="26"/>
          <w:szCs w:val="26"/>
          <w:rtl/>
        </w:rPr>
        <w:t xml:space="preserve"> — كالنمذجة القياسية الاقتصادية أو نمذجة المعادلات البنيوية — كان سيتيح تقدير علاقات كمية بين المتغيرات. لكنه يتطلب بيانات متجانسة عن متغيرات القيمة الفكرية، وهي غير موجودة كما بيّن القسم الثالث. فاستعماله مع غياب هذه البيانات كان سيُنتج دقة زائفة.</w:t>
      </w:r>
    </w:p>
    <w:p>
      <w:pPr>
        <w:bidi/>
        <w:spacing w:after="120" w:line="336"/>
        <w:jc w:val="both"/>
      </w:pPr>
      <w:r>
        <w:rPr>
          <w:rFonts w:ascii="Times New Roman" w:cs="Noto Naskh Arabic" w:eastAsia="Noto Naskh Arabic" w:hAnsi="Times New Roman"/>
          <w:sz w:val="26"/>
          <w:szCs w:val="26"/>
          <w:rtl/>
        </w:rPr>
        <w:t xml:space="preserve">أما التصميم </w:t>
      </w:r>
      <w:r>
        <w:rPr>
          <w:rFonts w:ascii="Times New Roman" w:cs="Noto Naskh Arabic" w:eastAsia="Noto Naskh Arabic" w:hAnsi="Times New Roman"/>
          <w:b/>
          <w:bCs/>
          <w:sz w:val="26"/>
          <w:szCs w:val="26"/>
          <w:rtl/>
        </w:rPr>
        <w:t xml:space="preserve">النظري الاستشرافي</w:t>
      </w:r>
      <w:r>
        <w:rPr>
          <w:rFonts w:ascii="Times New Roman" w:cs="Noto Naskh Arabic" w:eastAsia="Noto Naskh Arabic" w:hAnsi="Times New Roman"/>
          <w:sz w:val="26"/>
          <w:szCs w:val="26"/>
          <w:rtl/>
        </w:rPr>
        <w:t xml:space="preserve"> فيلائم سؤالاً يتناول مستقبلات بديلة لعلاقة لم تُقس بعد. وهو يجمع المراجعة النقدية، والتحليل المفاهيمي، والتحليل المنظومي، وبناء السيناريوهات. وأُضيفت إليه طبقة نمذجة ديناميكية لا لتقدير أرقام، بل لاختبار الاتساق الداخلي للفرضيات وكشف العتبات والمؤشرات الفاصلة.</w:t>
      </w:r>
    </w:p>
    <w:p>
      <w:pPr>
        <w:pStyle w:val="Heading2"/>
        <w:bidi/>
        <w:jc w:val="right"/>
      </w:pPr>
      <w:r>
        <w:rPr>
          <w:rFonts w:ascii="Times New Roman" w:cs="Noto Naskh Arabic" w:eastAsia="Noto Naskh Arabic" w:hAnsi="Times New Roman"/>
          <w:b/>
          <w:bCs/>
          <w:color w:val="1F4E79"/>
          <w:sz w:val="28"/>
          <w:szCs w:val="28"/>
          <w:rtl/>
        </w:rPr>
        <w:t xml:space="preserve">٥-٢ الاسترجاع النطاقي للأدبيات</w:t>
      </w:r>
    </w:p>
    <w:p>
      <w:pPr>
        <w:bidi/>
        <w:spacing w:after="120" w:line="336"/>
        <w:jc w:val="both"/>
      </w:pPr>
      <w:r>
        <w:rPr>
          <w:rFonts w:ascii="Times New Roman" w:cs="Noto Naskh Arabic" w:eastAsia="Noto Naskh Arabic" w:hAnsi="Times New Roman"/>
          <w:sz w:val="26"/>
          <w:szCs w:val="26"/>
          <w:rtl/>
        </w:rPr>
        <w:t xml:space="preserve">اعتمدت المراجعة استرجاعاً نطاقياً منظّماً يلتزم بعناصر الإرشادات المرجعية للمراجعات النطاقية (</w:t>
      </w:r>
      <w:r>
        <w:rPr>
          <w:rFonts w:ascii="Times New Roman" w:cs="Noto Naskh Arabic" w:eastAsia="Noto Naskh Arabic" w:hAnsi="Times New Roman"/>
          <w:sz w:val="26"/>
          <w:szCs w:val="26"/>
          <w:rtl w:val="false"/>
        </w:rPr>
        <w:t xml:space="preserve">PRISMA-ScR</w:t>
      </w:r>
      <w:r>
        <w:rPr>
          <w:rFonts w:ascii="Times New Roman" w:cs="Noto Naskh Arabic" w:eastAsia="Noto Naskh Arabic" w:hAnsi="Times New Roman"/>
          <w:sz w:val="26"/>
          <w:szCs w:val="26"/>
          <w:rtl/>
        </w:rPr>
        <w:t xml:space="preserve">)</w:t>
      </w:r>
      <w:r>
        <w:rPr>
          <w:rStyle w:val="FootnoteReference"/>
        </w:rPr>
        <w:footnoteReference w:id="69"/>
      </w:r>
      <w:r>
        <w:rPr>
          <w:rFonts w:ascii="Times New Roman" w:cs="Noto Naskh Arabic" w:eastAsia="Noto Naskh Arabic" w:hAnsi="Times New Roman"/>
          <w:sz w:val="26"/>
          <w:szCs w:val="26"/>
          <w:rtl/>
        </w:rPr>
        <w:t xml:space="preserve"> بقدر ما تسمح به المصادر المتاحة. ونُفِّذ في ١١ أكتوبر ٢٠٢٦، باستعلامات بالعربية والإنجليزية في محركات البحث المفتوح وصفحات الناشرين والمستودعات المؤسسية، مع جلب مباشر لنصوص بعض المصادر وسجلاتها الببليوغرافية.</w:t>
      </w:r>
    </w:p>
    <w:p>
      <w:pPr>
        <w:bidi/>
        <w:spacing w:after="120" w:line="336"/>
        <w:jc w:val="both"/>
      </w:pPr>
      <w:r>
        <w:rPr>
          <w:rFonts w:ascii="Times New Roman" w:cs="Noto Naskh Arabic" w:eastAsia="Noto Naskh Arabic" w:hAnsi="Times New Roman"/>
          <w:b/>
          <w:bCs/>
          <w:sz w:val="26"/>
          <w:szCs w:val="26"/>
          <w:rtl/>
        </w:rPr>
        <w:t xml:space="preserve">معايير الاشتمال:</w:t>
      </w:r>
      <w:r>
        <w:rPr>
          <w:rFonts w:ascii="Times New Roman" w:cs="Noto Naskh Arabic" w:eastAsia="Noto Naskh Arabic" w:hAnsi="Times New Roman"/>
          <w:sz w:val="26"/>
          <w:szCs w:val="26"/>
          <w:rtl/>
        </w:rPr>
        <w:t xml:space="preserve"> دراسات محكّمة، أو كتب أكاديمية، أو وثائق مؤسسية ذات منهجية معلنة؛ بالعربية أو الإنجليزية؛ منشورة بين ١٩٩٠ و٢٠٢٦؛ تتناول القيمة الثقافية، أو الاستشراف في حقل الثقافة، أو تقييم السياسات الثقافية، أو تحولات الوساطة الثقافية. وأُدرجت وثائق قليلة من الأدب الرمادي بوصفها دليلاً على ممارسات، مع وسمها بذلك صراحة، ودون الاستناد إليها في استنتاجات محورية.</w:t>
      </w:r>
    </w:p>
    <w:p>
      <w:pPr>
        <w:bidi/>
        <w:spacing w:after="120" w:line="336"/>
        <w:jc w:val="both"/>
      </w:pPr>
      <w:r>
        <w:rPr>
          <w:rFonts w:ascii="Times New Roman" w:cs="Noto Naskh Arabic" w:eastAsia="Noto Naskh Arabic" w:hAnsi="Times New Roman"/>
          <w:b/>
          <w:bCs/>
          <w:sz w:val="26"/>
          <w:szCs w:val="26"/>
          <w:rtl/>
        </w:rPr>
        <w:t xml:space="preserve">معايير الاستبعاد:</w:t>
      </w:r>
      <w:r>
        <w:rPr>
          <w:rFonts w:ascii="Times New Roman" w:cs="Noto Naskh Arabic" w:eastAsia="Noto Naskh Arabic" w:hAnsi="Times New Roman"/>
          <w:sz w:val="26"/>
          <w:szCs w:val="26"/>
          <w:rtl/>
        </w:rPr>
        <w:t xml:space="preserve"> المصادر الصحفية دليلاً على وقائع علمية؛ والمحتوى المجهول المؤلف أو بلا منهجية؛ والمصادر الثانوية حين يُتاح الأصل؛ والمدونات والمنتديات.</w:t>
      </w:r>
    </w:p>
    <w:p>
      <w:pPr>
        <w:bidi/>
        <w:spacing w:after="120" w:line="336"/>
        <w:jc w:val="both"/>
      </w:pPr>
      <w:r>
        <w:rPr>
          <w:rFonts w:ascii="Times New Roman" w:cs="Noto Naskh Arabic" w:eastAsia="Noto Naskh Arabic" w:hAnsi="Times New Roman"/>
          <w:b/>
          <w:bCs/>
          <w:sz w:val="26"/>
          <w:szCs w:val="26"/>
          <w:rtl/>
        </w:rPr>
        <w:t xml:space="preserve">التدفق:</w:t>
      </w:r>
      <w:r>
        <w:rPr>
          <w:rFonts w:ascii="Times New Roman" w:cs="Noto Naskh Arabic" w:eastAsia="Noto Naskh Arabic" w:hAnsi="Times New Roman"/>
          <w:sz w:val="26"/>
          <w:szCs w:val="26"/>
          <w:rtl/>
        </w:rPr>
        <w:t xml:space="preserve"> أسفرت الاستعلامات عن ١١١ سجلاً معروضاً بالمكرر، أُدرج منها في الجولة الأولى ٢٢ مصدراً، ثم أُضيفت مصادر في جولات لاحقة لحسم أسئلة محددة. ولم تُسجَّل أعداد الاستبعاد في كل مرحلة فرعية من الفرز، فلا تُعرض أرقام لها.</w:t>
      </w:r>
    </w:p>
    <w:p>
      <w:pPr>
        <w:bidi/>
        <w:spacing w:after="120" w:line="336"/>
        <w:jc w:val="both"/>
      </w:pPr>
      <w:r>
        <w:rPr>
          <w:rFonts w:ascii="Times New Roman" w:cs="Noto Naskh Arabic" w:eastAsia="Noto Naskh Arabic" w:hAnsi="Times New Roman"/>
          <w:b/>
          <w:bCs/>
          <w:sz w:val="26"/>
          <w:szCs w:val="26"/>
          <w:rtl/>
        </w:rPr>
        <w:t xml:space="preserve">حدود الاسترجاع:</w:t>
      </w:r>
      <w:r>
        <w:rPr>
          <w:rFonts w:ascii="Times New Roman" w:cs="Noto Naskh Arabic" w:eastAsia="Noto Naskh Arabic" w:hAnsi="Times New Roman"/>
          <w:sz w:val="26"/>
          <w:szCs w:val="26"/>
          <w:rtl/>
        </w:rPr>
        <w:t xml:space="preserve"> لم تُفحص قواعد البيانات الاشتراكية (</w:t>
      </w:r>
      <w:r>
        <w:rPr>
          <w:rFonts w:ascii="Times New Roman" w:cs="Noto Naskh Arabic" w:eastAsia="Noto Naskh Arabic" w:hAnsi="Times New Roman"/>
          <w:sz w:val="26"/>
          <w:szCs w:val="26"/>
          <w:rtl w:val="false"/>
        </w:rPr>
        <w:t xml:space="preserve">Web of Science</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Scopus</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JSTOR</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EconLit</w:t>
      </w:r>
      <w:r>
        <w:rPr>
          <w:rFonts w:ascii="Times New Roman" w:cs="Noto Naskh Arabic" w:eastAsia="Noto Naskh Arabic" w:hAnsi="Times New Roman"/>
          <w:sz w:val="26"/>
          <w:szCs w:val="26"/>
          <w:rtl/>
        </w:rPr>
        <w:t xml:space="preserve">)، ولا القواعد العربية الاشتراكية. ولم يشارك في الفرز محكّم ثانٍ مستقل، وهو شرط في الإرشادات المرجعية لا تستوفيه هذه المراجعة. ولذلك تصف الورقة مراجعتها بأنها «استرجاع نطاقي منظّم»، لا «مراجعة نطاقية مكتملة».</w:t>
      </w:r>
    </w:p>
    <w:p>
      <w:pPr>
        <w:pStyle w:val="Heading2"/>
        <w:bidi/>
        <w:jc w:val="right"/>
      </w:pPr>
      <w:r>
        <w:rPr>
          <w:rFonts w:ascii="Times New Roman" w:cs="Noto Naskh Arabic" w:eastAsia="Noto Naskh Arabic" w:hAnsi="Times New Roman"/>
          <w:b/>
          <w:bCs/>
          <w:color w:val="1F4E79"/>
          <w:sz w:val="28"/>
          <w:szCs w:val="28"/>
          <w:rtl/>
        </w:rPr>
        <w:t xml:space="preserve">٥-٣ قاعدة الإحصاءات</w:t>
      </w:r>
    </w:p>
    <w:p>
      <w:pPr>
        <w:bidi/>
        <w:spacing w:after="120" w:line="336"/>
        <w:jc w:val="both"/>
      </w:pPr>
      <w:r>
        <w:rPr>
          <w:rFonts w:ascii="Times New Roman" w:cs="Noto Naskh Arabic" w:eastAsia="Noto Naskh Arabic" w:hAnsi="Times New Roman"/>
          <w:sz w:val="26"/>
          <w:szCs w:val="26"/>
          <w:rtl/>
        </w:rPr>
        <w:t xml:space="preserve">بُنيت قاعدة إحصاءات مستقلة من المصادر الرسمية للجهات الدولية المُصدِرة، أساساً منظمة الأمم المتحدة للتجارة والتنمية واليونسكو. ويُسجَّل لكل مؤشر اثنا عشر حقلاً: اسمه، وتعريفه، ووحدته، وقيمته، وسنته المرجعية، ونطاقه الجغرافي، والجهة الناشرة، والمصدر الأصلي، وتاريخ الاستخراج، وأي عمليات احتساب أُجريت عليه، وقيود مقارنته، ودرجة اكتمال بياناته. ولم تُجرَ على أي من القيم المدرجة عملية احتساب؛ فكلها كما نشرتها جهاتها.</w:t>
      </w:r>
    </w:p>
    <w:p>
      <w:pPr>
        <w:bidi/>
        <w:spacing w:after="120" w:line="336"/>
        <w:jc w:val="both"/>
      </w:pPr>
      <w:r>
        <w:rPr>
          <w:rFonts w:ascii="Times New Roman" w:cs="Noto Naskh Arabic" w:eastAsia="Noto Naskh Arabic" w:hAnsi="Times New Roman"/>
          <w:sz w:val="26"/>
          <w:szCs w:val="26"/>
          <w:rtl/>
        </w:rPr>
        <w:t xml:space="preserve">وتلتزم القاعدة بثلاث قواعد. </w:t>
      </w:r>
      <w:r>
        <w:rPr>
          <w:rFonts w:ascii="Times New Roman" w:cs="Noto Naskh Arabic" w:eastAsia="Noto Naskh Arabic" w:hAnsi="Times New Roman"/>
          <w:b/>
          <w:bCs/>
          <w:sz w:val="26"/>
          <w:szCs w:val="26"/>
          <w:rtl/>
        </w:rPr>
        <w:t xml:space="preserve">الأولى</w:t>
      </w:r>
      <w:r>
        <w:rPr>
          <w:rFonts w:ascii="Times New Roman" w:cs="Noto Naskh Arabic" w:eastAsia="Noto Naskh Arabic" w:hAnsi="Times New Roman"/>
          <w:sz w:val="26"/>
          <w:szCs w:val="26"/>
          <w:rtl/>
        </w:rPr>
        <w:t xml:space="preserve"> عدم جمع مؤشرات مختلفة التعريف تحت عنوان واحد، وبخاصة مؤشرات «الاقتصاد الإبداعي» عند منظمة الأمم المتحدة للتجارة والتنمية ومؤشرات «الثقافة» عند اليونسكو. </w:t>
      </w:r>
      <w:r>
        <w:rPr>
          <w:rFonts w:ascii="Times New Roman" w:cs="Noto Naskh Arabic" w:eastAsia="Noto Naskh Arabic" w:hAnsi="Times New Roman"/>
          <w:b/>
          <w:bCs/>
          <w:sz w:val="26"/>
          <w:szCs w:val="26"/>
          <w:rtl/>
        </w:rPr>
        <w:t xml:space="preserve">والثانية</w:t>
      </w:r>
      <w:r>
        <w:rPr>
          <w:rFonts w:ascii="Times New Roman" w:cs="Noto Naskh Arabic" w:eastAsia="Noto Naskh Arabic" w:hAnsi="Times New Roman"/>
          <w:sz w:val="26"/>
          <w:szCs w:val="26"/>
          <w:rtl/>
        </w:rPr>
        <w:t xml:space="preserve"> التمييز بين الإيرادات والقيمة المضافة، وبين الصادرات والإنتاج المحلي، وبين السلع والخدمات. </w:t>
      </w:r>
      <w:r>
        <w:rPr>
          <w:rFonts w:ascii="Times New Roman" w:cs="Noto Naskh Arabic" w:eastAsia="Noto Naskh Arabic" w:hAnsi="Times New Roman"/>
          <w:b/>
          <w:bCs/>
          <w:sz w:val="26"/>
          <w:szCs w:val="26"/>
          <w:rtl/>
        </w:rPr>
        <w:t xml:space="preserve">والثالثة</w:t>
      </w:r>
      <w:r>
        <w:rPr>
          <w:rFonts w:ascii="Times New Roman" w:cs="Noto Naskh Arabic" w:eastAsia="Noto Naskh Arabic" w:hAnsi="Times New Roman"/>
          <w:sz w:val="26"/>
          <w:szCs w:val="26"/>
          <w:rtl/>
        </w:rPr>
        <w:t xml:space="preserve"> مطابقة كل رقم مأخوذ من صفحات الإطلاق أو الملخصات على متن التقرير الأصلي قبل الاعتماد النهائي.</w:t>
      </w:r>
    </w:p>
    <w:p>
      <w:pPr>
        <w:pStyle w:val="Heading2"/>
        <w:bidi/>
        <w:jc w:val="right"/>
      </w:pPr>
      <w:r>
        <w:rPr>
          <w:rFonts w:ascii="Times New Roman" w:cs="Noto Naskh Arabic" w:eastAsia="Noto Naskh Arabic" w:hAnsi="Times New Roman"/>
          <w:b/>
          <w:bCs/>
          <w:color w:val="1F4E79"/>
          <w:sz w:val="28"/>
          <w:szCs w:val="28"/>
          <w:rtl/>
        </w:rPr>
        <w:t xml:space="preserve">٥-٤ التعريف الإجرائي ومؤشرات القيمة الفكرية</w:t>
      </w:r>
    </w:p>
    <w:p>
      <w:pPr>
        <w:bidi/>
        <w:spacing w:after="120" w:line="336"/>
        <w:jc w:val="both"/>
      </w:pPr>
      <w:r>
        <w:rPr>
          <w:rFonts w:ascii="Times New Roman" w:cs="Noto Naskh Arabic" w:eastAsia="Noto Naskh Arabic" w:hAnsi="Times New Roman"/>
          <w:sz w:val="26"/>
          <w:szCs w:val="26"/>
          <w:rtl/>
        </w:rPr>
        <w:t xml:space="preserve">اتُّبع في بناء التعريف الإجرائي للقيمة الفكرية تحليلٌ مفاهيمي من ثلاث خطوات: تحديد ما يقدّمه كل مفهوم سابق (القيمة الثقافية بوصفها صفة للسلعة، والقيمة بوصفها تجربة فردية، والحيوية الثقافية)؛ ثم تحديد ما ينقصه بالنسبة إلى سؤال الورقة؛ ثم صياغة أبعاد تسدّ النقص دون أن تكرر ما هو قائم. ونتج عن ذلك أربعة أبعاد (الاستقلال، والتنوع الفاعل، والمساءلة، والتجدد)، مع قاعدة لاختيار المؤشرات تستبعد مؤشرات المخزون التي ترتفع بالكم وحده.</w:t>
      </w:r>
    </w:p>
    <w:p>
      <w:pPr>
        <w:bidi/>
        <w:spacing w:after="120" w:line="336"/>
        <w:jc w:val="both"/>
      </w:pPr>
      <w:r>
        <w:rPr>
          <w:rFonts w:ascii="Times New Roman" w:cs="Noto Naskh Arabic" w:eastAsia="Noto Naskh Arabic" w:hAnsi="Times New Roman"/>
          <w:sz w:val="26"/>
          <w:szCs w:val="26"/>
          <w:rtl/>
        </w:rPr>
        <w:t xml:space="preserve">ولكل بُعد شرط نقض: إذا ثبت أنه يتحرك دائماً مع مؤشر القيمة الثقافية أو مع مؤشر اقتصادي، فلا يضيف شيئاً ويُستبعد. وتطبيق هذا الشرط يحتاج إلى بيانات ليست متاحة بعد، فيبقى التعريف مقترحاً قابلاً للاختبار.</w:t>
      </w:r>
    </w:p>
    <w:p>
      <w:pPr>
        <w:pStyle w:val="Heading2"/>
        <w:bidi/>
        <w:jc w:val="right"/>
      </w:pPr>
      <w:r>
        <w:rPr>
          <w:rFonts w:ascii="Times New Roman" w:cs="Noto Naskh Arabic" w:eastAsia="Noto Naskh Arabic" w:hAnsi="Times New Roman"/>
          <w:b/>
          <w:bCs/>
          <w:color w:val="1F4E79"/>
          <w:sz w:val="28"/>
          <w:szCs w:val="28"/>
          <w:rtl/>
        </w:rPr>
        <w:t xml:space="preserve">٥-٥ تحليل المحركات ومصفوفة التأثير المتبادل</w:t>
      </w:r>
    </w:p>
    <w:p>
      <w:pPr>
        <w:bidi/>
        <w:spacing w:after="120" w:line="336"/>
        <w:jc w:val="both"/>
      </w:pPr>
      <w:r>
        <w:rPr>
          <w:rFonts w:ascii="Times New Roman" w:cs="Noto Naskh Arabic" w:eastAsia="Noto Naskh Arabic" w:hAnsi="Times New Roman"/>
          <w:sz w:val="26"/>
          <w:szCs w:val="26"/>
          <w:rtl/>
        </w:rPr>
        <w:t xml:space="preserve">حُدّدت ثمانية محركات للتغيير من المراجعة وقاعدة الإحصاءات: الذكاء الاصطناعي التوليدي؛ وتركّز المنصات وخوارزميات التوصية؛ ونموذج التمويل العام للثقافة؛ وأنظمة الملكية الفكرية وتوزيع العوائد؛ ومعايير تقييم السياسة الثقافية؛ واستقلال المؤسسات والقرار الفني؛ والطلب الاجتماعي على العمق الثقافي؛ والتحولات الجيوسياسية والتجارة الثقافية.</w:t>
      </w:r>
    </w:p>
    <w:p>
      <w:pPr>
        <w:bidi/>
        <w:spacing w:after="120" w:line="336"/>
        <w:jc w:val="both"/>
      </w:pPr>
      <w:r>
        <w:rPr>
          <w:rFonts w:ascii="Times New Roman" w:cs="Noto Naskh Arabic" w:eastAsia="Noto Naskh Arabic" w:hAnsi="Times New Roman"/>
          <w:sz w:val="26"/>
          <w:szCs w:val="26"/>
          <w:rtl/>
        </w:rPr>
        <w:t xml:space="preserve">وقُدّر تأثير كل محرك في كل محرك آخر على مقياس رباعي من صفر (لا تأثير) إلى ثلاثة (تأثير قوي)، ثم حُسب التأثير المباشر لكل محرك (مجموع صفه) وتبعيته المباشرة (مجموع عموده)، والتأثير والتبعية غير المباشرين من مربع المصفوفة. ولاختبار حساسية التصنيف، غُيّرت كل خلية غير صفرية بمقدار زائد أو ناقص واحد عشوائياً في خمسة آلاف تكرار، وسُجّلت نسبة التكرارات التي يُصنَّف فيها كل محرك «محركاً» (تأثير فوق المتوسط وتبعية دونه).</w:t>
      </w:r>
    </w:p>
    <w:p>
      <w:pPr>
        <w:bidi/>
        <w:spacing w:after="120" w:line="336"/>
        <w:jc w:val="both"/>
      </w:pPr>
      <w:r>
        <w:rPr>
          <w:rFonts w:ascii="Times New Roman" w:cs="Noto Naskh Arabic" w:eastAsia="Noto Naskh Arabic" w:hAnsi="Times New Roman"/>
          <w:b/>
          <w:bCs/>
          <w:sz w:val="26"/>
          <w:szCs w:val="26"/>
          <w:rtl/>
        </w:rPr>
        <w:t xml:space="preserve">إفصاح جوهري:</w:t>
      </w:r>
      <w:r>
        <w:rPr>
          <w:rFonts w:ascii="Times New Roman" w:cs="Noto Naskh Arabic" w:eastAsia="Noto Naskh Arabic" w:hAnsi="Times New Roman"/>
          <w:sz w:val="26"/>
          <w:szCs w:val="26"/>
          <w:rtl/>
        </w:rPr>
        <w:t xml:space="preserve"> درجات المصفوفة حكمٌ للباحث، لم تُعرض على لجنة خبراء ولا على جولات دلفي. وهي لذلك أداة لتنظيم الافتراضات وإظهارها للنقد، لا قياس لواقع. وتعدّ الورقة عرضها على ثلاثة خبراء مستقلين على الأقل شرطاً قبل اعتماد نتائجها في أي استخدام سياساتي.</w:t>
      </w:r>
    </w:p>
    <w:p>
      <w:pPr>
        <w:pStyle w:val="Heading2"/>
        <w:bidi/>
        <w:jc w:val="right"/>
      </w:pPr>
      <w:r>
        <w:rPr>
          <w:rFonts w:ascii="Times New Roman" w:cs="Noto Naskh Arabic" w:eastAsia="Noto Naskh Arabic" w:hAnsi="Times New Roman"/>
          <w:b/>
          <w:bCs/>
          <w:color w:val="1F4E79"/>
          <w:sz w:val="28"/>
          <w:szCs w:val="28"/>
          <w:rtl/>
        </w:rPr>
        <w:t xml:space="preserve">٥-٦ اشتقاق السيناريوهات</w:t>
      </w:r>
    </w:p>
    <w:p>
      <w:pPr>
        <w:bidi/>
        <w:spacing w:after="120" w:line="336"/>
        <w:jc w:val="both"/>
      </w:pPr>
      <w:r>
        <w:rPr>
          <w:rFonts w:ascii="Times New Roman" w:cs="Noto Naskh Arabic" w:eastAsia="Noto Naskh Arabic" w:hAnsi="Times New Roman"/>
          <w:sz w:val="26"/>
          <w:szCs w:val="26"/>
          <w:rtl/>
        </w:rPr>
        <w:t xml:space="preserve">اشتُق محورا السيناريو من المحركات وفق معيارين مجتمعين: ارتفاع التأثير المباشر أو غير المباشر، وعدم اليقين في اتجاه التطور. فالمحرك المؤثر الذي يُعرف اتجاهه — كتنامي قدرة الذكاء الاصطناعي التوليدي — يُعامل ثابتاً في جميع السيناريوهات لا محوراً. والمحرك الخارجي الذي لا تملكه السياسة الثقافية — كالجيوسياسة — يُعامل سياقاً لا محوراً.</w:t>
      </w:r>
    </w:p>
    <w:p>
      <w:pPr>
        <w:bidi/>
        <w:spacing w:after="120" w:line="336"/>
        <w:jc w:val="both"/>
      </w:pPr>
      <w:r>
        <w:rPr>
          <w:rFonts w:ascii="Times New Roman" w:cs="Noto Naskh Arabic" w:eastAsia="Noto Naskh Arabic" w:hAnsi="Times New Roman"/>
          <w:sz w:val="26"/>
          <w:szCs w:val="26"/>
          <w:rtl/>
        </w:rPr>
        <w:t xml:space="preserve">وتُعلن الورقة قيداً على هذا الاشتقاق: فالمحوران الناتجان يطابقان ما اقترحه المخطط الأولي للبحث قبل بناء المصفوفة. ولما كان الحكم في الحالتين صادراً عن الباحث نفسه، فهذا التطابق اتساق لا تأكيد مستقل.</w:t>
      </w:r>
    </w:p>
    <w:p>
      <w:pPr>
        <w:bidi/>
        <w:spacing w:after="120" w:line="336"/>
        <w:jc w:val="both"/>
      </w:pPr>
      <w:r>
        <w:rPr>
          <w:rFonts w:ascii="Times New Roman" w:cs="Noto Naskh Arabic" w:eastAsia="Noto Naskh Arabic" w:hAnsi="Times New Roman"/>
          <w:sz w:val="26"/>
          <w:szCs w:val="26"/>
          <w:rtl/>
        </w:rPr>
        <w:t xml:space="preserve">وبُنيت السيناريوهات الأربعة بوصفها تراكيب متمايزة بنيوياً لا درجات على سلّم واحد بين المتفائل والمتشائم. ولكل سيناريو منطق نشوء، ومتغيرات حاكمة، ومؤشرات إنذار، ومواطن عدم يقين.</w:t>
      </w:r>
    </w:p>
    <w:p>
      <w:pPr>
        <w:pStyle w:val="Heading2"/>
        <w:bidi/>
        <w:jc w:val="right"/>
      </w:pPr>
      <w:r>
        <w:rPr>
          <w:rFonts w:ascii="Times New Roman" w:cs="Noto Naskh Arabic" w:eastAsia="Noto Naskh Arabic" w:hAnsi="Times New Roman"/>
          <w:b/>
          <w:bCs/>
          <w:color w:val="1F4E79"/>
          <w:sz w:val="28"/>
          <w:szCs w:val="28"/>
          <w:rtl/>
        </w:rPr>
        <w:t xml:space="preserve">٥-٧ النمذجة الديناميكية</w:t>
      </w:r>
    </w:p>
    <w:p>
      <w:pPr>
        <w:bidi/>
        <w:spacing w:after="120" w:line="336"/>
        <w:jc w:val="both"/>
      </w:pPr>
      <w:r>
        <w:rPr>
          <w:rFonts w:ascii="Times New Roman" w:cs="Noto Naskh Arabic" w:eastAsia="Noto Naskh Arabic" w:hAnsi="Times New Roman"/>
          <w:sz w:val="26"/>
          <w:szCs w:val="26"/>
          <w:rtl/>
        </w:rPr>
        <w:t xml:space="preserve">بُني نموذج ديناميكي من مخزونين: مؤشر للقيمة الاقتصادية للقطاع ينمو بمعدل يرتفع مع حصة الوساطة الخوارزمية، ومؤشر للقدرة الفكرية للنظام يتراوح بين صفر وواحد. وتحكم القدرة الفكرية ثلاث قوى: تجدد ذاتي يتناسب مع الاستقلال المؤسسي ويتبع نمطاً لوجستياً، وتآكل يتناسب مع حصة الوساطة، واستجابة سياساتية تعمل على ملاحظة متأخرة زمنياً.</w:t>
      </w:r>
    </w:p>
    <w:p>
      <w:pPr>
        <w:shd w:fill="FBF5E6" w:color="auto" w:val="clear"/>
        <w:bidi w:val="false"/>
        <w:spacing w:after="160" w:before="120"/>
        <w:jc w:val="center"/>
      </w:pPr>
      <m:oMath>
        <m:f>
          <m:num>
            <m:r>
              <m:t>dEV</m:t>
            </m:r>
          </m:num>
          <m:den>
            <m:r>
              <m:t>dt</m:t>
            </m:r>
          </m:den>
        </m:f>
        <m:r>
          <m:t> = (0.04 + 0.04m)·EV,     </m:t>
        </m:r>
        <m:f>
          <m:num>
            <m:r>
              <m:t>dIC</m:t>
            </m:r>
          </m:num>
          <m:den>
            <m:r>
              <m:t>dt</m:t>
            </m:r>
          </m:den>
        </m:f>
        <m:r>
          <m:t> = a·aut·IC(1 − IC) − b·m·IC + c·max(0, </m:t>
        </m:r>
        <m:sSub>
          <m:sSubPr/>
          <m:e>
            <m:r>
              <m:t>IC</m:t>
            </m:r>
          </m:e>
          <m:sub>
            <m:r>
              <m:t>0</m:t>
            </m:r>
          </m:sub>
        </m:sSub>
        <m:r>
          <m:t> − </m:t>
        </m:r>
        <m:sSub>
          <m:sSubPr/>
          <m:e>
            <m:r>
              <m:t>IC</m:t>
            </m:r>
          </m:e>
          <m:sub>
            <m:r>
              <m:t>t−τ</m:t>
            </m:r>
          </m:sub>
        </m:sSub>
        <m:r>
          <m:t>)</m:t>
        </m:r>
      </m:oMath>
    </w:p>
    <w:p>
      <w:pPr>
        <w:bidi/>
        <w:spacing w:after="120" w:line="336"/>
        <w:jc w:val="both"/>
      </w:pPr>
      <w:r>
        <w:rPr>
          <w:rFonts w:ascii="Times New Roman" w:cs="Noto Naskh Arabic" w:eastAsia="Noto Naskh Arabic" w:hAnsi="Times New Roman"/>
          <w:sz w:val="26"/>
          <w:szCs w:val="26"/>
          <w:rtl/>
        </w:rPr>
        <w:t xml:space="preserve">وأُخذت القيم الأساسية للمعاملات (</w:t>
      </w:r>
      <w:r>
        <w:rPr>
          <w:rFonts w:ascii="Times New Roman" w:cs="Noto Naskh Arabic" w:eastAsia="Noto Naskh Arabic" w:hAnsi="Times New Roman"/>
          <w:sz w:val="26"/>
          <w:szCs w:val="26"/>
          <w:rtl w:val="false"/>
        </w:rPr>
        <w:t xml:space="preserve">a =</w:t>
      </w:r>
      <w:r>
        <w:rPr>
          <w:rFonts w:ascii="Times New Roman" w:cs="Noto Naskh Arabic" w:eastAsia="Noto Naskh Arabic" w:hAnsi="Times New Roman"/>
          <w:sz w:val="26"/>
          <w:szCs w:val="26"/>
          <w:rtl/>
        </w:rPr>
        <w:t xml:space="preserve"> ٠٫١٠، </w:t>
      </w:r>
      <w:r>
        <w:rPr>
          <w:rFonts w:ascii="Times New Roman" w:cs="Noto Naskh Arabic" w:eastAsia="Noto Naskh Arabic" w:hAnsi="Times New Roman"/>
          <w:sz w:val="26"/>
          <w:szCs w:val="26"/>
          <w:rtl w:val="false"/>
        </w:rPr>
        <w:t xml:space="preserve">b =</w:t>
      </w:r>
      <w:r>
        <w:rPr>
          <w:rFonts w:ascii="Times New Roman" w:cs="Noto Naskh Arabic" w:eastAsia="Noto Naskh Arabic" w:hAnsi="Times New Roman"/>
          <w:sz w:val="26"/>
          <w:szCs w:val="26"/>
          <w:rtl/>
        </w:rPr>
        <w:t xml:space="preserve"> ٠٫١٢، </w:t>
      </w:r>
      <w:r>
        <w:rPr>
          <w:rFonts w:ascii="Times New Roman" w:cs="Noto Naskh Arabic" w:eastAsia="Noto Naskh Arabic" w:hAnsi="Times New Roman"/>
          <w:sz w:val="26"/>
          <w:szCs w:val="26"/>
          <w:rtl w:val="false"/>
        </w:rPr>
        <w:t xml:space="preserve">aut =</w:t>
      </w:r>
      <w:r>
        <w:rPr>
          <w:rFonts w:ascii="Times New Roman" w:cs="Noto Naskh Arabic" w:eastAsia="Noto Naskh Arabic" w:hAnsi="Times New Roman"/>
          <w:sz w:val="26"/>
          <w:szCs w:val="26"/>
          <w:rtl/>
        </w:rPr>
        <w:t xml:space="preserve"> ٠٫٨، </w:t>
      </w:r>
      <w:r>
        <w:rPr>
          <w:rFonts w:ascii="Times New Roman" w:cs="Noto Naskh Arabic" w:eastAsia="Noto Naskh Arabic" w:hAnsi="Times New Roman"/>
          <w:sz w:val="26"/>
          <w:szCs w:val="26"/>
          <w:rtl w:val="false"/>
        </w:rPr>
        <w:t xml:space="preserve">τ =</w:t>
      </w:r>
      <w:r>
        <w:rPr>
          <w:rFonts w:ascii="Times New Roman" w:cs="Noto Naskh Arabic" w:eastAsia="Noto Naskh Arabic" w:hAnsi="Times New Roman"/>
          <w:sz w:val="26"/>
          <w:szCs w:val="26"/>
          <w:rtl/>
        </w:rPr>
        <w:t xml:space="preserve"> ٨ سنوات) بوصفها افتراضات معلنة غير معايَرة، وشُغّل النموذج من ٢٠٢٤ إلى ٢٠٥٠. واختُبرت حساسيته في خمسة آلاف توليفة عشوائية: بتغيير معدلي التجدد والتآكل بنسبة تصل إلى خمسين في المئة زيادة ونقصاً، وبسحب الاستقلال من توزيع منتظم بين ٠٫٣ و١٫٠. وقُورنت بنيته بنماذج رياضية معروفة لاختبار ما إذا كانت صيغته مسبوقة في حقول أخرى.</w:t>
      </w:r>
    </w:p>
    <w:p>
      <w:pPr>
        <w:bidi/>
        <w:spacing w:after="120" w:line="336"/>
        <w:jc w:val="both"/>
      </w:pPr>
      <w:r>
        <w:rPr>
          <w:rFonts w:ascii="Times New Roman" w:cs="Noto Naskh Arabic" w:eastAsia="Noto Naskh Arabic" w:hAnsi="Times New Roman"/>
          <w:sz w:val="26"/>
          <w:szCs w:val="26"/>
          <w:rtl/>
        </w:rPr>
        <w:t xml:space="preserve">وللنموذج حدّ بنيوي تعلنه الورقة قبل عرض نتائجه: فهو يتضمن في معادلته افتراض أن الوساطة الخوارزمية تُضعف القدرة الفكرية. فلا يمكنه أن يُثبت التباعد، بل يستخلص لوازم هذا الافتراض. وقيمته في ثلاثة أمور: كشف هل تنشأ عتبة من هذه البنية، وما الذي يحرّك موقعها، وأي المعطيات يمكن أن يميّز بين التباعد الحقيقي وتباعد القياس. ولا يُستشهد بأرقامه دليلاً على وقائع، وتوسم كل نتيجة منه بأنها محاكاة.</w:t>
      </w:r>
    </w:p>
    <w:p>
      <w:pPr>
        <w:pStyle w:val="Heading2"/>
        <w:bidi/>
        <w:jc w:val="right"/>
      </w:pPr>
      <w:r>
        <w:rPr>
          <w:rFonts w:ascii="Times New Roman" w:cs="Noto Naskh Arabic" w:eastAsia="Noto Naskh Arabic" w:hAnsi="Times New Roman"/>
          <w:b/>
          <w:bCs/>
          <w:color w:val="1F4E79"/>
          <w:sz w:val="28"/>
          <w:szCs w:val="28"/>
          <w:rtl/>
        </w:rPr>
        <w:t xml:space="preserve">٥-٨ اختبار «المستقبل الماضي»</w:t>
      </w:r>
    </w:p>
    <w:p>
      <w:pPr>
        <w:bidi/>
        <w:spacing w:after="120" w:line="336"/>
        <w:jc w:val="both"/>
      </w:pPr>
      <w:r>
        <w:rPr>
          <w:rFonts w:ascii="Times New Roman" w:cs="Noto Naskh Arabic" w:eastAsia="Noto Naskh Arabic" w:hAnsi="Times New Roman"/>
          <w:sz w:val="26"/>
          <w:szCs w:val="26"/>
          <w:rtl/>
        </w:rPr>
        <w:t xml:space="preserve">تختبر الورقة توقعاً استشرافياً ثقافياً قديماً على ما وقع بعده. واختيرت قضية التنميط التي طرحها فريق اليونسكو العامل سنة ١٩٩٠، لأنها صريحة الصياغة، ولأن بيانات طويلة المدى تتيح اختبارها في طبقة القيم. ويقتصر الحكم على الطبقة التي تتوفر لها بيانات؛ فلا يُعمَّم سقوط التوقع في طبقة القيم على طبقة الوساطة والسوق.</w:t>
      </w:r>
    </w:p>
    <w:p>
      <w:pPr>
        <w:pStyle w:val="Heading2"/>
        <w:bidi/>
        <w:jc w:val="right"/>
      </w:pPr>
      <w:r>
        <w:rPr>
          <w:rFonts w:ascii="Times New Roman" w:cs="Noto Naskh Arabic" w:eastAsia="Noto Naskh Arabic" w:hAnsi="Times New Roman"/>
          <w:b/>
          <w:bCs/>
          <w:color w:val="1F4E79"/>
          <w:sz w:val="28"/>
          <w:szCs w:val="28"/>
          <w:rtl/>
        </w:rPr>
        <w:t xml:space="preserve">٥-٩ تحليل المحتوى الموجَّه وتحليل القوة الإحصائية</w:t>
      </w:r>
    </w:p>
    <w:p>
      <w:pPr>
        <w:bidi/>
        <w:spacing w:after="120" w:line="336"/>
        <w:jc w:val="both"/>
      </w:pPr>
      <w:r>
        <w:rPr>
          <w:rFonts w:ascii="Times New Roman" w:cs="Noto Naskh Arabic" w:eastAsia="Noto Naskh Arabic" w:hAnsi="Times New Roman"/>
          <w:sz w:val="26"/>
          <w:szCs w:val="26"/>
          <w:rtl/>
        </w:rPr>
        <w:t xml:space="preserve">حُلّلت الأهداف المعلنة في ثلاث استراتيجيات ثقافية وطنية (الإمارات وسنغافورة وفنلندا) بتحليل محتوى موجَّه، وحدته الهدف المعلن، ودليل ترميزه أربع فئات مشتقة من التعريف الإجرائي (اقتصادية، واجتماعية، وقدرة فكرية، ومكانية)، مع ترميز بديل لكل هدف ملتبس اختباراً للحساسية، واختبار فيشر الدقيق للفروق بين الحالات (القسم التاسع). وقُدّر بمحاكاة تحليل القوة طول السلسلة الزمنية اللازم لكشف تراجع المؤشر الفاصل، تحت افتراضات مختلفة لسرعة التراجع وضوضاء البيانات (القسم الثامن). والأداتان وصفيتان استكشافيتان: الأولى لصغر العينة وانفراد المرمِّز، والثانية لأن افتراضاتها عن الضوضاء غير مقدَّرة من بيانات فعلية.</w:t>
      </w:r>
    </w:p>
    <w:p>
      <w:pPr>
        <w:pStyle w:val="Heading2"/>
        <w:bidi/>
        <w:jc w:val="right"/>
      </w:pPr>
      <w:r>
        <w:rPr>
          <w:rFonts w:ascii="Times New Roman" w:cs="Noto Naskh Arabic" w:eastAsia="Noto Naskh Arabic" w:hAnsi="Times New Roman"/>
          <w:b/>
          <w:bCs/>
          <w:color w:val="1F4E79"/>
          <w:sz w:val="28"/>
          <w:szCs w:val="28"/>
          <w:rtl/>
        </w:rPr>
        <w:t xml:space="preserve">٥-١٠ اختبار المتانة</w:t>
      </w:r>
    </w:p>
    <w:p>
      <w:pPr>
        <w:bidi/>
        <w:spacing w:after="120" w:line="336"/>
        <w:jc w:val="both"/>
      </w:pPr>
      <w:r>
        <w:rPr>
          <w:rFonts w:ascii="Times New Roman" w:cs="Noto Naskh Arabic" w:eastAsia="Noto Naskh Arabic" w:hAnsi="Times New Roman"/>
          <w:sz w:val="26"/>
          <w:szCs w:val="26"/>
          <w:rtl/>
        </w:rPr>
        <w:t xml:space="preserve">قُيّمت ست سياسات بديلة أمام السيناريوهات الأربعة، بتصنيف كل سياسة في كل سيناريو: نافعة، أو محايدة، أو ضارة. والسياسة المتينة هي التي تبقى نافعة في جميع السيناريوهات. والتقييم حكمٌ للباحث، لا تسنده المحاكاة إلا في سياسة واحدة (حماية الاستقلال المؤسسي، التي ترفع موقع العتبة في النموذج)، وتوسم نتائجه بذلك.</w:t>
      </w:r>
    </w:p>
    <w:p>
      <w:pPr>
        <w:pStyle w:val="Heading2"/>
        <w:bidi/>
        <w:jc w:val="right"/>
      </w:pPr>
      <w:r>
        <w:rPr>
          <w:rFonts w:ascii="Times New Roman" w:cs="Noto Naskh Arabic" w:eastAsia="Noto Naskh Arabic" w:hAnsi="Times New Roman"/>
          <w:b/>
          <w:bCs/>
          <w:color w:val="1F4E79"/>
          <w:sz w:val="28"/>
          <w:szCs w:val="28"/>
          <w:rtl/>
        </w:rPr>
        <w:t xml:space="preserve">٥-١١ المراجعة المضادة المنظّمة</w:t>
      </w:r>
    </w:p>
    <w:p>
      <w:pPr>
        <w:bidi/>
        <w:spacing w:after="120" w:line="336"/>
        <w:jc w:val="both"/>
      </w:pPr>
      <w:r>
        <w:rPr>
          <w:rFonts w:ascii="Times New Roman" w:cs="Noto Naskh Arabic" w:eastAsia="Noto Naskh Arabic" w:hAnsi="Times New Roman"/>
          <w:sz w:val="26"/>
          <w:szCs w:val="26"/>
          <w:rtl/>
        </w:rPr>
        <w:t xml:space="preserve">أُخضعت كل مرحلة من مراحل البحث، وكل دفعة من المتن، لإجراء مراجعة مضادة منظّم يقوم على افتراض أن كل عبارة باطلة حتى يثبت سندها. ويُطعن في ستة أنواع من العبارات: الإنشائية التي لا تحمل معلومة، والادعاء غير الموثّق، والتعميم بلا نطاق، والصفة التقييمية بلا معيار، والنسبة إلى مصدر بلا موضع، والاستعارة التي تحلّ محل الحجة. ولكل طعن ثلاثة أحكام ممكنة: الإبقاء بسند، أو التعديل (بتخفيض الصياغة أو وسمها تفسيراً للباحث)، أو الحذف. وسُجّلت الطعون وأحكامها في سجل مستقل.</w:t>
      </w:r>
    </w:p>
    <w:p>
      <w:pPr>
        <w:bidi/>
        <w:spacing w:after="120" w:line="336"/>
        <w:jc w:val="both"/>
      </w:pPr>
      <w:r>
        <w:rPr>
          <w:rFonts w:ascii="Times New Roman" w:cs="Noto Naskh Arabic" w:eastAsia="Noto Naskh Arabic" w:hAnsi="Times New Roman"/>
          <w:sz w:val="26"/>
          <w:szCs w:val="26"/>
          <w:rtl/>
        </w:rPr>
        <w:t xml:space="preserve">وقد غيّر هذا الإجراء نتائج الورقة نفسها في مواضع. فقد صُحّح به ادعاء جوهري عن الحصة الثقافية من الخدمات الإبداعية، كان قد قدّم نسبة ٠٫٦٪ بوصفها النواة الثقافية، فتبيّن أنها حدّ أدنى. وحُذفت به أرقام عن مراحل الفرز لم تكن قد سُجّلت فعلاً. وضُيّقت به صياغة الفجوة البحثية بعد العثور على سوابق للاستشراف الثقافي.</w:t>
      </w:r>
    </w:p>
    <w:p>
      <w:pPr>
        <w:pStyle w:val="Heading2"/>
        <w:bidi/>
        <w:jc w:val="right"/>
      </w:pPr>
      <w:r>
        <w:rPr>
          <w:rFonts w:ascii="Times New Roman" w:cs="Noto Naskh Arabic" w:eastAsia="Noto Naskh Arabic" w:hAnsi="Times New Roman"/>
          <w:b/>
          <w:bCs/>
          <w:color w:val="1F4E79"/>
          <w:sz w:val="28"/>
          <w:szCs w:val="28"/>
          <w:rtl/>
        </w:rPr>
        <w:t xml:space="preserve">٥-١٢ الإفصاح عن استخدام أدوات الذكاء الاصطناعي</w:t>
      </w:r>
    </w:p>
    <w:p>
      <w:pPr>
        <w:bidi/>
        <w:spacing w:after="120" w:line="336"/>
        <w:jc w:val="both"/>
      </w:pPr>
      <w:r>
        <w:rPr>
          <w:rFonts w:ascii="Times New Roman" w:cs="Noto Naskh Arabic" w:eastAsia="Noto Naskh Arabic" w:hAnsi="Times New Roman"/>
          <w:sz w:val="26"/>
          <w:szCs w:val="26"/>
          <w:rtl/>
        </w:rPr>
        <w:t xml:space="preserve">استُعين في هذا البحث بنظام ذكاء اصطناعي في استرجاع الأدبيات، والتحقق من البيانات المرجعية، وتنظيم المراحل، وبرمجة المحاكاة، وصياغة المسودات. وراجع المؤلف المحتوى، ويتحمل وحده المسؤولية العلمية عنه. وتلتزم الورقة بمتطلبات الإفصاح التي تفرضها الدورية التي تُقدَّم إليها.</w:t>
      </w:r>
    </w:p>
    <w:p>
      <w:pPr>
        <w:pStyle w:val="Heading2"/>
        <w:bidi/>
        <w:jc w:val="right"/>
      </w:pPr>
      <w:r>
        <w:rPr>
          <w:rFonts w:ascii="Times New Roman" w:cs="Noto Naskh Arabic" w:eastAsia="Noto Naskh Arabic" w:hAnsi="Times New Roman"/>
          <w:b/>
          <w:bCs/>
          <w:color w:val="1F4E79"/>
          <w:sz w:val="28"/>
          <w:szCs w:val="28"/>
          <w:rtl/>
        </w:rPr>
        <w:t xml:space="preserve">٥-١٣ حدود المنهج</w:t>
      </w:r>
    </w:p>
    <w:p>
      <w:pPr>
        <w:bidi/>
        <w:spacing w:after="120" w:line="336"/>
        <w:jc w:val="both"/>
      </w:pPr>
      <w:r>
        <w:rPr>
          <w:rFonts w:ascii="Times New Roman" w:cs="Noto Naskh Arabic" w:eastAsia="Noto Naskh Arabic" w:hAnsi="Times New Roman"/>
          <w:sz w:val="26"/>
          <w:szCs w:val="26"/>
          <w:rtl/>
        </w:rPr>
        <w:t xml:space="preserve">تتلخص حدود المنهج في خمسة: الاعتماد على أدلة ثانوية دون عمل ميداني؛ والاسترجاع من مصادر مفتوحة دون قواعد اشتراكية ودون محكّم ثانٍ؛ وصدور درجات المصفوفة واختبار المتانة عن حكم الباحث؛ وبناء النموذج على معاملات غير معايَرة وعلى افتراض يحمله في معادلته؛ وغياب بيانات عن القيمة الفكرية تتيح اختبار التعريف الإجرائي. ولا تخفي الورقة هذه الحدود، بل تجعلها جزءاً من نتائجها: فكل حدّ منها يحدّد ما يحتاج إليه البحث اللاحق لاختبار ما تقترحه.</w:t>
      </w:r>
    </w:p>
    <w:p>
      <w:pPr>
        <w:pStyle w:val="Heading1"/>
        <w:bidi/>
        <w:jc w:val="right"/>
      </w:pPr>
      <w:r>
        <w:rPr>
          <w:rFonts w:ascii="Times New Roman" w:cs="Noto Naskh Arabic" w:eastAsia="Noto Naskh Arabic" w:hAnsi="Times New Roman"/>
          <w:b/>
          <w:bCs/>
          <w:color w:val="1F4E79"/>
          <w:sz w:val="34"/>
          <w:szCs w:val="34"/>
          <w:rtl/>
        </w:rPr>
        <w:t xml:space="preserve">٦. آليات الربط بين القيمتين</w:t>
      </w:r>
    </w:p>
    <w:p>
      <w:pPr>
        <w:bidi/>
        <w:spacing w:after="120" w:line="336"/>
        <w:jc w:val="both"/>
      </w:pPr>
      <w:r>
        <w:rPr>
          <w:rFonts w:ascii="Times New Roman" w:cs="Noto Naskh Arabic" w:eastAsia="Noto Naskh Arabic" w:hAnsi="Times New Roman"/>
          <w:sz w:val="26"/>
          <w:szCs w:val="26"/>
          <w:rtl/>
        </w:rPr>
        <w:t xml:space="preserve">يسأل هذا القسم: ما الذي يصل القيمة الاقتصادية للثقافة بقيمتها الفكرية، فيجعلهما تتلازمان في ظرف وتفترقان في آخر؟ ويجيب بثلاث آليات مرشّحة، لكلٍّ منها سند في الأدبيات أو البيانات، ثم يجمعها في خريطة نظام واحدة، ويحدد ما يمكن اختباره منها وما يبقى فرضية. والآليات هنا علاقات مقترحة لا علاقات مثبتة؛ فالبيانات المتاحة — كما بيّن القسم الثالث — لا تسمح بأي استدلال سببي عن القيمة الفكرية.</w:t>
      </w:r>
    </w:p>
    <w:p>
      <w:pPr>
        <w:pStyle w:val="Heading2"/>
        <w:bidi/>
        <w:jc w:val="right"/>
      </w:pPr>
      <w:r>
        <w:rPr>
          <w:rFonts w:ascii="Times New Roman" w:cs="Noto Naskh Arabic" w:eastAsia="Noto Naskh Arabic" w:hAnsi="Times New Roman"/>
          <w:b/>
          <w:bCs/>
          <w:color w:val="1F4E79"/>
          <w:sz w:val="28"/>
          <w:szCs w:val="28"/>
          <w:rtl/>
        </w:rPr>
        <w:t xml:space="preserve">٦-١ لماذا تتلازم القيمتان أحياناً</w:t>
      </w:r>
    </w:p>
    <w:p>
      <w:pPr>
        <w:bidi/>
        <w:spacing w:after="120" w:line="336"/>
        <w:jc w:val="both"/>
      </w:pPr>
      <w:r>
        <w:rPr>
          <w:rFonts w:ascii="Times New Roman" w:cs="Noto Naskh Arabic" w:eastAsia="Noto Naskh Arabic" w:hAnsi="Times New Roman"/>
          <w:sz w:val="26"/>
          <w:szCs w:val="26"/>
          <w:rtl/>
        </w:rPr>
        <w:t xml:space="preserve">قبل البحث في أسباب الافتراق، ينبغي تثبيت أن التلازم ممكن وله آلياته. فالعائد الاقتصادي يموّل المبدعين، ويتيح لهم التفرغ، ويبني المؤسسات التي تحفظ الأعمال وتنشرها، ويوسّع الجمهور الذي يتلقاها ويناقشها. ومن هذه الزاوية، فإن نمو القطاع الثقافي اقتصادياً قد يكون شرطاً للقدرة الفكرية لا خطراً عليها. وتعترف أدبيات الاقتصاد الثقافي بهذا الوجه حين ترى أن القيمة الثقافية تؤثر في القيمة الاقتصادية دون أن تكون إياها</w:t>
      </w:r>
      <w:r>
        <w:rPr>
          <w:rStyle w:val="FootnoteReference"/>
        </w:rPr>
        <w:footnoteReference w:id="70"/>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ولهذا التثبيت أهمية منهجية: فالورقة لا تفترض أن السوق عدو للفكر، بل تسأل عن الشروط التي ينقلب فيها التلازم إلى تباعد. ومن دون هذا السؤال المشروط، تنقلب الفرضية إلى موقف أيديولوجي يرى في كل نمو اقتصادي تهديداً.</w:t>
      </w:r>
    </w:p>
    <w:p>
      <w:pPr>
        <w:pStyle w:val="Heading2"/>
        <w:bidi/>
        <w:jc w:val="right"/>
      </w:pPr>
      <w:r>
        <w:rPr>
          <w:rFonts w:ascii="Times New Roman" w:cs="Noto Naskh Arabic" w:eastAsia="Noto Naskh Arabic" w:hAnsi="Times New Roman"/>
          <w:b/>
          <w:bCs/>
          <w:color w:val="1F4E79"/>
          <w:sz w:val="28"/>
          <w:szCs w:val="28"/>
          <w:rtl/>
        </w:rPr>
        <w:t xml:space="preserve">٦-٢ الآلية الأولى: التسويغ العائدي</w:t>
      </w:r>
    </w:p>
    <w:p>
      <w:pPr>
        <w:bidi/>
        <w:spacing w:after="120" w:line="336"/>
        <w:jc w:val="both"/>
      </w:pPr>
      <w:r>
        <w:rPr>
          <w:rFonts w:ascii="Times New Roman" w:cs="Noto Naskh Arabic" w:eastAsia="Noto Naskh Arabic" w:hAnsi="Times New Roman"/>
          <w:b/>
          <w:bCs/>
          <w:sz w:val="26"/>
          <w:szCs w:val="26"/>
          <w:rtl/>
        </w:rPr>
        <w:t xml:space="preserve">الوصف.</w:t>
      </w:r>
      <w:r>
        <w:rPr>
          <w:rFonts w:ascii="Times New Roman" w:cs="Noto Naskh Arabic" w:eastAsia="Noto Naskh Arabic" w:hAnsi="Times New Roman"/>
          <w:sz w:val="26"/>
          <w:szCs w:val="26"/>
          <w:rtl/>
        </w:rPr>
        <w:t xml:space="preserve"> حين يُسوَّغ الإنفاق العام على الثقافة بعائدها الاقتصادي، تميل معايير التمويل إلى أن تكافئ ما يدرّ عائداً قابلاً للقياس. ومع الوقت، يتراجع نصيب ما لا عائد له قريباً: التجريب، والنقد، والأعمال الأولى لمؤلفين جدد، والمعرفة المتخصصة ضيقة الجمهور. فيضعف بُعد </w:t>
      </w:r>
      <w:r>
        <w:rPr>
          <w:rFonts w:ascii="Times New Roman" w:cs="Noto Naskh Arabic" w:eastAsia="Noto Naskh Arabic" w:hAnsi="Times New Roman"/>
          <w:b/>
          <w:bCs/>
          <w:sz w:val="26"/>
          <w:szCs w:val="26"/>
          <w:rtl/>
        </w:rPr>
        <w:t xml:space="preserve">الاستقلال</w:t>
      </w:r>
      <w:r>
        <w:rPr>
          <w:rFonts w:ascii="Times New Roman" w:cs="Noto Naskh Arabic" w:eastAsia="Noto Naskh Arabic" w:hAnsi="Times New Roman"/>
          <w:sz w:val="26"/>
          <w:szCs w:val="26"/>
          <w:rtl/>
        </w:rPr>
        <w:t xml:space="preserve"> من أبعاد القيمة الفكرية، ثم بُعد </w:t>
      </w:r>
      <w:r>
        <w:rPr>
          <w:rFonts w:ascii="Times New Roman" w:cs="Noto Naskh Arabic" w:eastAsia="Noto Naskh Arabic" w:hAnsi="Times New Roman"/>
          <w:b/>
          <w:bCs/>
          <w:sz w:val="26"/>
          <w:szCs w:val="26"/>
          <w:rtl/>
        </w:rPr>
        <w:t xml:space="preserve">التجدد</w:t>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السند.</w:t>
      </w:r>
      <w:r>
        <w:rPr>
          <w:rFonts w:ascii="Times New Roman" w:cs="Noto Naskh Arabic" w:eastAsia="Noto Naskh Arabic" w:hAnsi="Times New Roman"/>
          <w:sz w:val="26"/>
          <w:szCs w:val="26"/>
          <w:rtl/>
        </w:rPr>
        <w:t xml:space="preserve"> وصف </w:t>
      </w:r>
      <w:r>
        <w:rPr>
          <w:rFonts w:ascii="Times New Roman" w:cs="Noto Naskh Arabic" w:eastAsia="Noto Naskh Arabic" w:hAnsi="Times New Roman"/>
          <w:sz w:val="26"/>
          <w:szCs w:val="26"/>
          <w:rtl w:val="false"/>
        </w:rPr>
        <w:t xml:space="preserve">Mangset (2020</w:t>
      </w:r>
      <w:r>
        <w:rPr>
          <w:rFonts w:ascii="Times New Roman" w:cs="Noto Naskh Arabic" w:eastAsia="Noto Naskh Arabic" w:hAnsi="Times New Roman"/>
          <w:sz w:val="26"/>
          <w:szCs w:val="26"/>
          <w:rtl/>
        </w:rPr>
        <w:t xml:space="preserve">)</w:t>
      </w:r>
      <w:r>
        <w:rPr>
          <w:rStyle w:val="FootnoteReference"/>
        </w:rPr>
        <w:footnoteReference w:id="71"/>
      </w:r>
      <w:r>
        <w:rPr>
          <w:rFonts w:ascii="Times New Roman" w:cs="Noto Naskh Arabic" w:eastAsia="Noto Naskh Arabic" w:hAnsi="Times New Roman"/>
          <w:sz w:val="26"/>
          <w:szCs w:val="26"/>
          <w:rtl/>
        </w:rPr>
        <w:t xml:space="preserve"> تزايد تسويغ الدعم العام بآثار الثقافة خارج حقلها تحدياً من التحديات السبعة التي تواجه السياسة الثقافية، وتصف الأدبيات هذه الظاهرة بالأداتية</w:t>
      </w:r>
      <w:r>
        <w:rPr>
          <w:rStyle w:val="FootnoteReference"/>
        </w:rPr>
        <w:footnoteReference w:id="72"/>
      </w:r>
      <w:r>
        <w:rPr>
          <w:rFonts w:ascii="Times New Roman" w:cs="Noto Naskh Arabic" w:eastAsia="Noto Naskh Arabic" w:hAnsi="Times New Roman"/>
          <w:sz w:val="26"/>
          <w:szCs w:val="26"/>
          <w:rtl/>
        </w:rPr>
        <w:t xml:space="preserve">. وتكشف المقارنة في القسم التاسع أن أهداف الاستراتيجيات الثقافية قد تكون اقتصادية في معظمها، وأن الاستراتيجية التي تجعل أهدافها اقتصادية ستُقاس بمؤشرات اقتصادية.</w:t>
      </w:r>
    </w:p>
    <w:p>
      <w:pPr>
        <w:bidi/>
        <w:spacing w:after="120" w:line="336"/>
        <w:jc w:val="both"/>
      </w:pPr>
      <w:r>
        <w:rPr>
          <w:rFonts w:ascii="Times New Roman" w:cs="Noto Naskh Arabic" w:eastAsia="Noto Naskh Arabic" w:hAnsi="Times New Roman"/>
          <w:sz w:val="26"/>
          <w:szCs w:val="26"/>
          <w:rtl/>
        </w:rPr>
        <w:t xml:space="preserve">وللآلية تاريخ موثّق في الحالة البريطانية. فقد وصفت </w:t>
      </w:r>
      <w:r>
        <w:rPr>
          <w:rFonts w:ascii="Times New Roman" w:cs="Noto Naskh Arabic" w:eastAsia="Noto Naskh Arabic" w:hAnsi="Times New Roman"/>
          <w:sz w:val="26"/>
          <w:szCs w:val="26"/>
          <w:rtl w:val="false"/>
        </w:rPr>
        <w:t xml:space="preserve">Belfiore (2012</w:t>
      </w:r>
      <w:r>
        <w:rPr>
          <w:rFonts w:ascii="Times New Roman" w:cs="Noto Naskh Arabic" w:eastAsia="Noto Naskh Arabic" w:hAnsi="Times New Roman"/>
          <w:sz w:val="26"/>
          <w:szCs w:val="26"/>
          <w:rtl/>
        </w:rPr>
        <w:t xml:space="preserve">)</w:t>
      </w:r>
      <w:r>
        <w:rPr>
          <w:rStyle w:val="FootnoteReference"/>
        </w:rPr>
        <w:footnoteReference w:id="73"/>
      </w:r>
      <w:r>
        <w:rPr>
          <w:rFonts w:ascii="Times New Roman" w:cs="Noto Naskh Arabic" w:eastAsia="Noto Naskh Arabic" w:hAnsi="Times New Roman"/>
          <w:sz w:val="26"/>
          <w:szCs w:val="26"/>
          <w:rtl/>
        </w:rPr>
        <w:t xml:space="preserve"> ما سمّته «الأداتية الدفاعية» سمةً مميزة للسياسة الثقافية في عهد حكومة العمال الجديد: تسويغ الفنون بفائدتها، مع التخلي عن الجهد الذي كان يرافق هذا التسويغ عند المدافعين السابقين عن الفنون، وهو بناء تصور إيجابي للقيمة الثقافية ولكيفية أثر الفنون في الأفراد والمجتمع. وهذا الوصف قريب جداً مما تسميه الورقة «تباعد القياس» في صورته المؤسسية: فحين يُستعار مقياس الفائدة الخارجية ولا يُبنى مقياس للقيمة الداخلية، تغيب الثانية عن الخطاب الرسمي قبل أن تغيب عن الواقع.</w:t>
      </w:r>
    </w:p>
    <w:p>
      <w:pPr>
        <w:bidi/>
        <w:spacing w:after="120" w:line="336"/>
        <w:jc w:val="both"/>
      </w:pPr>
      <w:r>
        <w:rPr>
          <w:rFonts w:ascii="Times New Roman" w:cs="Noto Naskh Arabic" w:eastAsia="Noto Naskh Arabic" w:hAnsi="Times New Roman"/>
          <w:sz w:val="26"/>
          <w:szCs w:val="26"/>
          <w:rtl/>
        </w:rPr>
        <w:t xml:space="preserve">غير أن الأدبيات نفسها تقدّم ما يمنع تحويل الآلية إلى قدر. فقد ربط </w:t>
      </w:r>
      <w:r>
        <w:rPr>
          <w:rFonts w:ascii="Times New Roman" w:cs="Noto Naskh Arabic" w:eastAsia="Noto Naskh Arabic" w:hAnsi="Times New Roman"/>
          <w:sz w:val="26"/>
          <w:szCs w:val="26"/>
          <w:rtl w:val="false"/>
        </w:rPr>
        <w:t xml:space="preserve">Gray (2008</w:t>
      </w:r>
      <w:r>
        <w:rPr>
          <w:rFonts w:ascii="Times New Roman" w:cs="Noto Naskh Arabic" w:eastAsia="Noto Naskh Arabic" w:hAnsi="Times New Roman"/>
          <w:sz w:val="26"/>
          <w:szCs w:val="26"/>
          <w:rtl/>
        </w:rPr>
        <w:t xml:space="preserve">)</w:t>
      </w:r>
      <w:r>
        <w:rPr>
          <w:rStyle w:val="FootnoteReference"/>
        </w:rPr>
        <w:footnoteReference w:id="74"/>
      </w:r>
      <w:r>
        <w:rPr>
          <w:rFonts w:ascii="Times New Roman" w:cs="Noto Naskh Arabic" w:eastAsia="Noto Naskh Arabic" w:hAnsi="Times New Roman"/>
          <w:sz w:val="26"/>
          <w:szCs w:val="26"/>
          <w:rtl/>
        </w:rPr>
        <w:t xml:space="preserve"> أداتية السياسة الثقافية في المتاحف وصالات العرض البريطانية بتحولات إدارة الدولة للخدمات العامة وبإيديولوجيات الأحزاب، لكنه خلص إلى أن العاملين في القطاع قادرون على إدارة هذه العملية، وأنها ليست حتمية ولا خارجة عن السيطرة. ويتسق هذا مع موقع الاستقلال المؤسسي في نموذج الورقة: فالأداتية ضغط، والاستقلال هو ما يحدد هل يتحول الضغط إلى تآكل.</w:t>
      </w:r>
    </w:p>
    <w:p>
      <w:pPr>
        <w:bidi/>
        <w:spacing w:after="120" w:line="336"/>
        <w:jc w:val="both"/>
      </w:pPr>
      <w:r>
        <w:rPr>
          <w:rFonts w:ascii="Times New Roman" w:cs="Noto Naskh Arabic" w:eastAsia="Noto Naskh Arabic" w:hAnsi="Times New Roman"/>
          <w:b/>
          <w:bCs/>
          <w:sz w:val="26"/>
          <w:szCs w:val="26"/>
          <w:rtl/>
        </w:rPr>
        <w:t xml:space="preserve">الحلقة.</w:t>
      </w:r>
      <w:r>
        <w:rPr>
          <w:rFonts w:ascii="Times New Roman" w:cs="Noto Naskh Arabic" w:eastAsia="Noto Naskh Arabic" w:hAnsi="Times New Roman"/>
          <w:sz w:val="26"/>
          <w:szCs w:val="26"/>
          <w:rtl/>
        </w:rPr>
        <w:t xml:space="preserve"> نمو المؤشر الاقتصادي ← تقوية خطاب «الثقافة استثمار» ← معايير تمويل عائدية ← تراجع تمويل ما لا عائد له ← ضعف الاستقلال والتجدد ← لا يظهر الضعف في المؤشرات ← يستمر الخطاب. وهي </w:t>
      </w:r>
      <w:r>
        <w:rPr>
          <w:rFonts w:ascii="Times New Roman" w:cs="Noto Naskh Arabic" w:eastAsia="Noto Naskh Arabic" w:hAnsi="Times New Roman"/>
          <w:b/>
          <w:bCs/>
          <w:sz w:val="26"/>
          <w:szCs w:val="26"/>
          <w:rtl/>
        </w:rPr>
        <w:t xml:space="preserve">حلقة معزِّزة</w:t>
      </w:r>
      <w:r>
        <w:rPr>
          <w:rFonts w:ascii="Times New Roman" w:cs="Noto Naskh Arabic" w:eastAsia="Noto Naskh Arabic" w:hAnsi="Times New Roman"/>
          <w:sz w:val="26"/>
          <w:szCs w:val="26"/>
          <w:rtl/>
        </w:rPr>
        <w:t xml:space="preserve">، لأن الضعف الناتج لا يغذّي الحلقة بإشارة تصحيح، بل يمرّ غير مرئي.</w:t>
      </w:r>
    </w:p>
    <w:p>
      <w:pPr>
        <w:bidi/>
        <w:spacing w:after="120" w:line="336"/>
        <w:jc w:val="both"/>
      </w:pPr>
      <w:r>
        <w:rPr>
          <w:rFonts w:ascii="Times New Roman" w:cs="Noto Naskh Arabic" w:eastAsia="Noto Naskh Arabic" w:hAnsi="Times New Roman"/>
          <w:b/>
          <w:bCs/>
          <w:sz w:val="26"/>
          <w:szCs w:val="26"/>
          <w:rtl/>
        </w:rPr>
        <w:t xml:space="preserve">ما يمكن اختباره.</w:t>
      </w:r>
      <w:r>
        <w:rPr>
          <w:rFonts w:ascii="Times New Roman" w:cs="Noto Naskh Arabic" w:eastAsia="Noto Naskh Arabic" w:hAnsi="Times New Roman"/>
          <w:sz w:val="26"/>
          <w:szCs w:val="26"/>
          <w:rtl/>
        </w:rPr>
        <w:t xml:space="preserve"> حصة التمويل غير المشروط بالعائد في موازنات الثقافة عبر الزمن، ومقارنتها بنمو المؤشرات الاقتصادية للقطاع. والبيانات متاحة جزئياً في الموازنات العامة، لكنها تحتاج إلى إعادة تصنيف بنود الإنفاق.</w:t>
      </w:r>
    </w:p>
    <w:p>
      <w:pPr>
        <w:bidi/>
        <w:spacing w:after="120" w:line="336"/>
        <w:jc w:val="both"/>
      </w:pPr>
      <w:r>
        <w:rPr>
          <w:rFonts w:ascii="Times New Roman" w:cs="Noto Naskh Arabic" w:eastAsia="Noto Naskh Arabic" w:hAnsi="Times New Roman"/>
          <w:b/>
          <w:bCs/>
          <w:sz w:val="26"/>
          <w:szCs w:val="26"/>
          <w:rtl/>
        </w:rPr>
        <w:t xml:space="preserve">ما يضعف الآلية.</w:t>
      </w:r>
      <w:r>
        <w:rPr>
          <w:rFonts w:ascii="Times New Roman" w:cs="Noto Naskh Arabic" w:eastAsia="Noto Naskh Arabic" w:hAnsi="Times New Roman"/>
          <w:sz w:val="26"/>
          <w:szCs w:val="26"/>
          <w:rtl/>
        </w:rPr>
        <w:t xml:space="preserve"> أن تتمسك الدولة بمبدأ «مسافة الذراع»، فتفصل قرار التمويل الفني عن الجهة السياسية والاقتصادية. وهذا ما يجعل الاستقلال المؤسسي متغيراً وسيطاً في الفرضية ف١.</w:t>
      </w:r>
    </w:p>
    <w:p>
      <w:pPr>
        <w:pStyle w:val="Heading2"/>
        <w:bidi/>
        <w:jc w:val="right"/>
      </w:pPr>
      <w:r>
        <w:rPr>
          <w:rFonts w:ascii="Times New Roman" w:cs="Noto Naskh Arabic" w:eastAsia="Noto Naskh Arabic" w:hAnsi="Times New Roman"/>
          <w:b/>
          <w:bCs/>
          <w:color w:val="1F4E79"/>
          <w:sz w:val="28"/>
          <w:szCs w:val="28"/>
          <w:rtl/>
        </w:rPr>
        <w:t xml:space="preserve">٦-٣ الآلية الثانية: الانتباه الخوارزمي</w:t>
      </w:r>
    </w:p>
    <w:p>
      <w:pPr>
        <w:bidi/>
        <w:spacing w:after="120" w:line="336"/>
        <w:jc w:val="both"/>
      </w:pPr>
      <w:r>
        <w:rPr>
          <w:rFonts w:ascii="Times New Roman" w:cs="Noto Naskh Arabic" w:eastAsia="Noto Naskh Arabic" w:hAnsi="Times New Roman"/>
          <w:b/>
          <w:bCs/>
          <w:sz w:val="26"/>
          <w:szCs w:val="26"/>
          <w:rtl/>
        </w:rPr>
        <w:t xml:space="preserve">الوصف.</w:t>
      </w:r>
      <w:r>
        <w:rPr>
          <w:rFonts w:ascii="Times New Roman" w:cs="Noto Naskh Arabic" w:eastAsia="Noto Naskh Arabic" w:hAnsi="Times New Roman"/>
          <w:sz w:val="26"/>
          <w:szCs w:val="26"/>
          <w:rtl/>
        </w:rPr>
        <w:t xml:space="preserve"> حين يصل الجمهور إلى الثقافة عبر منصات توصية تُحسَّن لزيادة التفاعل، يتجه الاستهلاك إلى ما يحقق تفاعلاً سريعاً. ويتركز الاستهلاك في عدد أقل من الأعمال، بينما يتسع العرض؛ فيرتفع التنوع المعروض وينخفض التنوع المستهلَك، وهو بُعد </w:t>
      </w:r>
      <w:r>
        <w:rPr>
          <w:rFonts w:ascii="Times New Roman" w:cs="Noto Naskh Arabic" w:eastAsia="Noto Naskh Arabic" w:hAnsi="Times New Roman"/>
          <w:b/>
          <w:bCs/>
          <w:sz w:val="26"/>
          <w:szCs w:val="26"/>
          <w:rtl/>
        </w:rPr>
        <w:t xml:space="preserve">التنوع الفاعل</w:t>
      </w:r>
      <w:r>
        <w:rPr>
          <w:rFonts w:ascii="Times New Roman" w:cs="Noto Naskh Arabic" w:eastAsia="Noto Naskh Arabic" w:hAnsi="Times New Roman"/>
          <w:sz w:val="26"/>
          <w:szCs w:val="26"/>
          <w:rtl/>
        </w:rPr>
        <w:t xml:space="preserve">. ويتكيّف المنتجون مع هذا المنطق، فتصير السلعة الثقافية «طارئة» تُعاد صياغتها في ضوء بيانات التفاعل</w:t>
      </w:r>
      <w:r>
        <w:rPr>
          <w:rStyle w:val="FootnoteReference"/>
        </w:rPr>
        <w:footnoteReference w:id="75"/>
      </w:r>
      <w:r>
        <w:rPr>
          <w:rFonts w:ascii="Times New Roman" w:cs="Noto Naskh Arabic" w:eastAsia="Noto Naskh Arabic" w:hAnsi="Times New Roman"/>
          <w:sz w:val="26"/>
          <w:szCs w:val="26"/>
          <w:rtl/>
        </w:rPr>
        <w:t xml:space="preserve">، فيمسّ الأمرُ بُعد </w:t>
      </w:r>
      <w:r>
        <w:rPr>
          <w:rFonts w:ascii="Times New Roman" w:cs="Noto Naskh Arabic" w:eastAsia="Noto Naskh Arabic" w:hAnsi="Times New Roman"/>
          <w:b/>
          <w:bCs/>
          <w:sz w:val="26"/>
          <w:szCs w:val="26"/>
          <w:rtl/>
        </w:rPr>
        <w:t xml:space="preserve">الاستقلال</w:t>
      </w:r>
      <w:r>
        <w:rPr>
          <w:rFonts w:ascii="Times New Roman" w:cs="Noto Naskh Arabic" w:eastAsia="Noto Naskh Arabic" w:hAnsi="Times New Roman"/>
          <w:sz w:val="26"/>
          <w:szCs w:val="26"/>
          <w:rtl/>
        </w:rPr>
        <w:t xml:space="preserve"> من جهة ثانية.</w:t>
      </w:r>
    </w:p>
    <w:p>
      <w:pPr>
        <w:bidi/>
        <w:spacing w:after="120" w:line="336"/>
        <w:jc w:val="both"/>
      </w:pPr>
      <w:r>
        <w:rPr>
          <w:rFonts w:ascii="Times New Roman" w:cs="Noto Naskh Arabic" w:eastAsia="Noto Naskh Arabic" w:hAnsi="Times New Roman"/>
          <w:b/>
          <w:bCs/>
          <w:sz w:val="26"/>
          <w:szCs w:val="26"/>
          <w:rtl/>
        </w:rPr>
        <w:t xml:space="preserve">السند.</w:t>
      </w:r>
      <w:r>
        <w:rPr>
          <w:rFonts w:ascii="Times New Roman" w:cs="Noto Naskh Arabic" w:eastAsia="Noto Naskh Arabic" w:hAnsi="Times New Roman"/>
          <w:sz w:val="26"/>
          <w:szCs w:val="26"/>
          <w:rtl/>
        </w:rPr>
        <w:t xml:space="preserve"> تتناول أدبيات المنصّنة هذا التحول مؤسسياً، وتجعل التنوع والإبداع، والسلطة والاستقلال، محورين صريحين في تحليل أثر المنصات</w:t>
      </w:r>
      <w:r>
        <w:rPr>
          <w:rStyle w:val="FootnoteReference"/>
        </w:rPr>
        <w:footnoteReference w:id="76"/>
      </w:r>
      <w:r>
        <w:rPr>
          <w:rFonts w:ascii="Times New Roman" w:cs="Noto Naskh Arabic" w:eastAsia="Noto Naskh Arabic" w:hAnsi="Times New Roman"/>
          <w:sz w:val="26"/>
          <w:szCs w:val="26"/>
          <w:rtl/>
        </w:rPr>
        <w:t xml:space="preserve">. وتُظهر بيانات التجارة تركّزاً ملحوظاً: إذ استأثر أكبر عشرة مصدّرين بـ٧٣٪ من صادرات الخدمات الإبداعية عام ٢٠٢٤</w:t>
      </w:r>
      <w:r>
        <w:rPr>
          <w:rStyle w:val="FootnoteReference"/>
        </w:rPr>
        <w:footnoteReference w:id="77"/>
      </w:r>
      <w:r>
        <w:rPr>
          <w:rFonts w:ascii="Times New Roman" w:cs="Noto Naskh Arabic" w:eastAsia="Noto Naskh Arabic" w:hAnsi="Times New Roman"/>
          <w:sz w:val="26"/>
          <w:szCs w:val="26"/>
          <w:rtl/>
        </w:rPr>
        <w:t xml:space="preserve">. ويشير تقرير اليونسكو إلى أن حماية حقوق العمل والملكية الفكرية للفنانين ما تزال محدودة جداً في سياق الذكاء الاصطناعي وتركّز سوق المنصات الرقمية</w:t>
      </w:r>
      <w:r>
        <w:rPr>
          <w:rStyle w:val="FootnoteReference"/>
        </w:rPr>
        <w:footnoteReference w:id="78"/>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الحلقة.</w:t>
      </w:r>
      <w:r>
        <w:rPr>
          <w:rFonts w:ascii="Times New Roman" w:cs="Noto Naskh Arabic" w:eastAsia="Noto Naskh Arabic" w:hAnsi="Times New Roman"/>
          <w:sz w:val="26"/>
          <w:szCs w:val="26"/>
          <w:rtl/>
        </w:rPr>
        <w:t xml:space="preserve"> تركّز المنصات ← توصيات مرتبطة بالشعبية ← تركّز الاستهلاك ← تراجع العائد على الأعمال المتنوعة ← تراجع إنتاجها أو انتقاله إلى قوالب أكثر تفاعلاً ← تعزيز تركّز المنصات. وهي </w:t>
      </w:r>
      <w:r>
        <w:rPr>
          <w:rFonts w:ascii="Times New Roman" w:cs="Noto Naskh Arabic" w:eastAsia="Noto Naskh Arabic" w:hAnsi="Times New Roman"/>
          <w:b/>
          <w:bCs/>
          <w:sz w:val="26"/>
          <w:szCs w:val="26"/>
          <w:rtl/>
        </w:rPr>
        <w:t xml:space="preserve">حلقة معزِّزة</w:t>
      </w:r>
      <w:r>
        <w:rPr>
          <w:rFonts w:ascii="Times New Roman" w:cs="Noto Naskh Arabic" w:eastAsia="Noto Naskh Arabic" w:hAnsi="Times New Roman"/>
          <w:sz w:val="26"/>
          <w:szCs w:val="26"/>
          <w:rtl/>
        </w:rPr>
        <w:t xml:space="preserve"> أيضاً.</w:t>
      </w:r>
    </w:p>
    <w:p>
      <w:pPr>
        <w:bidi/>
        <w:spacing w:after="120" w:line="336"/>
        <w:jc w:val="both"/>
      </w:pPr>
      <w:r>
        <w:rPr>
          <w:rFonts w:ascii="Times New Roman" w:cs="Noto Naskh Arabic" w:eastAsia="Noto Naskh Arabic" w:hAnsi="Times New Roman"/>
          <w:b/>
          <w:bCs/>
          <w:sz w:val="26"/>
          <w:szCs w:val="26"/>
          <w:rtl/>
        </w:rPr>
        <w:t xml:space="preserve">حدود الاستدلال.</w:t>
      </w:r>
      <w:r>
        <w:rPr>
          <w:rFonts w:ascii="Times New Roman" w:cs="Noto Naskh Arabic" w:eastAsia="Noto Naskh Arabic" w:hAnsi="Times New Roman"/>
          <w:sz w:val="26"/>
          <w:szCs w:val="26"/>
          <w:rtl/>
        </w:rPr>
        <w:t xml:space="preserve"> التركّز في السوق ليس دليلاً على التجانس في المعنى، كما بيّن اختبار المستقبل الماضي في القسم الثالث: فالقيم تباعدت عالمياً رغم تركّز الوساطة</w:t>
      </w:r>
      <w:r>
        <w:rPr>
          <w:rStyle w:val="FootnoteReference"/>
        </w:rPr>
        <w:footnoteReference w:id="79"/>
      </w:r>
      <w:r>
        <w:rPr>
          <w:rFonts w:ascii="Times New Roman" w:cs="Noto Naskh Arabic" w:eastAsia="Noto Naskh Arabic" w:hAnsi="Times New Roman"/>
          <w:sz w:val="26"/>
          <w:szCs w:val="26"/>
          <w:rtl/>
        </w:rPr>
        <w:t xml:space="preserve">. ولذلك تُقصر الورقة أثر هذه الآلية على بُعدي التنوع الفاعل والاستقلال في طبقة الوساطة، ولا تمدّه إلى طبقة القيم.</w:t>
      </w:r>
    </w:p>
    <w:p>
      <w:pPr>
        <w:bidi/>
        <w:spacing w:after="120" w:line="336"/>
        <w:jc w:val="both"/>
      </w:pPr>
      <w:r>
        <w:rPr>
          <w:rFonts w:ascii="Times New Roman" w:cs="Noto Naskh Arabic" w:eastAsia="Noto Naskh Arabic" w:hAnsi="Times New Roman"/>
          <w:b/>
          <w:bCs/>
          <w:sz w:val="26"/>
          <w:szCs w:val="26"/>
          <w:rtl/>
        </w:rPr>
        <w:t xml:space="preserve">ما يمكن اختباره.</w:t>
      </w:r>
      <w:r>
        <w:rPr>
          <w:rFonts w:ascii="Times New Roman" w:cs="Noto Naskh Arabic" w:eastAsia="Noto Naskh Arabic" w:hAnsi="Times New Roman"/>
          <w:sz w:val="26"/>
          <w:szCs w:val="26"/>
          <w:rtl/>
        </w:rPr>
        <w:t xml:space="preserve"> مقارنة تنوع العرض بتنوع الاستهلاك على المنصات الكبرى. وهذه البيانات تحتفظ بها المنصات ولا تُتاح للعموم، فالاختبار ممكن نظرياً ومتعذّر عملياً دون إطار تنظيمي يلزم بالإفصاح.</w:t>
      </w:r>
    </w:p>
    <w:p>
      <w:pPr>
        <w:bidi/>
        <w:spacing w:after="120" w:line="336"/>
        <w:jc w:val="both"/>
      </w:pPr>
      <w:r>
        <w:rPr>
          <w:rFonts w:ascii="Times New Roman" w:cs="Noto Naskh Arabic" w:eastAsia="Noto Naskh Arabic" w:hAnsi="Times New Roman"/>
          <w:b/>
          <w:bCs/>
          <w:sz w:val="26"/>
          <w:szCs w:val="26"/>
          <w:rtl/>
        </w:rPr>
        <w:t xml:space="preserve">دليل مضاد: حين يكافئ السوق التنوع.</w:t>
      </w:r>
      <w:r>
        <w:rPr>
          <w:rFonts w:ascii="Times New Roman" w:cs="Noto Naskh Arabic" w:eastAsia="Noto Naskh Arabic" w:hAnsi="Times New Roman"/>
          <w:sz w:val="26"/>
          <w:szCs w:val="26"/>
          <w:rtl/>
        </w:rPr>
        <w:t xml:space="preserve"> أهم ما وجدته الجولة الثانية من الأدلة يناقض الصيغة البسيطة لهذه الآلية. فقد درس </w:t>
      </w:r>
      <w:r>
        <w:rPr>
          <w:rFonts w:ascii="Times New Roman" w:cs="Noto Naskh Arabic" w:eastAsia="Noto Naskh Arabic" w:hAnsi="Times New Roman"/>
          <w:sz w:val="26"/>
          <w:szCs w:val="26"/>
          <w:rtl w:val="false"/>
        </w:rPr>
        <w:t xml:space="preserve">Anderson</w:t>
      </w:r>
      <w:r>
        <w:rPr>
          <w:rFonts w:ascii="Times New Roman" w:cs="Noto Naskh Arabic" w:eastAsia="Noto Naskh Arabic" w:hAnsi="Times New Roman"/>
          <w:sz w:val="26"/>
          <w:szCs w:val="26"/>
          <w:rtl/>
        </w:rPr>
        <w:t xml:space="preserve"> وزملاؤه (</w:t>
      </w:r>
      <w:r>
        <w:rPr>
          <w:rFonts w:ascii="Times New Roman" w:cs="Noto Naskh Arabic" w:eastAsia="Noto Naskh Arabic" w:hAnsi="Times New Roman"/>
          <w:sz w:val="26"/>
          <w:szCs w:val="26"/>
          <w:rtl w:val="false"/>
        </w:rPr>
        <w:t xml:space="preserve">2020</w:t>
      </w:r>
      <w:r>
        <w:rPr>
          <w:rFonts w:ascii="Times New Roman" w:cs="Noto Naskh Arabic" w:eastAsia="Noto Naskh Arabic" w:hAnsi="Times New Roman"/>
          <w:sz w:val="26"/>
          <w:szCs w:val="26"/>
          <w:rtl/>
        </w:rPr>
        <w:t xml:space="preserve">)، في بحث مشترك بين جامعة تورنتو وشركة </w:t>
      </w:r>
      <w:r>
        <w:rPr>
          <w:rFonts w:ascii="Times New Roman" w:cs="Noto Naskh Arabic" w:eastAsia="Noto Naskh Arabic" w:hAnsi="Times New Roman"/>
          <w:sz w:val="26"/>
          <w:szCs w:val="26"/>
          <w:rtl w:val="false"/>
        </w:rPr>
        <w:t xml:space="preserve">Spotify</w:t>
      </w:r>
      <w:r>
        <w:rPr>
          <w:rFonts w:ascii="Times New Roman" w:cs="Noto Naskh Arabic" w:eastAsia="Noto Naskh Arabic" w:hAnsi="Times New Roman"/>
          <w:sz w:val="26"/>
          <w:szCs w:val="26"/>
          <w:rtl/>
        </w:rPr>
        <w:t xml:space="preserve">، تنوع الاستماع لدى مستخدمي المنصة، فوجدوا ثلاثة أمور. الأول أن الاستماع الذي تقوده الخوارزمية أقل تنوعاً في الغالب من الاستماع الذي يختاره المستخدم بنفسه، وأن المستخدمين الذين زاد تنوعهم مع الوقت فعلوا ذلك بزيادة اختيارهم الذاتي وتقليل اعتمادهم على التوصية. وهذا يسند الآلية. لكن الأمر الثاني يعاكسها من جهة أخرى: فالتنوع العالي في الاستهلاك ارتبط ارتباطاً قوياً بمقاييس اقتصادية طويلة المدى للمنصة نفسها؛ إذ كان المستخدمون واسعو التنوع أقل ميلاً إلى ترك المنصة بما يصل إلى ٢٥ نقطة مئوية، وأكثر ميلاً إلى الاشتراك المدفوع بما يصل إلى ٣٥ نقطة مئوية، بعد ضبط مستوى النشاط. والأمر الثالث أن تجربة عشوائية على ٥٤٠ ألف مستخدم أظهرت أن ترتيب التوصيات بحسب الملاءمة بدلاً من الشعبية رفع الاستماع لدى الفئتين.</w:t>
      </w:r>
    </w:p>
    <w:p>
      <w:pPr>
        <w:bidi/>
        <w:spacing w:after="120" w:line="336"/>
        <w:jc w:val="both"/>
      </w:pP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ويعني ذلك أن مصلحة المنصة الاقتصادية بعيدة المدى قد تلتقي مع التنوع لا أن تعاكسه؛ فالتنوع يحتفظ بالمستخدم ويحوّله إلى دافع. فإذا صحّ هذا على نطاق أوسع، فإن الآلية الثانية ليست قانوناً للسوق، بل نتيجة لتحسين الخوارزميات لمقاييس قصيرة المدى على حساب مقاييس طويلة المدى. وهذا يغيّر طبيعة المحور (أ) في السيناريوهات: فحوكمة الوساطة لا تتحقق بالتنظيم وحده، بل قد تتحقق أيضاً بتحالف بين التنظيم ومصلحة المنصات في الاحتفاظ بمستخدميها.</w:t>
      </w:r>
    </w:p>
    <w:p>
      <w:pPr>
        <w:bidi/>
        <w:spacing w:after="120" w:line="336"/>
        <w:jc w:val="both"/>
      </w:pPr>
      <w:r>
        <w:rPr>
          <w:rFonts w:ascii="Times New Roman" w:cs="Noto Naskh Arabic" w:eastAsia="Noto Naskh Arabic" w:hAnsi="Times New Roman"/>
          <w:sz w:val="26"/>
          <w:szCs w:val="26"/>
          <w:rtl/>
        </w:rPr>
        <w:t xml:space="preserve">ولهذا الدليل ثلاثة حدود. فالارتباط بين التنوع والاحتفاظ بالمستخدم ليس سببية، وقد يكون المستخدمون واسعو التنوع أكثر اهتماماً بالموسيقى أصلاً. والدراسة على منصة واحدة وفي مجال واحد. والباحثون أربعة منهم من موظفي المنصة. ومع ذلك، فهو الدليل التجريبي الأوضح الذي وجدته الورقة على العلاقة بين القيمة الاقتصادية والتنوع الفاعل، وهو يشير إلى </w:t>
      </w:r>
      <w:r>
        <w:rPr>
          <w:rFonts w:ascii="Times New Roman" w:cs="Noto Naskh Arabic" w:eastAsia="Noto Naskh Arabic" w:hAnsi="Times New Roman"/>
          <w:b/>
          <w:bCs/>
          <w:sz w:val="26"/>
          <w:szCs w:val="26"/>
          <w:rtl/>
        </w:rPr>
        <w:t xml:space="preserve">تلازم</w:t>
      </w:r>
      <w:r>
        <w:rPr>
          <w:rFonts w:ascii="Times New Roman" w:cs="Noto Naskh Arabic" w:eastAsia="Noto Naskh Arabic" w:hAnsi="Times New Roman"/>
          <w:sz w:val="26"/>
          <w:szCs w:val="26"/>
          <w:rtl/>
        </w:rPr>
        <w:t xml:space="preserve"> لا إلى تباعد.</w:t>
      </w:r>
    </w:p>
    <w:p>
      <w:pPr>
        <w:pStyle w:val="Heading2"/>
        <w:bidi/>
        <w:jc w:val="right"/>
      </w:pPr>
      <w:r>
        <w:rPr>
          <w:rFonts w:ascii="Times New Roman" w:cs="Noto Naskh Arabic" w:eastAsia="Noto Naskh Arabic" w:hAnsi="Times New Roman"/>
          <w:b/>
          <w:bCs/>
          <w:color w:val="1F4E79"/>
          <w:sz w:val="28"/>
          <w:szCs w:val="28"/>
          <w:rtl/>
        </w:rPr>
        <w:t xml:space="preserve">٦-٤ الآلية الثالثة: الذكاء الاصطناعي التوليدي وتوزيع العوائد</w:t>
      </w:r>
    </w:p>
    <w:p>
      <w:pPr>
        <w:bidi/>
        <w:spacing w:after="120" w:line="336"/>
        <w:jc w:val="both"/>
      </w:pPr>
      <w:r>
        <w:rPr>
          <w:rFonts w:ascii="Times New Roman" w:cs="Noto Naskh Arabic" w:eastAsia="Noto Naskh Arabic" w:hAnsi="Times New Roman"/>
          <w:b/>
          <w:bCs/>
          <w:sz w:val="26"/>
          <w:szCs w:val="26"/>
          <w:rtl/>
        </w:rPr>
        <w:t xml:space="preserve">الوصف.</w:t>
      </w:r>
      <w:r>
        <w:rPr>
          <w:rFonts w:ascii="Times New Roman" w:cs="Noto Naskh Arabic" w:eastAsia="Noto Naskh Arabic" w:hAnsi="Times New Roman"/>
          <w:sz w:val="26"/>
          <w:szCs w:val="26"/>
          <w:rtl/>
        </w:rPr>
        <w:t xml:space="preserve"> يغيّر الذكاء الاصطناعي التوليدي معادلة القيمة من طرفيها. فهو يخفّض كلفة إنتاج المحتوى إلى حدّ يجعل الوفرة نفسها ضغطاً على العائد للفرد المبدع. وهو يُدرَّب على أعمال المبدعين، فيطرح سؤال توزيع العائد الناتج عن هذا التدريب. وإذا لم يعد للمبدع نصيب من القيمة التي يولّدها عمله، فقد يتراجع حافز الإنتاج الأصيل، فيضعف بُعد </w:t>
      </w:r>
      <w:r>
        <w:rPr>
          <w:rFonts w:ascii="Times New Roman" w:cs="Noto Naskh Arabic" w:eastAsia="Noto Naskh Arabic" w:hAnsi="Times New Roman"/>
          <w:b/>
          <w:bCs/>
          <w:sz w:val="26"/>
          <w:szCs w:val="26"/>
          <w:rtl/>
        </w:rPr>
        <w:t xml:space="preserve">التجدد</w:t>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السند.</w:t>
      </w:r>
      <w:r>
        <w:rPr>
          <w:rFonts w:ascii="Times New Roman" w:cs="Noto Naskh Arabic" w:eastAsia="Noto Naskh Arabic" w:hAnsi="Times New Roman"/>
          <w:sz w:val="26"/>
          <w:szCs w:val="26"/>
          <w:rtl/>
        </w:rPr>
        <w:t xml:space="preserve"> تنتقد اليونسكو أن حوكمة الذكاء الاصطناعي ما تزال تُغفل القطاعات الإبداعية، وتدعو إلى إشراك الفاعلين الثقافيين في صياغة أطرها</w:t>
      </w:r>
      <w:r>
        <w:rPr>
          <w:rStyle w:val="FootnoteReference"/>
        </w:rPr>
        <w:footnoteReference w:id="80"/>
      </w:r>
      <w:r>
        <w:rPr>
          <w:rFonts w:ascii="Times New Roman" w:cs="Noto Naskh Arabic" w:eastAsia="Noto Naskh Arabic" w:hAnsi="Times New Roman"/>
          <w:sz w:val="26"/>
          <w:szCs w:val="26"/>
          <w:rtl/>
        </w:rPr>
        <w:t xml:space="preserve">. وتشير بيانات منظمة الأمم المتحدة للتجارة والتنمية إلى أن الذكاء الاصطناعي يولّد النصوص والأفلام والموسيقى والصور ويحلّل بيانات المستخدمين</w:t>
      </w:r>
      <w:r>
        <w:rPr>
          <w:rStyle w:val="FootnoteReference"/>
        </w:rPr>
        <w:footnoteReference w:id="81"/>
      </w:r>
      <w:r>
        <w:rPr>
          <w:rFonts w:ascii="Times New Roman" w:cs="Noto Naskh Arabic" w:eastAsia="Noto Naskh Arabic" w:hAnsi="Times New Roman"/>
          <w:sz w:val="26"/>
          <w:szCs w:val="26"/>
          <w:rtl/>
        </w:rPr>
        <w:t xml:space="preserve">. وقدّرت دراسة أجرتها شركة </w:t>
      </w:r>
      <w:r>
        <w:rPr>
          <w:rFonts w:ascii="Times New Roman" w:cs="Noto Naskh Arabic" w:eastAsia="Noto Naskh Arabic" w:hAnsi="Times New Roman"/>
          <w:sz w:val="26"/>
          <w:szCs w:val="26"/>
          <w:rtl w:val="false"/>
        </w:rPr>
        <w:t xml:space="preserve">PMP Strategy</w:t>
      </w:r>
      <w:r>
        <w:rPr>
          <w:rFonts w:ascii="Times New Roman" w:cs="Noto Naskh Arabic" w:eastAsia="Noto Naskh Arabic" w:hAnsi="Times New Roman"/>
          <w:sz w:val="26"/>
          <w:szCs w:val="26"/>
          <w:rtl/>
        </w:rPr>
        <w:t xml:space="preserve"> لحساب الاتحاد الدولي لجمعيات المؤلفين والملحنين (</w:t>
      </w:r>
      <w:r>
        <w:rPr>
          <w:rFonts w:ascii="Times New Roman" w:cs="Noto Naskh Arabic" w:eastAsia="Noto Naskh Arabic" w:hAnsi="Times New Roman"/>
          <w:sz w:val="26"/>
          <w:szCs w:val="26"/>
          <w:rtl w:val="false"/>
        </w:rPr>
        <w:t xml:space="preserve">CISAC</w:t>
      </w:r>
      <w:r>
        <w:rPr>
          <w:rFonts w:ascii="Times New Roman" w:cs="Noto Naskh Arabic" w:eastAsia="Noto Naskh Arabic" w:hAnsi="Times New Roman"/>
          <w:sz w:val="26"/>
          <w:szCs w:val="26"/>
          <w:rtl/>
        </w:rPr>
        <w:t xml:space="preserve">) أن ٢٤٪ من إيرادات المبدعين في الموسيقى و٢١٪ في القطاع السمعي البصري معرّضة للفقد بحلول ٢٠٢٨، أي ما يقارب ٢٢ مليار يورو تراكمياً في خمس سنوات، وأن سوق المحتوى الموسيقي والسمعي البصري المولَّد قد يرتفع من نحو ٣ مليارات يورو إلى ٦٤ ملياراً في ٢٠٢٨</w:t>
      </w:r>
      <w:r>
        <w:rPr>
          <w:rStyle w:val="FootnoteReference"/>
        </w:rPr>
        <w:footnoteReference w:id="82"/>
      </w:r>
      <w:r>
        <w:rPr>
          <w:rFonts w:ascii="Times New Roman" w:cs="Noto Naskh Arabic" w:eastAsia="Noto Naskh Arabic" w:hAnsi="Times New Roman"/>
          <w:sz w:val="26"/>
          <w:szCs w:val="26"/>
          <w:rtl/>
        </w:rPr>
        <w:t xml:space="preserve">. وتبلغ النسبة المعرّضة للفقد ٥٦٪ لدى المترجمين ومعدّي الدبلجة والترجمة المرئية.</w:t>
      </w:r>
    </w:p>
    <w:p>
      <w:pPr>
        <w:bidi/>
        <w:spacing w:after="120" w:line="336"/>
        <w:jc w:val="both"/>
      </w:pPr>
      <w:r>
        <w:rPr>
          <w:rFonts w:ascii="Times New Roman" w:cs="Noto Naskh Arabic" w:eastAsia="Noto Naskh Arabic" w:hAnsi="Times New Roman"/>
          <w:sz w:val="26"/>
          <w:szCs w:val="26"/>
          <w:rtl/>
        </w:rPr>
        <w:t xml:space="preserve">ويجب قراءة هذه الأرقام بثلاثة تحفظات: أنها توقعات مبنية على افتراضات اختراق السوق لا بيانات مرصودة؛ وأن الدراسة كلّفت بها جهة تمثل أصحاب الحقوق وتستعملها في المطالبة بالتنظيم؛ وأن منهجيتها التفصيلية في وثيقة منفصلة لم تُفحص. فهي تسند </w:t>
      </w:r>
      <w:r>
        <w:rPr>
          <w:rFonts w:ascii="Times New Roman" w:cs="Noto Naskh Arabic" w:eastAsia="Noto Naskh Arabic" w:hAnsi="Times New Roman"/>
          <w:b/>
          <w:bCs/>
          <w:sz w:val="26"/>
          <w:szCs w:val="26"/>
          <w:rtl/>
        </w:rPr>
        <w:t xml:space="preserve">اتجاه</w:t>
      </w:r>
      <w:r>
        <w:rPr>
          <w:rFonts w:ascii="Times New Roman" w:cs="Noto Naskh Arabic" w:eastAsia="Noto Naskh Arabic" w:hAnsi="Times New Roman"/>
          <w:sz w:val="26"/>
          <w:szCs w:val="26"/>
          <w:rtl/>
        </w:rPr>
        <w:t xml:space="preserve"> الآلية الثالثة — أن العائد قد ينتقل من المبدعين إلى مزودي التقنية — ولا تسند مقاديرها.</w:t>
      </w:r>
    </w:p>
    <w:p>
      <w:pPr>
        <w:bidi/>
        <w:spacing w:after="120" w:line="336"/>
        <w:jc w:val="both"/>
      </w:pPr>
      <w:r>
        <w:rPr>
          <w:rFonts w:ascii="Times New Roman" w:cs="Noto Naskh Arabic" w:eastAsia="Noto Naskh Arabic" w:hAnsi="Times New Roman"/>
          <w:b/>
          <w:bCs/>
          <w:sz w:val="26"/>
          <w:szCs w:val="26"/>
          <w:rtl/>
        </w:rPr>
        <w:t xml:space="preserve">الحلقة.</w:t>
      </w:r>
      <w:r>
        <w:rPr>
          <w:rFonts w:ascii="Times New Roman" w:cs="Noto Naskh Arabic" w:eastAsia="Noto Naskh Arabic" w:hAnsi="Times New Roman"/>
          <w:sz w:val="26"/>
          <w:szCs w:val="26"/>
          <w:rtl/>
        </w:rPr>
        <w:t xml:space="preserve"> وفرة المحتوى المولَّد ← انخفاض العائد للعمل المفرد ← تراجع قدرة المبدعين على التفرغ ← تراجع الأعمال الأصيلة الجديدة ← اعتماد أكبر على المحتوى المولَّد. وتنكسر الحلقة إن وُجدت آلية لتوزيع عوائد التدريب على المبدعين، وهو ما يجعل الملكية الفكرية نقطة رافعة.</w:t>
      </w:r>
    </w:p>
    <w:p>
      <w:pPr>
        <w:bidi/>
        <w:spacing w:after="120" w:line="336"/>
        <w:jc w:val="both"/>
      </w:pPr>
      <w:r>
        <w:rPr>
          <w:rFonts w:ascii="Times New Roman" w:cs="Noto Naskh Arabic" w:eastAsia="Noto Naskh Arabic" w:hAnsi="Times New Roman"/>
          <w:b/>
          <w:bCs/>
          <w:sz w:val="26"/>
          <w:szCs w:val="26"/>
          <w:rtl/>
        </w:rPr>
        <w:t xml:space="preserve">درجة اليقين.</w:t>
      </w:r>
      <w:r>
        <w:rPr>
          <w:rFonts w:ascii="Times New Roman" w:cs="Noto Naskh Arabic" w:eastAsia="Noto Naskh Arabic" w:hAnsi="Times New Roman"/>
          <w:sz w:val="26"/>
          <w:szCs w:val="26"/>
          <w:rtl/>
        </w:rPr>
        <w:t xml:space="preserve"> هذه الآلية أضعف الثلاث سنداً تجريبياً، لأن انتشار الذكاء الاصطناعي التوليدي في الإنتاج الثقافي حديث، ولم تتراكم بعد سلاسل مرصودة تكفي لقياس أثره؛ وما يتوفر توقعات صادرة عن أطراف معنية. ولذلك تُعامل في الورقة فرضية استشرافية لا آلية مرصودة.</w:t>
      </w:r>
    </w:p>
    <w:p>
      <w:pPr>
        <w:pStyle w:val="Heading2"/>
        <w:bidi/>
        <w:jc w:val="right"/>
      </w:pPr>
      <w:r>
        <w:rPr>
          <w:rFonts w:ascii="Times New Roman" w:cs="Noto Naskh Arabic" w:eastAsia="Noto Naskh Arabic" w:hAnsi="Times New Roman"/>
          <w:b/>
          <w:bCs/>
          <w:color w:val="1F4E79"/>
          <w:sz w:val="28"/>
          <w:szCs w:val="28"/>
          <w:rtl/>
        </w:rPr>
        <w:t xml:space="preserve">٦-٥ الحلقة الموازِنة: استجابة السياسة</w:t>
      </w:r>
    </w:p>
    <w:p>
      <w:pPr>
        <w:bidi/>
        <w:spacing w:after="120" w:line="336"/>
        <w:jc w:val="both"/>
      </w:pPr>
      <w:r>
        <w:rPr>
          <w:rFonts w:ascii="Times New Roman" w:cs="Noto Naskh Arabic" w:eastAsia="Noto Naskh Arabic" w:hAnsi="Times New Roman"/>
          <w:sz w:val="26"/>
          <w:szCs w:val="26"/>
          <w:rtl/>
        </w:rPr>
        <w:t xml:space="preserve">في مقابل الحلقات المعزِّزة الثلاث، تعمل حلقة موازِنة واحدة: حين يُرصد تراجع في التنوع أو التجدد، قد تتدخل السياسة بحصص للمحتوى المحلي، أو تمويل مستقل، أو قواعد للمنصات. غير أن هذه الحلقة تعمل بشرطين لا تعمل بهما الحلقات المعزِّزة.</w:t>
      </w:r>
    </w:p>
    <w:p>
      <w:pPr>
        <w:bidi/>
        <w:spacing w:after="120" w:line="336"/>
        <w:jc w:val="both"/>
      </w:pPr>
      <w:r>
        <w:rPr>
          <w:rFonts w:ascii="Times New Roman" w:cs="Noto Naskh Arabic" w:eastAsia="Noto Naskh Arabic" w:hAnsi="Times New Roman"/>
          <w:b/>
          <w:bCs/>
          <w:sz w:val="26"/>
          <w:szCs w:val="26"/>
          <w:rtl/>
        </w:rPr>
        <w:t xml:space="preserve">الشرط الأول أن يُرصد التراجع.</w:t>
      </w:r>
      <w:r>
        <w:rPr>
          <w:rFonts w:ascii="Times New Roman" w:cs="Noto Naskh Arabic" w:eastAsia="Noto Naskh Arabic" w:hAnsi="Times New Roman"/>
          <w:sz w:val="26"/>
          <w:szCs w:val="26"/>
          <w:rtl/>
        </w:rPr>
        <w:t xml:space="preserve"> والحلقات المعزِّزة الثلاث تمسّ أبعاداً من القيمة الفكرية لا تقيسها المؤشرات المتاحة. فالحلقة الموازِنة معطّلة جزئياً في مدخلها: لا تستطيع أن تستجيب لما لا تراه. وهذا الارتباط بين الآلية والقياس هو ما يجعل «تباعد القياس» ليس مجرد مشكلة معرفية، بل مشكلة في ديناميكا النظام نفسه.</w:t>
      </w:r>
    </w:p>
    <w:p>
      <w:pPr>
        <w:bidi/>
        <w:spacing w:after="120" w:line="336"/>
        <w:jc w:val="both"/>
      </w:pPr>
      <w:r>
        <w:rPr>
          <w:rFonts w:ascii="Times New Roman" w:cs="Noto Naskh Arabic" w:eastAsia="Noto Naskh Arabic" w:hAnsi="Times New Roman"/>
          <w:b/>
          <w:bCs/>
          <w:sz w:val="26"/>
          <w:szCs w:val="26"/>
          <w:rtl/>
        </w:rPr>
        <w:t xml:space="preserve">الشرط الثاني التأخر.</w:t>
      </w:r>
      <w:r>
        <w:rPr>
          <w:rFonts w:ascii="Times New Roman" w:cs="Noto Naskh Arabic" w:eastAsia="Noto Naskh Arabic" w:hAnsi="Times New Roman"/>
          <w:sz w:val="26"/>
          <w:szCs w:val="26"/>
          <w:rtl/>
        </w:rPr>
        <w:t xml:space="preserve"> فبين حدوث التراجع ورصده وصياغة الاستجابة وتنفيذها سنوات. وفي النموذج الديناميكي (القسم الثامن) قُدّر هذا التأخر بثماني سنوات افتراضاً، وتبيّن أن الاستجابة المتأخرة تخفف التراجع ولا تمنعه.</w:t>
      </w:r>
    </w:p>
    <w:p>
      <w:pPr>
        <w:bidi/>
        <w:spacing w:after="120" w:line="336"/>
        <w:jc w:val="both"/>
      </w:pP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وتنتج عن هذين الشرطين خاصية بنيوية في النظام: أن الحلقات التي تضعف القدرة الفكرية تعمل تلقائياً وبسرعة، والحلقة التي تحميها تعمل بقرار وبتأخر، ومعطلة جزئياً في مدخلها. وهذا لا يعني أن التباعد حتمي، بل يعني أن غياب التدخل ليس حياداً، وأن تحسين القياس ليس ترفاً تقنياً بل إصلاح لمدخل الحلقة الموازِنة.</w:t>
      </w:r>
    </w:p>
    <w:p>
      <w:pPr>
        <w:pStyle w:val="Heading2"/>
        <w:bidi/>
        <w:jc w:val="right"/>
      </w:pPr>
      <w:r>
        <w:rPr>
          <w:rFonts w:ascii="Times New Roman" w:cs="Noto Naskh Arabic" w:eastAsia="Noto Naskh Arabic" w:hAnsi="Times New Roman"/>
          <w:b/>
          <w:bCs/>
          <w:color w:val="1F4E79"/>
          <w:sz w:val="28"/>
          <w:szCs w:val="28"/>
          <w:rtl/>
        </w:rPr>
        <w:t xml:space="preserve">٦-٦ خريطة النظام</w:t>
      </w:r>
    </w:p>
    <w:p>
      <w:pPr>
        <w:bidi/>
        <w:spacing w:after="120" w:line="336"/>
        <w:jc w:val="both"/>
      </w:pPr>
      <w:r>
        <w:rPr>
          <w:rFonts w:ascii="Times New Roman" w:cs="Noto Naskh Arabic" w:eastAsia="Noto Naskh Arabic" w:hAnsi="Times New Roman"/>
          <w:sz w:val="26"/>
          <w:szCs w:val="26"/>
          <w:rtl/>
        </w:rPr>
        <w:t xml:space="preserve">تجتمع الآليات في خريطة نظام بسيطة من ستة متغيرات:</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76"/>
        <w:gridCol w:w="1089"/>
        <w:gridCol w:w="2673"/>
        <w:gridCol w:w="3168"/>
      </w:tblGrid>
      <w:tr>
        <w:trPr>
          <w:cantSplit w:val="false"/>
          <w:tblHeader/>
        </w:trPr>
        <w:tc>
          <w:tcPr>
            <w:tcW w:type="dxa" w:w="2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المتغير</w:t>
            </w:r>
          </w:p>
        </w:tc>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النوع</w:t>
            </w:r>
          </w:p>
        </w:tc>
        <w:tc>
          <w:tcPr>
            <w:tcW w:type="dxa" w:w="26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يؤثر فيه</w:t>
            </w:r>
          </w:p>
        </w:tc>
        <w:tc>
          <w:tcPr>
            <w:tcW w:type="dxa" w:w="3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يؤثر في</w:t>
            </w:r>
          </w:p>
        </w:tc>
      </w:tr>
      <w:tr>
        <w:trPr>
          <w:cantSplit w:val="false"/>
          <w:tblHeader w:val="false"/>
        </w:trPr>
        <w:tc>
          <w:tcPr>
            <w:tcW w:type="dxa" w:w="23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القيمة الاقتصادية للقطاع</w:t>
            </w:r>
          </w:p>
        </w:tc>
        <w:tc>
          <w:tcPr>
            <w:tcW w:type="dxa" w:w="1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مخزون</w:t>
            </w:r>
          </w:p>
        </w:tc>
        <w:tc>
          <w:tcPr>
            <w:tcW w:type="dxa" w:w="26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الوساطة، الذكاء الاصطناعي</w:t>
            </w:r>
          </w:p>
        </w:tc>
        <w:tc>
          <w:tcPr>
            <w:tcW w:type="dxa" w:w="31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خطاب التسويغ</w:t>
            </w:r>
          </w:p>
        </w:tc>
      </w:tr>
      <w:tr>
        <w:trPr>
          <w:cantSplit w:val="false"/>
          <w:tblHeader w:val="false"/>
        </w:trPr>
        <w:tc>
          <w:tcPr>
            <w:tcW w:type="dxa" w:w="237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خطاب التسويغ العائدي</w:t>
            </w:r>
          </w:p>
        </w:tc>
        <w:tc>
          <w:tcPr>
            <w:tcW w:type="dxa" w:w="108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وسيط</w:t>
            </w:r>
          </w:p>
        </w:tc>
        <w:tc>
          <w:tcPr>
            <w:tcW w:type="dxa" w:w="267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القيمة الاقتصادية</w:t>
            </w:r>
          </w:p>
        </w:tc>
        <w:tc>
          <w:tcPr>
            <w:tcW w:type="dxa" w:w="316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معايير التمويل</w:t>
            </w:r>
          </w:p>
        </w:tc>
      </w:tr>
      <w:tr>
        <w:trPr>
          <w:cantSplit w:val="false"/>
          <w:tblHeader w:val="false"/>
        </w:trPr>
        <w:tc>
          <w:tcPr>
            <w:tcW w:type="dxa" w:w="23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معايير التمويل والتقييم</w:t>
            </w:r>
          </w:p>
        </w:tc>
        <w:tc>
          <w:tcPr>
            <w:tcW w:type="dxa" w:w="1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رافعة</w:t>
            </w:r>
          </w:p>
        </w:tc>
        <w:tc>
          <w:tcPr>
            <w:tcW w:type="dxa" w:w="26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خطاب التسويغ، السياسة</w:t>
            </w:r>
          </w:p>
        </w:tc>
        <w:tc>
          <w:tcPr>
            <w:tcW w:type="dxa" w:w="31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الاستقلال</w:t>
            </w:r>
          </w:p>
        </w:tc>
      </w:tr>
      <w:tr>
        <w:trPr>
          <w:cantSplit w:val="false"/>
          <w:tblHeader w:val="false"/>
        </w:trPr>
        <w:tc>
          <w:tcPr>
            <w:tcW w:type="dxa" w:w="237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الوساطة بمنطق الانتباه</w:t>
            </w:r>
          </w:p>
        </w:tc>
        <w:tc>
          <w:tcPr>
            <w:tcW w:type="dxa" w:w="108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محرك</w:t>
            </w:r>
          </w:p>
        </w:tc>
        <w:tc>
          <w:tcPr>
            <w:tcW w:type="dxa" w:w="267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تركّز المنصات</w:t>
            </w:r>
          </w:p>
        </w:tc>
        <w:tc>
          <w:tcPr>
            <w:tcW w:type="dxa" w:w="316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التنوع الفاعل، القيمة الاقتصادية</w:t>
            </w:r>
          </w:p>
        </w:tc>
      </w:tr>
      <w:tr>
        <w:trPr>
          <w:cantSplit w:val="false"/>
          <w:tblHeader w:val="false"/>
        </w:trPr>
        <w:tc>
          <w:tcPr>
            <w:tcW w:type="dxa" w:w="23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الاستقلال المؤسسي</w:t>
            </w:r>
          </w:p>
        </w:tc>
        <w:tc>
          <w:tcPr>
            <w:tcW w:type="dxa" w:w="10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وسيط ورافعة</w:t>
            </w:r>
          </w:p>
        </w:tc>
        <w:tc>
          <w:tcPr>
            <w:tcW w:type="dxa" w:w="26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معايير التمويل، الحوكمة</w:t>
            </w:r>
          </w:p>
        </w:tc>
        <w:tc>
          <w:tcPr>
            <w:tcW w:type="dxa" w:w="316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التجدد، العتبة</w:t>
            </w:r>
          </w:p>
        </w:tc>
      </w:tr>
      <w:tr>
        <w:trPr>
          <w:cantSplit w:val="false"/>
          <w:tblHeader w:val="false"/>
        </w:trPr>
        <w:tc>
          <w:tcPr>
            <w:tcW w:type="dxa" w:w="237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القدرة الفكرية للنظام</w:t>
            </w:r>
          </w:p>
        </w:tc>
        <w:tc>
          <w:tcPr>
            <w:tcW w:type="dxa" w:w="108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مخزون</w:t>
            </w:r>
          </w:p>
        </w:tc>
        <w:tc>
          <w:tcPr>
            <w:tcW w:type="dxa" w:w="267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الاستقلال، الوساطة، السياسة</w:t>
            </w:r>
          </w:p>
        </w:tc>
        <w:tc>
          <w:tcPr>
            <w:tcW w:type="dxa" w:w="316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الطلب على العمق (فرضية)</w:t>
            </w:r>
          </w:p>
        </w:tc>
      </w:tr>
    </w:tbl>
    <w:p>
      <w:pPr>
        <w:spacing w:after="120"/>
      </w:pPr>
    </w:p>
    <w:p>
      <w:pPr>
        <w:bidi/>
        <w:spacing w:after="120" w:line="336"/>
        <w:jc w:val="both"/>
      </w:pPr>
      <w:r>
        <w:rPr>
          <w:rFonts w:ascii="Times New Roman" w:cs="Noto Naskh Arabic" w:eastAsia="Noto Naskh Arabic" w:hAnsi="Times New Roman"/>
          <w:b/>
          <w:bCs/>
          <w:sz w:val="26"/>
          <w:szCs w:val="26"/>
          <w:rtl/>
        </w:rPr>
        <w:t xml:space="preserve">نقاط الرافعة</w:t>
      </w:r>
      <w:r>
        <w:rPr>
          <w:rFonts w:ascii="Times New Roman" w:cs="Noto Naskh Arabic" w:eastAsia="Noto Naskh Arabic" w:hAnsi="Times New Roman"/>
          <w:sz w:val="26"/>
          <w:szCs w:val="26"/>
          <w:rtl/>
        </w:rPr>
        <w:t xml:space="preserve"> في هذه الخريطة ثلاث: معايير التمويل والتقييم (لأنها تكسر حلقة التسويغ)، والاستقلال المؤسسي (لأنه يتوسط أثر التمويل ويحرّك موقع العتبة)، وقواعد الوساطة وتوزيع العوائد (لأنها تكسر حلقتي الانتباه والذكاء الاصطناعي). أما القدرة الفكرية نفسها، فهي مخزون يُحمى بالتأثير في هذه الروافع، لا بالتدخل المباشر فيه. وتتسق هذه النتيجة مع مصفوفة التأثير المتبادل في القسم السابع، التي صنّفت الاستقلال المؤسسي والطلب على العمق متغيرات تابعة لا محركات.</w:t>
      </w:r>
    </w:p>
    <w:p>
      <w:pPr>
        <w:pStyle w:val="Heading2"/>
        <w:bidi/>
        <w:jc w:val="right"/>
      </w:pPr>
      <w:r>
        <w:rPr>
          <w:rFonts w:ascii="Times New Roman" w:cs="Noto Naskh Arabic" w:eastAsia="Noto Naskh Arabic" w:hAnsi="Times New Roman"/>
          <w:b/>
          <w:bCs/>
          <w:color w:val="1F4E79"/>
          <w:sz w:val="28"/>
          <w:szCs w:val="28"/>
          <w:rtl/>
        </w:rPr>
        <w:t xml:space="preserve">٦-٧ حالة اختبار: الوفرة مقابل العمق</w:t>
      </w:r>
    </w:p>
    <w:p>
      <w:pPr>
        <w:bidi/>
        <w:spacing w:after="120" w:line="336"/>
        <w:jc w:val="both"/>
      </w:pPr>
      <w:r>
        <w:rPr>
          <w:rFonts w:ascii="Times New Roman" w:cs="Noto Naskh Arabic" w:eastAsia="Noto Naskh Arabic" w:hAnsi="Times New Roman"/>
          <w:sz w:val="26"/>
          <w:szCs w:val="26"/>
          <w:rtl/>
        </w:rPr>
        <w:t xml:space="preserve">ومن الأسئلة التي يطرحها المخطط الأولي للبحث: لماذا يمكن أن تتسع الوفرة الثقافية بينما يضعف العمق المعرفي في التلقي؟ وتقدّم الخريطة إجابة مشروطة: فالوفرة نتاج انخفاض كلفة الإنتاج والتوزيع (الآلية الثالثة)، والعمق في التلقي يتأثر بما تعرضه الوساطة (الآلية الثانية). وإذا اجتمعا، اتسع العرض وتركّز الاستهلاك في آن. ويشير تقرير اليونسكو إلى طرف من هذه الصورة حين يلاحظ أن الناس يتمتعون بمحتوى ثقافي أكثر بينما يكافح المبدعون لتأمين معاشهم</w:t>
      </w:r>
      <w:r>
        <w:rPr>
          <w:rStyle w:val="FootnoteReference"/>
        </w:rPr>
        <w:footnoteReference w:id="83"/>
      </w:r>
      <w:r>
        <w:rPr>
          <w:rFonts w:ascii="Times New Roman" w:cs="Noto Naskh Arabic" w:eastAsia="Noto Naskh Arabic" w:hAnsi="Times New Roman"/>
          <w:sz w:val="26"/>
          <w:szCs w:val="26"/>
          <w:rtl/>
        </w:rPr>
        <w:t xml:space="preserve">. لكن العمق في التلقي نفسه لم يُقس في أي مصدر فحصته الورقة، فتبقى الحالة فرضية لا نتيجة.</w:t>
      </w:r>
    </w:p>
    <w:p>
      <w:pPr>
        <w:pStyle w:val="Heading2"/>
        <w:bidi/>
        <w:jc w:val="right"/>
      </w:pPr>
      <w:r>
        <w:rPr>
          <w:rFonts w:ascii="Times New Roman" w:cs="Noto Naskh Arabic" w:eastAsia="Noto Naskh Arabic" w:hAnsi="Times New Roman"/>
          <w:b/>
          <w:bCs/>
          <w:color w:val="1F4E79"/>
          <w:sz w:val="28"/>
          <w:szCs w:val="28"/>
          <w:rtl/>
        </w:rPr>
        <w:t xml:space="preserve">٦-٨ خلاصة القسم</w:t>
      </w:r>
    </w:p>
    <w:p>
      <w:pPr>
        <w:bidi/>
        <w:spacing w:after="120" w:line="336"/>
        <w:jc w:val="both"/>
      </w:pPr>
      <w:r>
        <w:rPr>
          <w:rFonts w:ascii="Times New Roman" w:cs="Noto Naskh Arabic" w:eastAsia="Noto Naskh Arabic" w:hAnsi="Times New Roman"/>
          <w:sz w:val="26"/>
          <w:szCs w:val="26"/>
          <w:rtl/>
        </w:rPr>
        <w:t xml:space="preserve">تقترح الورقة ثلاث آليات معزِّزة يمكن أن تفصل القيمة الفكرية عن القيمة الاقتصادية — التسويغ العائدي، والانتباه الخوارزمي، والذكاء الاصطناعي التوليدي مع توزيع العوائد — وحلقة موازِنة واحدة معطّلة جزئياً لأنها لا ترى ما تحميه. وأقوى الآليات سنداً هي الأولى، وأضعفها الثالثة. أما الثانية فقد وجدت الورقة دليلاً تجريبياً يسند شقّها الأول (التوصية تخفض التنوع) ويعاكس شقّها الثاني (التنوع يخدم العائد بعيد المدى للمنصة)؛ فهي آلية مشروطة بأفق التحسين الذي تعتمده الخوارزمية. ولا يثبت هذا القسم أن أياً منها يعمل فعلاً في نظام وطني بعينه؛ بل يحدد ما يجب رصده لمعرفة ذلك. ويترجم القسمان التاليان هذه الخريطة إلى سيناريوهات ونموذج.</w:t>
      </w:r>
    </w:p>
    <w:p>
      <w:pPr>
        <w:pStyle w:val="Heading1"/>
        <w:bidi/>
        <w:jc w:val="right"/>
      </w:pPr>
      <w:r>
        <w:rPr>
          <w:rFonts w:ascii="Times New Roman" w:cs="Noto Naskh Arabic" w:eastAsia="Noto Naskh Arabic" w:hAnsi="Times New Roman"/>
          <w:b/>
          <w:bCs/>
          <w:color w:val="1F4E79"/>
          <w:sz w:val="34"/>
          <w:szCs w:val="34"/>
          <w:rtl/>
        </w:rPr>
        <w:t xml:space="preserve">٧. محركات التغيير والسيناريوهات حتى ٢٠٥٠</w:t>
      </w:r>
    </w:p>
    <w:p>
      <w:pPr>
        <w:bidi/>
        <w:spacing w:after="120" w:line="336"/>
        <w:jc w:val="both"/>
      </w:pPr>
      <w:r>
        <w:rPr>
          <w:rFonts w:ascii="Times New Roman" w:cs="Noto Naskh Arabic" w:eastAsia="Noto Naskh Arabic" w:hAnsi="Times New Roman"/>
          <w:sz w:val="26"/>
          <w:szCs w:val="26"/>
          <w:rtl/>
        </w:rPr>
        <w:t xml:space="preserve">يبني هذا القسم سيناريوهات لمسارات العلاقة بين القيمتين حتى عام ٢٠٥٠، مع نقطتي مراجعة في ٢٠٣٠ و٢٠٤٠. ويبدأ بالمحركات، ثم بمصفوفة التأثير المتبادل، ثم باشتقاق محوري السيناريو، ثم بالسيناريوهات الأربعة ومؤشرات الإنذار. والسيناريوهات هنا تراكيب تحليلية متمايزة بنيوياً، لا توقعات ولا درجات على سلّم بين متفائل ومتشائم.</w:t>
      </w:r>
    </w:p>
    <w:p>
      <w:pPr>
        <w:pStyle w:val="Heading2"/>
        <w:bidi/>
        <w:jc w:val="right"/>
      </w:pPr>
      <w:r>
        <w:rPr>
          <w:rFonts w:ascii="Times New Roman" w:cs="Noto Naskh Arabic" w:eastAsia="Noto Naskh Arabic" w:hAnsi="Times New Roman"/>
          <w:b/>
          <w:bCs/>
          <w:color w:val="1F4E79"/>
          <w:sz w:val="28"/>
          <w:szCs w:val="28"/>
          <w:rtl/>
        </w:rPr>
        <w:t xml:space="preserve">٧-١ المحركات الثمانية</w:t>
      </w:r>
    </w:p>
    <w:p>
      <w:pPr>
        <w:bidi/>
        <w:spacing w:after="120" w:line="336"/>
        <w:jc w:val="both"/>
      </w:pPr>
      <w:r>
        <w:rPr>
          <w:rFonts w:ascii="Times New Roman" w:cs="Noto Naskh Arabic" w:eastAsia="Noto Naskh Arabic" w:hAnsi="Times New Roman"/>
          <w:sz w:val="26"/>
          <w:szCs w:val="26"/>
          <w:rtl/>
        </w:rPr>
        <w:t xml:space="preserve">حُدّدت ثمانية محركات من المراجعة وقاعدة الإحصاءات وخريطة النظام:</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الذكاء الاصطناعي التوليدي:</w:t>
      </w:r>
      <w:r>
        <w:rPr>
          <w:rFonts w:ascii="Times New Roman" w:cs="Noto Naskh Arabic" w:eastAsia="Noto Naskh Arabic" w:hAnsi="Times New Roman"/>
          <w:sz w:val="26"/>
          <w:szCs w:val="26"/>
          <w:rtl/>
        </w:rPr>
        <w:t xml:space="preserve"> انخفاض كلفة إنتاج المحتوى، وأسئلة التدريب على أعمال المبدعين.</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تركّز المنصات وخوارزميات التوصية:</w:t>
      </w:r>
      <w:r>
        <w:rPr>
          <w:rFonts w:ascii="Times New Roman" w:cs="Noto Naskh Arabic" w:eastAsia="Noto Naskh Arabic" w:hAnsi="Times New Roman"/>
          <w:sz w:val="26"/>
          <w:szCs w:val="26"/>
          <w:rtl/>
        </w:rPr>
        <w:t xml:space="preserve"> من يتحكم في الوصول إلى الجمهور، وبأي منطق.</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نموذج التمويل العام للثقافة:</w:t>
      </w:r>
      <w:r>
        <w:rPr>
          <w:rFonts w:ascii="Times New Roman" w:cs="Noto Naskh Arabic" w:eastAsia="Noto Naskh Arabic" w:hAnsi="Times New Roman"/>
          <w:sz w:val="26"/>
          <w:szCs w:val="26"/>
          <w:rtl/>
        </w:rPr>
        <w:t xml:space="preserve"> حجمه، ومعاييره، ودرجة اشتراطه بالعائد. ويقع التمويل العام المباشر دون ٠٫٦٪ من الناتج العالمي ومتراجع</w:t>
      </w:r>
      <w:r>
        <w:rPr>
          <w:rStyle w:val="FootnoteReference"/>
        </w:rPr>
        <w:footnoteReference w:id="84"/>
      </w:r>
      <w:r>
        <w:rPr>
          <w:rFonts w:ascii="Times New Roman" w:cs="Noto Naskh Arabic" w:eastAsia="Noto Naskh Arabic" w:hAnsi="Times New Roman"/>
          <w:sz w:val="26"/>
          <w:szCs w:val="26"/>
          <w:rtl/>
        </w:rPr>
        <w:t xml:space="preserve">.</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الملكية الفكرية وتوزيع العوائد:</w:t>
      </w:r>
      <w:r>
        <w:rPr>
          <w:rFonts w:ascii="Times New Roman" w:cs="Noto Naskh Arabic" w:eastAsia="Noto Naskh Arabic" w:hAnsi="Times New Roman"/>
          <w:sz w:val="26"/>
          <w:szCs w:val="26"/>
          <w:rtl/>
        </w:rPr>
        <w:t xml:space="preserve"> من يحصل على القيمة التي يولّدها العمل الثقافي.</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معايير تقييم السياسة الثقافية:</w:t>
      </w:r>
      <w:r>
        <w:rPr>
          <w:rFonts w:ascii="Times New Roman" w:cs="Noto Naskh Arabic" w:eastAsia="Noto Naskh Arabic" w:hAnsi="Times New Roman"/>
          <w:sz w:val="26"/>
          <w:szCs w:val="26"/>
          <w:rtl/>
        </w:rPr>
        <w:t xml:space="preserve"> ما تقيسه السياسة وما تتجاهله.</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استقلال المؤسسات والقرار الفني:</w:t>
      </w:r>
      <w:r>
        <w:rPr>
          <w:rFonts w:ascii="Times New Roman" w:cs="Noto Naskh Arabic" w:eastAsia="Noto Naskh Arabic" w:hAnsi="Times New Roman"/>
          <w:sz w:val="26"/>
          <w:szCs w:val="26"/>
          <w:rtl/>
        </w:rPr>
        <w:t xml:space="preserve"> المسافة بين قرار التمويل والقرار الفني.</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الطلب الاجتماعي على العمق الثقافي:</w:t>
      </w:r>
      <w:r>
        <w:rPr>
          <w:rFonts w:ascii="Times New Roman" w:cs="Noto Naskh Arabic" w:eastAsia="Noto Naskh Arabic" w:hAnsi="Times New Roman"/>
          <w:sz w:val="26"/>
          <w:szCs w:val="26"/>
          <w:rtl/>
        </w:rPr>
        <w:t xml:space="preserve"> ما يطلبه الجمهور من الثقافة، وما يتحمله من عناء في تلقيها.</w:t>
      </w:r>
    </w:p>
    <w:p>
      <w:pPr>
        <w:pStyle w:val="ListParagraph"/>
        <w:numPr>
          <w:ilvl w:val="0"/>
          <w:numId w:val="5"/>
        </w:numPr>
        <w:bidi/>
        <w:spacing w:after="80" w:line="336"/>
        <w:jc w:val="both"/>
      </w:pPr>
      <w:r>
        <w:rPr>
          <w:rFonts w:ascii="Times New Roman" w:cs="Noto Naskh Arabic" w:eastAsia="Noto Naskh Arabic" w:hAnsi="Times New Roman"/>
          <w:b/>
          <w:bCs/>
          <w:sz w:val="26"/>
          <w:szCs w:val="26"/>
          <w:rtl/>
        </w:rPr>
        <w:t xml:space="preserve">الجيوسياسة والتجارة الثقافية:</w:t>
      </w:r>
      <w:r>
        <w:rPr>
          <w:rFonts w:ascii="Times New Roman" w:cs="Noto Naskh Arabic" w:eastAsia="Noto Naskh Arabic" w:hAnsi="Times New Roman"/>
          <w:sz w:val="26"/>
          <w:szCs w:val="26"/>
          <w:rtl/>
        </w:rPr>
        <w:t xml:space="preserve"> تدفقات المحتوى عبر الحدود، وتوزيع القوة في أسواقه.</w:t>
      </w:r>
    </w:p>
    <w:p>
      <w:pPr>
        <w:pStyle w:val="Heading2"/>
        <w:bidi/>
        <w:jc w:val="right"/>
      </w:pPr>
      <w:r>
        <w:rPr>
          <w:rFonts w:ascii="Times New Roman" w:cs="Noto Naskh Arabic" w:eastAsia="Noto Naskh Arabic" w:hAnsi="Times New Roman"/>
          <w:b/>
          <w:bCs/>
          <w:color w:val="1F4E79"/>
          <w:sz w:val="28"/>
          <w:szCs w:val="28"/>
          <w:rtl/>
        </w:rPr>
        <w:t xml:space="preserve">٧-٢ مصفوفة التأثير المتبادل</w:t>
      </w:r>
    </w:p>
    <w:p>
      <w:pPr>
        <w:bidi/>
        <w:spacing w:after="120" w:line="336"/>
        <w:jc w:val="both"/>
      </w:pPr>
      <w:r>
        <w:rPr>
          <w:rFonts w:ascii="Times New Roman" w:cs="Noto Naskh Arabic" w:eastAsia="Noto Naskh Arabic" w:hAnsi="Times New Roman"/>
          <w:sz w:val="26"/>
          <w:szCs w:val="26"/>
          <w:rtl/>
        </w:rPr>
        <w:t xml:space="preserve">قُدّر تأثير كل محرك في الآخر على مقياس من صفر إلى ثلاثة، ثم حُسب التأثير والتبعية المباشران وغير المباشرين، واختُبرت ثبات التصنيف بخمسة آلاف تكرار عشوائي. والدرجات حكمٌ للباحث، لم تُعرض على خبراء، فهي تنظّم الافتراضات وتعرضها للنقد ولا تقيس الواقع.</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59"/>
        <w:gridCol w:w="1235"/>
        <w:gridCol w:w="1318"/>
        <w:gridCol w:w="1565"/>
        <w:gridCol w:w="1647"/>
        <w:gridCol w:w="1482"/>
      </w:tblGrid>
      <w:tr>
        <w:trPr>
          <w:cantSplit w:val="false"/>
          <w:tblHeader/>
        </w:trPr>
        <w:tc>
          <w:tcPr>
            <w:tcW w:type="dxa" w:w="20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المحرك</w:t>
            </w:r>
          </w:p>
        </w:tc>
        <w:tc>
          <w:tcPr>
            <w:tcW w:type="dxa" w:w="12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التأثير المباشر</w:t>
            </w:r>
          </w:p>
        </w:tc>
        <w:tc>
          <w:tcPr>
            <w:tcW w:type="dxa" w:w="1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التبعية المباشرة</w:t>
            </w:r>
          </w:p>
        </w:tc>
        <w:tc>
          <w:tcPr>
            <w:tcW w:type="dxa" w:w="15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التأثير غير المباشر</w:t>
            </w:r>
          </w:p>
        </w:tc>
        <w:tc>
          <w:tcPr>
            <w:tcW w:type="dxa" w:w="1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التبعية غير المباشرة</w:t>
            </w:r>
          </w:p>
        </w:tc>
        <w:tc>
          <w:tcPr>
            <w:tcW w:type="dxa" w:w="1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نسبة تصنيفه محركاً</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الذكاء الاصطناعي التوليدي</w:t>
            </w:r>
          </w:p>
        </w:tc>
        <w:tc>
          <w:tcPr>
            <w:tcW w:type="dxa" w:w="1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١٤</w:t>
            </w:r>
          </w:p>
        </w:tc>
        <w:tc>
          <w:tcPr>
            <w:tcW w:type="dxa" w:w="1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w:t>
            </w:r>
          </w:p>
        </w:tc>
        <w:tc>
          <w:tcPr>
            <w:tcW w:type="dxa" w:w="156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٩١</w:t>
            </w:r>
          </w:p>
        </w:tc>
        <w:tc>
          <w:tcPr>
            <w:tcW w:type="dxa" w:w="16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٢٣</w:t>
            </w:r>
          </w:p>
        </w:tc>
        <w:tc>
          <w:tcPr>
            <w:tcW w:type="dxa" w:w="1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٩٩٪</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الجيوسياسة والتجارة</w:t>
            </w:r>
          </w:p>
        </w:tc>
        <w:tc>
          <w:tcPr>
            <w:tcW w:type="dxa" w:w="12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٧</w:t>
            </w:r>
          </w:p>
        </w:tc>
        <w:tc>
          <w:tcPr>
            <w:tcW w:type="dxa" w:w="131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w:t>
            </w:r>
          </w:p>
        </w:tc>
        <w:tc>
          <w:tcPr>
            <w:tcW w:type="dxa" w:w="156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٦٦</w:t>
            </w:r>
          </w:p>
        </w:tc>
        <w:tc>
          <w:tcPr>
            <w:tcW w:type="dxa" w:w="164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٢٣</w:t>
            </w:r>
          </w:p>
        </w:tc>
        <w:tc>
          <w:tcPr>
            <w:tcW w:type="dxa" w:w="1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٤٨٪</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تركّز المنصات والتوصية</w:t>
            </w:r>
          </w:p>
        </w:tc>
        <w:tc>
          <w:tcPr>
            <w:tcW w:type="dxa" w:w="1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١١</w:t>
            </w:r>
          </w:p>
        </w:tc>
        <w:tc>
          <w:tcPr>
            <w:tcW w:type="dxa" w:w="1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٨</w:t>
            </w:r>
          </w:p>
        </w:tc>
        <w:tc>
          <w:tcPr>
            <w:tcW w:type="dxa" w:w="156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٦٤</w:t>
            </w:r>
          </w:p>
        </w:tc>
        <w:tc>
          <w:tcPr>
            <w:tcW w:type="dxa" w:w="16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٤٣</w:t>
            </w:r>
          </w:p>
        </w:tc>
        <w:tc>
          <w:tcPr>
            <w:tcW w:type="dxa" w:w="1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٣٣٪</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معايير التقييم</w:t>
            </w:r>
          </w:p>
        </w:tc>
        <w:tc>
          <w:tcPr>
            <w:tcW w:type="dxa" w:w="12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٧</w:t>
            </w:r>
          </w:p>
        </w:tc>
        <w:tc>
          <w:tcPr>
            <w:tcW w:type="dxa" w:w="131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w:t>
            </w:r>
          </w:p>
        </w:tc>
        <w:tc>
          <w:tcPr>
            <w:tcW w:type="dxa" w:w="156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٣٤</w:t>
            </w:r>
          </w:p>
        </w:tc>
        <w:tc>
          <w:tcPr>
            <w:tcW w:type="dxa" w:w="164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٤٩</w:t>
            </w:r>
          </w:p>
        </w:tc>
        <w:tc>
          <w:tcPr>
            <w:tcW w:type="dxa" w:w="1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نموذج التمويل العام</w:t>
            </w:r>
          </w:p>
        </w:tc>
        <w:tc>
          <w:tcPr>
            <w:tcW w:type="dxa" w:w="1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w:t>
            </w:r>
          </w:p>
        </w:tc>
        <w:tc>
          <w:tcPr>
            <w:tcW w:type="dxa" w:w="1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٨</w:t>
            </w:r>
          </w:p>
        </w:tc>
        <w:tc>
          <w:tcPr>
            <w:tcW w:type="dxa" w:w="156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٣٠</w:t>
            </w:r>
          </w:p>
        </w:tc>
        <w:tc>
          <w:tcPr>
            <w:tcW w:type="dxa" w:w="16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٥٥</w:t>
            </w:r>
          </w:p>
        </w:tc>
        <w:tc>
          <w:tcPr>
            <w:tcW w:type="dxa" w:w="1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الملكية الفكرية والعوائد</w:t>
            </w:r>
          </w:p>
        </w:tc>
        <w:tc>
          <w:tcPr>
            <w:tcW w:type="dxa" w:w="12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٥</w:t>
            </w:r>
          </w:p>
        </w:tc>
        <w:tc>
          <w:tcPr>
            <w:tcW w:type="dxa" w:w="131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٧</w:t>
            </w:r>
          </w:p>
        </w:tc>
        <w:tc>
          <w:tcPr>
            <w:tcW w:type="dxa" w:w="156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٤٧</w:t>
            </w:r>
          </w:p>
        </w:tc>
        <w:tc>
          <w:tcPr>
            <w:tcW w:type="dxa" w:w="164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٣٦</w:t>
            </w:r>
          </w:p>
        </w:tc>
        <w:tc>
          <w:tcPr>
            <w:tcW w:type="dxa" w:w="1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الطلب على العمق</w:t>
            </w:r>
          </w:p>
        </w:tc>
        <w:tc>
          <w:tcPr>
            <w:tcW w:type="dxa" w:w="1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w:t>
            </w:r>
          </w:p>
        </w:tc>
        <w:tc>
          <w:tcPr>
            <w:tcW w:type="dxa" w:w="1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٩</w:t>
            </w:r>
          </w:p>
        </w:tc>
        <w:tc>
          <w:tcPr>
            <w:tcW w:type="dxa" w:w="156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٢٨</w:t>
            </w:r>
          </w:p>
        </w:tc>
        <w:tc>
          <w:tcPr>
            <w:tcW w:type="dxa" w:w="16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٧٠</w:t>
            </w:r>
          </w:p>
        </w:tc>
        <w:tc>
          <w:tcPr>
            <w:tcW w:type="dxa" w:w="1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w:t>
            </w:r>
          </w:p>
        </w:tc>
      </w:tr>
      <w:tr>
        <w:trPr>
          <w:cantSplit w:val="false"/>
          <w:tblHeader w:val="false"/>
        </w:trPr>
        <w:tc>
          <w:tcPr>
            <w:tcW w:type="dxa" w:w="205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استقلال المؤسسات</w:t>
            </w:r>
          </w:p>
        </w:tc>
        <w:tc>
          <w:tcPr>
            <w:tcW w:type="dxa" w:w="12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w:t>
            </w:r>
          </w:p>
        </w:tc>
        <w:tc>
          <w:tcPr>
            <w:tcW w:type="dxa" w:w="131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١٢</w:t>
            </w:r>
          </w:p>
        </w:tc>
        <w:tc>
          <w:tcPr>
            <w:tcW w:type="dxa" w:w="156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٢١</w:t>
            </w:r>
          </w:p>
        </w:tc>
        <w:tc>
          <w:tcPr>
            <w:tcW w:type="dxa" w:w="164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٨٢</w:t>
            </w:r>
          </w:p>
        </w:tc>
        <w:tc>
          <w:tcPr>
            <w:tcW w:type="dxa" w:w="1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r>
    </w:tbl>
    <w:p>
      <w:pPr>
        <w:spacing w:after="120"/>
      </w:pPr>
    </w:p>
    <w:p>
      <w:pPr>
        <w:bidi/>
        <w:spacing w:after="120" w:line="336"/>
        <w:jc w:val="both"/>
      </w:pPr>
      <w:r>
        <w:rPr>
          <w:rFonts w:ascii="Times New Roman" w:cs="Noto Naskh Arabic" w:eastAsia="Noto Naskh Arabic" w:hAnsi="Times New Roman"/>
          <w:b/>
          <w:bCs/>
          <w:sz w:val="26"/>
          <w:szCs w:val="26"/>
          <w:rtl/>
        </w:rPr>
        <w:t xml:space="preserve">القراءة.</w:t>
      </w:r>
      <w:r>
        <w:rPr>
          <w:rFonts w:ascii="Times New Roman" w:cs="Noto Naskh Arabic" w:eastAsia="Noto Naskh Arabic" w:hAnsi="Times New Roman"/>
          <w:sz w:val="26"/>
          <w:szCs w:val="26"/>
          <w:rtl/>
        </w:rPr>
        <w:t xml:space="preserve"> الذكاء الاصطناعي التوليدي هو المحرك الوحيد الذي يصمد تصنيفه في كل التكرارات تقريباً. وفي الطرف الآخر، يظهر استقلال المؤسسات والطلب على العمق متغيرين تابعين: يتأثران بالمحركات الأخرى أكثر مما يؤثران فيها. وهذا يعني أن عناصر القيمة الفكرية — في هذه المصفوفة — تُحمى بالتأثير في محركاتها، لا بالتدخل المباشر فيها. وتتسق هذه القراءة مع ما انتهت إليه خريطة النظام في القسم السادس.</w:t>
      </w:r>
    </w:p>
    <w:p>
      <w:pPr>
        <w:bidi/>
        <w:spacing w:after="120" w:line="336"/>
        <w:jc w:val="both"/>
      </w:pPr>
      <w:r>
        <w:rPr>
          <w:rFonts w:ascii="Times New Roman" w:cs="Noto Naskh Arabic" w:eastAsia="Noto Naskh Arabic" w:hAnsi="Times New Roman"/>
          <w:sz w:val="26"/>
          <w:szCs w:val="26"/>
          <w:rtl/>
        </w:rPr>
        <w:t xml:space="preserve">غير أن تصنيف ثلاثة محركات هشّ: فتركّز المنصات لا يُصنَّف محركاً إلا في ثلث التكرارات، ومعايير التقييم في خمسها، والجيوسياسة في نصفها تقريباً. ويعني ذلك أن موقعها بين المحرّك والتابع يتوقف على تقديرات قد يختلف فيها الخبراء، وهو ما يجعل عرض المصفوفة على لجنة مستقلة شرطاً قبل اعتماد نتائجها.</w:t>
      </w:r>
    </w:p>
    <w:p>
      <w:pPr>
        <w:pStyle w:val="Heading2"/>
        <w:bidi/>
        <w:jc w:val="right"/>
      </w:pPr>
      <w:r>
        <w:rPr>
          <w:rFonts w:ascii="Times New Roman" w:cs="Noto Naskh Arabic" w:eastAsia="Noto Naskh Arabic" w:hAnsi="Times New Roman"/>
          <w:b/>
          <w:bCs/>
          <w:color w:val="1F4E79"/>
          <w:sz w:val="28"/>
          <w:szCs w:val="28"/>
          <w:rtl/>
        </w:rPr>
        <w:t xml:space="preserve">٧-٣ اشتقاق محوري السيناريو</w:t>
      </w:r>
    </w:p>
    <w:p>
      <w:pPr>
        <w:bidi/>
        <w:spacing w:after="120" w:line="336"/>
        <w:jc w:val="both"/>
      </w:pPr>
      <w:r>
        <w:rPr>
          <w:rFonts w:ascii="Times New Roman" w:cs="Noto Naskh Arabic" w:eastAsia="Noto Naskh Arabic" w:hAnsi="Times New Roman"/>
          <w:sz w:val="26"/>
          <w:szCs w:val="26"/>
          <w:rtl/>
        </w:rPr>
        <w:t xml:space="preserve">لا يُشتق محور السيناريو من المحرك الأكثر تأثيراً فحسب، بل من المحرك المؤثر الذي </w:t>
      </w:r>
      <w:r>
        <w:rPr>
          <w:rFonts w:ascii="Times New Roman" w:cs="Noto Naskh Arabic" w:eastAsia="Noto Naskh Arabic" w:hAnsi="Times New Roman"/>
          <w:b/>
          <w:bCs/>
          <w:sz w:val="26"/>
          <w:szCs w:val="26"/>
          <w:rtl/>
        </w:rPr>
        <w:t xml:space="preserve">لا يُعرف اتجاهه</w:t>
      </w:r>
      <w:r>
        <w:rPr>
          <w:rFonts w:ascii="Times New Roman" w:cs="Noto Naskh Arabic" w:eastAsia="Noto Naskh Arabic" w:hAnsi="Times New Roman"/>
          <w:sz w:val="26"/>
          <w:szCs w:val="26"/>
          <w:rtl/>
        </w:rPr>
        <w:t xml:space="preserve">. فالذكاء الاصطناعي التوليدي أقوى المحركات، لكن اتجاه تطوره — تنامي القدرة التوليدية وانتشارها — شبه مؤكد حتى ٢٠٥٠؛ فيُعامل </w:t>
      </w:r>
      <w:r>
        <w:rPr>
          <w:rFonts w:ascii="Times New Roman" w:cs="Noto Naskh Arabic" w:eastAsia="Noto Naskh Arabic" w:hAnsi="Times New Roman"/>
          <w:b/>
          <w:bCs/>
          <w:sz w:val="26"/>
          <w:szCs w:val="26"/>
          <w:rtl/>
        </w:rPr>
        <w:t xml:space="preserve">ثابتاً</w:t>
      </w:r>
      <w:r>
        <w:rPr>
          <w:rFonts w:ascii="Times New Roman" w:cs="Noto Naskh Arabic" w:eastAsia="Noto Naskh Arabic" w:hAnsi="Times New Roman"/>
          <w:sz w:val="26"/>
          <w:szCs w:val="26"/>
          <w:rtl/>
        </w:rPr>
        <w:t xml:space="preserve"> في السيناريوهات الأربعة لا محوراً. والجيوسياسة مؤثرة وغير محسومة الاتجاه، لكنها خارج ما تملكه السياسة الثقافية؛ فتُعامل </w:t>
      </w:r>
      <w:r>
        <w:rPr>
          <w:rFonts w:ascii="Times New Roman" w:cs="Noto Naskh Arabic" w:eastAsia="Noto Naskh Arabic" w:hAnsi="Times New Roman"/>
          <w:b/>
          <w:bCs/>
          <w:sz w:val="26"/>
          <w:szCs w:val="26"/>
          <w:rtl/>
        </w:rPr>
        <w:t xml:space="preserve">سياقاً</w:t>
      </w:r>
      <w:r>
        <w:rPr>
          <w:rFonts w:ascii="Times New Roman" w:cs="Noto Naskh Arabic" w:eastAsia="Noto Naskh Arabic" w:hAnsi="Times New Roman"/>
          <w:sz w:val="26"/>
          <w:szCs w:val="26"/>
          <w:rtl/>
        </w:rPr>
        <w:t xml:space="preserve"> تُختبر أمامه السيناريوهات.</w:t>
      </w:r>
    </w:p>
    <w:p>
      <w:pPr>
        <w:bidi/>
        <w:spacing w:after="120" w:line="336"/>
        <w:jc w:val="both"/>
      </w:pPr>
      <w:r>
        <w:rPr>
          <w:rFonts w:ascii="Times New Roman" w:cs="Noto Naskh Arabic" w:eastAsia="Noto Naskh Arabic" w:hAnsi="Times New Roman"/>
          <w:sz w:val="26"/>
          <w:szCs w:val="26"/>
          <w:rtl/>
        </w:rPr>
        <w:t xml:space="preserve">ويبقى محوران:</w:t>
      </w:r>
    </w:p>
    <w:p>
      <w:pPr>
        <w:bidi/>
        <w:spacing w:after="120" w:line="336"/>
        <w:jc w:val="both"/>
      </w:pPr>
      <w:r>
        <w:rPr>
          <w:rFonts w:ascii="Times New Roman" w:cs="Noto Naskh Arabic" w:eastAsia="Noto Naskh Arabic" w:hAnsi="Times New Roman"/>
          <w:b/>
          <w:bCs/>
          <w:sz w:val="26"/>
          <w:szCs w:val="26"/>
          <w:rtl/>
        </w:rPr>
        <w:t xml:space="preserve">المحور (أ): حوكمة الوساطة.</w:t>
      </w:r>
      <w:r>
        <w:rPr>
          <w:rFonts w:ascii="Times New Roman" w:cs="Noto Naskh Arabic" w:eastAsia="Noto Naskh Arabic" w:hAnsi="Times New Roman"/>
          <w:sz w:val="26"/>
          <w:szCs w:val="26"/>
          <w:rtl/>
        </w:rPr>
        <w:t xml:space="preserve"> هل تُدار الوساطة الخوارزمية وتوزيع العوائد بمنطق الانتباه وحده، أم بقواعد تحمي التنوع والمبدع؟ ويجمع محركي المنصات والملكية الفكرية، ولهما تأثير غير مباشر مرتفع، واتجاههما غير محسوم، إذ ما تزال حوكمة الذكاء الاصطناعي تُغفل القطاعات الإبداعية بحسب التقرير الدولي الأحدث</w:t>
      </w:r>
      <w:r>
        <w:rPr>
          <w:rStyle w:val="FootnoteReference"/>
        </w:rPr>
        <w:footnoteReference w:id="85"/>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المحور (ب): ما تقيسه السياسة وتموّله.</w:t>
      </w:r>
      <w:r>
        <w:rPr>
          <w:rFonts w:ascii="Times New Roman" w:cs="Noto Naskh Arabic" w:eastAsia="Noto Naskh Arabic" w:hAnsi="Times New Roman"/>
          <w:sz w:val="26"/>
          <w:szCs w:val="26"/>
          <w:rtl/>
        </w:rPr>
        <w:t xml:space="preserve"> هل يبقى التمويل والتقييم عائديين، أم ينتقلان إلى قياس القدرة الفكرية وتمويلها؟ ويجمع محركي التمويل ومعايير التقييم. وتُظهر المقارنة في القسم التاسع أن الاستراتيجيات الثقافية تتفاوت في هذا البعد، وإن لم تكن الفروق دالة إحصائياً، فاتجاهه غير محسوم أيضاً.</w:t>
      </w:r>
    </w:p>
    <w:p>
      <w:pPr>
        <w:bidi/>
        <w:spacing w:after="120" w:line="336"/>
        <w:jc w:val="both"/>
      </w:pPr>
      <w:r>
        <w:rPr>
          <w:rFonts w:ascii="Times New Roman" w:cs="Noto Naskh Arabic" w:eastAsia="Noto Naskh Arabic" w:hAnsi="Times New Roman"/>
          <w:b/>
          <w:bCs/>
          <w:sz w:val="26"/>
          <w:szCs w:val="26"/>
          <w:rtl/>
        </w:rPr>
        <w:t xml:space="preserve">إفصاح:</w:t>
      </w:r>
      <w:r>
        <w:rPr>
          <w:rFonts w:ascii="Times New Roman" w:cs="Noto Naskh Arabic" w:eastAsia="Noto Naskh Arabic" w:hAnsi="Times New Roman"/>
          <w:sz w:val="26"/>
          <w:szCs w:val="26"/>
          <w:rtl/>
        </w:rPr>
        <w:t xml:space="preserve"> المحوران يطابقان ما اقترحه المخطط الأولي للبحث قبل بناء المصفوفة. ولما كان الحكم في الحالتين صادراً عن الباحث نفسه، فهذا اتساق لا تأكيد مستقل.</w:t>
      </w:r>
    </w:p>
    <w:p>
      <w:pPr>
        <w:pStyle w:val="Heading2"/>
        <w:bidi/>
        <w:jc w:val="right"/>
      </w:pPr>
      <w:r>
        <w:rPr>
          <w:rFonts w:ascii="Times New Roman" w:cs="Noto Naskh Arabic" w:eastAsia="Noto Naskh Arabic" w:hAnsi="Times New Roman"/>
          <w:b/>
          <w:bCs/>
          <w:color w:val="1F4E79"/>
          <w:sz w:val="28"/>
          <w:szCs w:val="28"/>
          <w:rtl/>
        </w:rPr>
        <w:t xml:space="preserve">٧-٤ السيناريوهات الأربعة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47"/>
        <w:gridCol w:w="2939"/>
        <w:gridCol w:w="3020"/>
      </w:tblGrid>
      <w:tr>
        <w:trPr>
          <w:cantSplit w:val="false"/>
          <w:tblHeader/>
        </w:trPr>
        <w:tc>
          <w:tcPr>
            <w:tcW w:type="dxa" w:w="3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p>
        </w:tc>
        <w:tc>
          <w:tcPr>
            <w:tcW w:type="dxa" w:w="29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(ب</w:t>
            </w:r>
            <w:r>
              <w:rPr>
                <w:rFonts w:ascii="Times New Roman" w:cs="Noto Naskh Arabic" w:eastAsia="Noto Naskh Arabic" w:hAnsi="Times New Roman"/>
                <w:b/>
                <w:bCs/>
                <w:color w:val="FFFFFF"/>
                <w:sz w:val="20"/>
                <w:szCs w:val="20"/>
                <w:rtl w:val="false"/>
              </w:rPr>
              <w:t xml:space="preserve">−</w:t>
            </w:r>
            <w:r>
              <w:rPr>
                <w:rFonts w:ascii="Times New Roman" w:cs="Noto Naskh Arabic" w:eastAsia="Noto Naskh Arabic" w:hAnsi="Times New Roman"/>
                <w:b/>
                <w:bCs/>
                <w:color w:val="FFFFFF"/>
                <w:sz w:val="20"/>
                <w:szCs w:val="20"/>
                <w:rtl/>
              </w:rPr>
              <w:t xml:space="preserve">) السياسة تقيس العائد وتموّله</w:t>
            </w:r>
          </w:p>
        </w:tc>
        <w:tc>
          <w:tcPr>
            <w:tcW w:type="dxa" w:w="30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(ب</w:t>
            </w:r>
            <w:r>
              <w:rPr>
                <w:rFonts w:ascii="Times New Roman" w:cs="Noto Naskh Arabic" w:eastAsia="Noto Naskh Arabic" w:hAnsi="Times New Roman"/>
                <w:b/>
                <w:bCs/>
                <w:color w:val="FFFFFF"/>
                <w:sz w:val="20"/>
                <w:szCs w:val="20"/>
                <w:rtl w:val="false"/>
              </w:rPr>
              <w:t xml:space="preserve">+</w:t>
            </w:r>
            <w:r>
              <w:rPr>
                <w:rFonts w:ascii="Times New Roman" w:cs="Noto Naskh Arabic" w:eastAsia="Noto Naskh Arabic" w:hAnsi="Times New Roman"/>
                <w:b/>
                <w:bCs/>
                <w:color w:val="FFFFFF"/>
                <w:sz w:val="20"/>
                <w:szCs w:val="20"/>
                <w:rtl/>
              </w:rPr>
              <w:t xml:space="preserve">) السياسة تقيس القدرة وتموّلها</w:t>
            </w:r>
          </w:p>
        </w:tc>
      </w:tr>
      <w:tr>
        <w:trPr>
          <w:cantSplit w:val="false"/>
          <w:tblHeader w:val="false"/>
        </w:trPr>
        <w:tc>
          <w:tcPr>
            <w:tcW w:type="dxa" w:w="334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sz w:val="20"/>
                <w:szCs w:val="20"/>
                <w:rtl/>
              </w:rPr>
              <w:t xml:space="preserve">(أ</w:t>
            </w:r>
            <w:r>
              <w:rPr>
                <w:rFonts w:ascii="Times New Roman" w:cs="Noto Naskh Arabic" w:eastAsia="Noto Naskh Arabic" w:hAnsi="Times New Roman"/>
                <w:b/>
                <w:bCs/>
                <w:sz w:val="20"/>
                <w:szCs w:val="20"/>
                <w:rtl w:val="false"/>
              </w:rPr>
              <w:t xml:space="preserve">−</w:t>
            </w:r>
            <w:r>
              <w:rPr>
                <w:rFonts w:ascii="Times New Roman" w:cs="Noto Naskh Arabic" w:eastAsia="Noto Naskh Arabic" w:hAnsi="Times New Roman"/>
                <w:b/>
                <w:bCs/>
                <w:sz w:val="20"/>
                <w:szCs w:val="20"/>
                <w:rtl/>
              </w:rPr>
              <w:t xml:space="preserve">) وساطة بمنطق الانتباه</w:t>
            </w:r>
          </w:p>
        </w:tc>
        <w:tc>
          <w:tcPr>
            <w:tcW w:type="dxa" w:w="293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 سوق الانتباه</w:t>
            </w:r>
          </w:p>
        </w:tc>
        <w:tc>
          <w:tcPr>
            <w:tcW w:type="dxa" w:w="30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 الجزيرة المموّلة</w:t>
            </w:r>
          </w:p>
        </w:tc>
      </w:tr>
      <w:tr>
        <w:trPr>
          <w:cantSplit w:val="false"/>
          <w:tblHeader w:val="false"/>
        </w:trPr>
        <w:tc>
          <w:tcPr>
            <w:tcW w:type="dxa" w:w="334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sz w:val="20"/>
                <w:szCs w:val="20"/>
                <w:rtl/>
              </w:rPr>
              <w:t xml:space="preserve">(أ</w:t>
            </w:r>
            <w:r>
              <w:rPr>
                <w:rFonts w:ascii="Times New Roman" w:cs="Noto Naskh Arabic" w:eastAsia="Noto Naskh Arabic" w:hAnsi="Times New Roman"/>
                <w:b/>
                <w:bCs/>
                <w:sz w:val="20"/>
                <w:szCs w:val="20"/>
                <w:rtl w:val="false"/>
              </w:rPr>
              <w:t xml:space="preserve">+</w:t>
            </w:r>
            <w:r>
              <w:rPr>
                <w:rFonts w:ascii="Times New Roman" w:cs="Noto Naskh Arabic" w:eastAsia="Noto Naskh Arabic" w:hAnsi="Times New Roman"/>
                <w:b/>
                <w:bCs/>
                <w:sz w:val="20"/>
                <w:szCs w:val="20"/>
                <w:rtl/>
              </w:rPr>
              <w:t xml:space="preserve">) وساطة بقواعد تحمي التنوع والمبدع</w:t>
            </w:r>
          </w:p>
        </w:tc>
        <w:tc>
          <w:tcPr>
            <w:tcW w:type="dxa" w:w="293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٤ العمى</w:t>
            </w:r>
          </w:p>
        </w:tc>
        <w:tc>
          <w:tcPr>
            <w:tcW w:type="dxa" w:w="30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 التوازن المعرفي</w:t>
            </w:r>
          </w:p>
        </w:tc>
      </w:tr>
    </w:tbl>
    <w:p>
      <w:pPr>
        <w:spacing w:after="120"/>
      </w:pPr>
    </w:p>
    <w:p>
      <w:pPr>
        <w:bidi/>
        <w:spacing w:after="120" w:line="336"/>
        <w:jc w:val="both"/>
      </w:pPr>
      <w:r>
        <w:rPr>
          <w:rFonts w:ascii="Times New Roman" w:cs="Noto Naskh Arabic" w:eastAsia="Noto Naskh Arabic" w:hAnsi="Times New Roman"/>
          <w:b/>
          <w:bCs/>
          <w:sz w:val="26"/>
          <w:szCs w:val="26"/>
          <w:rtl/>
        </w:rPr>
        <w:t xml:space="preserve">السيناريو الأول: سوق الانتباه (أ</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 ب</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w:t>
      </w:r>
    </w:p>
    <w:p>
      <w:pPr>
        <w:bidi/>
        <w:spacing w:after="120" w:line="336"/>
        <w:jc w:val="both"/>
      </w:pPr>
      <w:r>
        <w:rPr>
          <w:rFonts w:ascii="Times New Roman" w:cs="Noto Naskh Arabic" w:eastAsia="Noto Naskh Arabic" w:hAnsi="Times New Roman"/>
          <w:i w:val="false"/>
          <w:sz w:val="26"/>
          <w:szCs w:val="26"/>
          <w:rtl/>
        </w:rPr>
        <w:t xml:space="preserve">منطق النشوء.</w:t>
      </w:r>
      <w:r>
        <w:rPr>
          <w:rFonts w:ascii="Times New Roman" w:cs="Noto Naskh Arabic" w:eastAsia="Noto Naskh Arabic" w:hAnsi="Times New Roman"/>
          <w:sz w:val="26"/>
          <w:szCs w:val="26"/>
          <w:rtl/>
        </w:rPr>
        <w:t xml:space="preserve"> تستمر الوساطة الخوارزمية في التركّز دون قواعد تحمي التنوع، ويستمر التمويل العام في التراجع والاشتراط بالعائد. وتعمل الحلقات المعزِّزة الثلاث في القسم السادس دون كابح.</w:t>
      </w:r>
    </w:p>
    <w:p>
      <w:pPr>
        <w:bidi/>
        <w:spacing w:after="120" w:line="336"/>
        <w:jc w:val="both"/>
      </w:pPr>
      <w:r>
        <w:rPr>
          <w:rFonts w:ascii="Times New Roman" w:cs="Noto Naskh Arabic" w:eastAsia="Noto Naskh Arabic" w:hAnsi="Times New Roman"/>
          <w:i w:val="false"/>
          <w:sz w:val="26"/>
          <w:szCs w:val="26"/>
          <w:rtl/>
        </w:rPr>
        <w:t xml:space="preserve">التحولات.</w:t>
      </w:r>
      <w:r>
        <w:rPr>
          <w:rFonts w:ascii="Times New Roman" w:cs="Noto Naskh Arabic" w:eastAsia="Noto Naskh Arabic" w:hAnsi="Times New Roman"/>
          <w:sz w:val="26"/>
          <w:szCs w:val="26"/>
          <w:rtl/>
        </w:rPr>
        <w:t xml:space="preserve"> ينمو العائد الاقتصادي للقطاع بأسرع إيقاع بين السيناريوهات (نحو ستة أضعاف ونصف حتى ٢٠٥٠ في المحاكاة عند وساطة ٠٫٨). وتقترب القدرة الفكرية من عتبة الانطفاء، فيتراجع التجدد والتنوع الفاعل، بينما يتسع العرض.</w:t>
      </w:r>
    </w:p>
    <w:p>
      <w:pPr>
        <w:bidi/>
        <w:spacing w:after="120" w:line="336"/>
        <w:jc w:val="both"/>
      </w:pPr>
      <w:r>
        <w:rPr>
          <w:rFonts w:ascii="Times New Roman" w:cs="Noto Naskh Arabic" w:eastAsia="Noto Naskh Arabic" w:hAnsi="Times New Roman"/>
          <w:i w:val="false"/>
          <w:sz w:val="26"/>
          <w:szCs w:val="26"/>
          <w:rtl/>
        </w:rPr>
        <w:t xml:space="preserve">المخاطر.</w:t>
      </w:r>
      <w:r>
        <w:rPr>
          <w:rFonts w:ascii="Times New Roman" w:cs="Noto Naskh Arabic" w:eastAsia="Noto Naskh Arabic" w:hAnsi="Times New Roman"/>
          <w:sz w:val="26"/>
          <w:szCs w:val="26"/>
          <w:rtl/>
        </w:rPr>
        <w:t xml:space="preserve"> أن يصبح النظام الثقافي منتجاً كفؤاً لمحتوى قليل التنوع، وأن يتعذر استعادة القدرة بعد تجاوز العتبة إذا كان التآكل غير قابل للعكس جزئياً.</w:t>
      </w:r>
    </w:p>
    <w:p>
      <w:pPr>
        <w:bidi/>
        <w:spacing w:after="120" w:line="336"/>
        <w:jc w:val="both"/>
      </w:pPr>
      <w:r>
        <w:rPr>
          <w:rFonts w:ascii="Times New Roman" w:cs="Noto Naskh Arabic" w:eastAsia="Noto Naskh Arabic" w:hAnsi="Times New Roman"/>
          <w:i w:val="false"/>
          <w:sz w:val="26"/>
          <w:szCs w:val="26"/>
          <w:rtl/>
        </w:rPr>
        <w:t xml:space="preserve">مؤشر الإنذار القائد.</w:t>
      </w:r>
      <w:r>
        <w:rPr>
          <w:rFonts w:ascii="Times New Roman" w:cs="Noto Naskh Arabic" w:eastAsia="Noto Naskh Arabic" w:hAnsi="Times New Roman"/>
          <w:sz w:val="26"/>
          <w:szCs w:val="26"/>
          <w:rtl/>
        </w:rPr>
        <w:t xml:space="preserve"> هبوط حصة الأعمال الجديدة من مؤلفين جدد مع صعود المؤشرات الاقتصادية.</w:t>
      </w:r>
    </w:p>
    <w:p>
      <w:pPr>
        <w:bidi/>
        <w:spacing w:after="120" w:line="336"/>
        <w:jc w:val="both"/>
      </w:pPr>
      <w:r>
        <w:rPr>
          <w:rFonts w:ascii="Times New Roman" w:cs="Noto Naskh Arabic" w:eastAsia="Noto Naskh Arabic" w:hAnsi="Times New Roman"/>
          <w:i w:val="false"/>
          <w:sz w:val="26"/>
          <w:szCs w:val="26"/>
          <w:rtl/>
        </w:rPr>
        <w:t xml:space="preserve">صلته بالمخطط الأولي.</w:t>
      </w:r>
      <w:r>
        <w:rPr>
          <w:rFonts w:ascii="Times New Roman" w:cs="Noto Naskh Arabic" w:eastAsia="Noto Naskh Arabic" w:hAnsi="Times New Roman"/>
          <w:sz w:val="26"/>
          <w:szCs w:val="26"/>
          <w:rtl/>
        </w:rPr>
        <w:t xml:space="preserve"> يجمع سيناريوهين كان المخطط الأولي للبحث قد فصل بينهما («الازدهار الاقتصادي والتراجع الثقافي النسبي» و«الهيمنة الخوارزمية»)؛ فالتحليل يُظهر أنهما وجهان لتركيب واحد.</w:t>
      </w:r>
    </w:p>
    <w:p>
      <w:pPr>
        <w:bidi/>
        <w:spacing w:after="120" w:line="336"/>
        <w:jc w:val="both"/>
      </w:pPr>
      <w:r>
        <w:rPr>
          <w:rFonts w:ascii="Times New Roman" w:cs="Noto Naskh Arabic" w:eastAsia="Noto Naskh Arabic" w:hAnsi="Times New Roman"/>
          <w:b/>
          <w:bCs/>
          <w:sz w:val="26"/>
          <w:szCs w:val="26"/>
          <w:rtl/>
        </w:rPr>
        <w:t xml:space="preserve">السيناريو الثاني: التوازن المعرفي (أ</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 ب</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w:t>
      </w:r>
    </w:p>
    <w:p>
      <w:pPr>
        <w:bidi/>
        <w:spacing w:after="120" w:line="336"/>
        <w:jc w:val="both"/>
      </w:pPr>
      <w:r>
        <w:rPr>
          <w:rFonts w:ascii="Times New Roman" w:cs="Noto Naskh Arabic" w:eastAsia="Noto Naskh Arabic" w:hAnsi="Times New Roman"/>
          <w:i w:val="false"/>
          <w:sz w:val="26"/>
          <w:szCs w:val="26"/>
          <w:rtl/>
        </w:rPr>
        <w:t xml:space="preserve">منطق النشوء.</w:t>
      </w:r>
      <w:r>
        <w:rPr>
          <w:rFonts w:ascii="Times New Roman" w:cs="Noto Naskh Arabic" w:eastAsia="Noto Naskh Arabic" w:hAnsi="Times New Roman"/>
          <w:sz w:val="26"/>
          <w:szCs w:val="26"/>
          <w:rtl/>
        </w:rPr>
        <w:t xml:space="preserve"> تُعتمد قواعد للوساطة تحمي التنوع وتوزّع عوائد الذكاء الاصطناعي على المبدعين، ويُبنى قياس للقدرة الفكرية يدخل معايير التمويل.</w:t>
      </w:r>
    </w:p>
    <w:p>
      <w:pPr>
        <w:bidi/>
        <w:spacing w:after="120" w:line="336"/>
        <w:jc w:val="both"/>
      </w:pPr>
      <w:r>
        <w:rPr>
          <w:rFonts w:ascii="Times New Roman" w:cs="Noto Naskh Arabic" w:eastAsia="Noto Naskh Arabic" w:hAnsi="Times New Roman"/>
          <w:i w:val="false"/>
          <w:sz w:val="26"/>
          <w:szCs w:val="26"/>
          <w:rtl/>
        </w:rPr>
        <w:t xml:space="preserve">التحولات.</w:t>
      </w:r>
      <w:r>
        <w:rPr>
          <w:rFonts w:ascii="Times New Roman" w:cs="Noto Naskh Arabic" w:eastAsia="Noto Naskh Arabic" w:hAnsi="Times New Roman"/>
          <w:sz w:val="26"/>
          <w:szCs w:val="26"/>
          <w:rtl/>
        </w:rPr>
        <w:t xml:space="preserve"> ينمو العائد بإيقاع أبطأ من السيناريو الأول، لكن القدرة الفكرية تبقى بعيدة عن العتبة، وتتسع مساحة الأمان بحماية الاستقلال.</w:t>
      </w:r>
    </w:p>
    <w:p>
      <w:pPr>
        <w:bidi/>
        <w:spacing w:after="120" w:line="336"/>
        <w:jc w:val="both"/>
      </w:pPr>
      <w:r>
        <w:rPr>
          <w:rFonts w:ascii="Times New Roman" w:cs="Noto Naskh Arabic" w:eastAsia="Noto Naskh Arabic" w:hAnsi="Times New Roman"/>
          <w:i w:val="false"/>
          <w:sz w:val="26"/>
          <w:szCs w:val="26"/>
          <w:rtl/>
        </w:rPr>
        <w:t xml:space="preserve">الشرط الحرج.</w:t>
      </w:r>
      <w:r>
        <w:rPr>
          <w:rFonts w:ascii="Times New Roman" w:cs="Noto Naskh Arabic" w:eastAsia="Noto Naskh Arabic" w:hAnsi="Times New Roman"/>
          <w:sz w:val="26"/>
          <w:szCs w:val="26"/>
          <w:rtl/>
        </w:rPr>
        <w:t xml:space="preserve"> لا يتحقق هذا السيناريو إلا باجتماع المحورين. فقواعد الوساطة دون قياس القدرة تُنتج السيناريو الرابع، وقياس القدرة دون قواعد الوساطة يُنتج الثالث. ولا يقع التوازن في منتصف الطريق بين السيناريوهات، بل في تركيب مختلف منطقياً.</w:t>
      </w:r>
    </w:p>
    <w:p>
      <w:pPr>
        <w:bidi/>
        <w:spacing w:after="120" w:line="336"/>
        <w:jc w:val="both"/>
      </w:pPr>
      <w:r>
        <w:rPr>
          <w:rFonts w:ascii="Times New Roman" w:cs="Noto Naskh Arabic" w:eastAsia="Noto Naskh Arabic" w:hAnsi="Times New Roman"/>
          <w:i w:val="false"/>
          <w:sz w:val="26"/>
          <w:szCs w:val="26"/>
          <w:rtl/>
        </w:rPr>
        <w:t xml:space="preserve">مؤشر الإنذار.</w:t>
      </w:r>
      <w:r>
        <w:rPr>
          <w:rFonts w:ascii="Times New Roman" w:cs="Noto Naskh Arabic" w:eastAsia="Noto Naskh Arabic" w:hAnsi="Times New Roman"/>
          <w:sz w:val="26"/>
          <w:szCs w:val="26"/>
          <w:rtl/>
        </w:rPr>
        <w:t xml:space="preserve"> اتساع الفارق بين مؤشرات القدرة ومؤشرات العائد بعد تقاربهما؛ ويعني ارتداداً نحو أحد السيناريوهات الأخرى.</w:t>
      </w:r>
    </w:p>
    <w:p>
      <w:pPr>
        <w:bidi/>
        <w:spacing w:after="120" w:line="336"/>
        <w:jc w:val="both"/>
      </w:pPr>
      <w:r>
        <w:rPr>
          <w:rFonts w:ascii="Times New Roman" w:cs="Noto Naskh Arabic" w:eastAsia="Noto Naskh Arabic" w:hAnsi="Times New Roman"/>
          <w:i w:val="false"/>
          <w:sz w:val="26"/>
          <w:szCs w:val="26"/>
          <w:rtl/>
        </w:rPr>
        <w:t xml:space="preserve">صلته بالمخطط الأولي.</w:t>
      </w:r>
      <w:r>
        <w:rPr>
          <w:rFonts w:ascii="Times New Roman" w:cs="Noto Naskh Arabic" w:eastAsia="Noto Naskh Arabic" w:hAnsi="Times New Roman"/>
          <w:sz w:val="26"/>
          <w:szCs w:val="26"/>
          <w:rtl/>
        </w:rPr>
        <w:t xml:space="preserve"> يجمع سيناريوهين كان المخطط الأولي قد فصل بينهما («اقتصاد ثقافي معرفي متوازن» و«الثقافة منفعة عامة استراتيجية»).</w:t>
      </w:r>
    </w:p>
    <w:p>
      <w:pPr>
        <w:bidi/>
        <w:spacing w:after="120" w:line="336"/>
        <w:jc w:val="both"/>
      </w:pPr>
      <w:r>
        <w:rPr>
          <w:rFonts w:ascii="Times New Roman" w:cs="Noto Naskh Arabic" w:eastAsia="Noto Naskh Arabic" w:hAnsi="Times New Roman"/>
          <w:b/>
          <w:bCs/>
          <w:sz w:val="26"/>
          <w:szCs w:val="26"/>
          <w:rtl/>
        </w:rPr>
        <w:t xml:space="preserve">السيناريو الثالث: الجزيرة المموّلة (أ</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 ب</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w:t>
      </w:r>
    </w:p>
    <w:p>
      <w:pPr>
        <w:bidi/>
        <w:spacing w:after="120" w:line="336"/>
        <w:jc w:val="both"/>
      </w:pPr>
      <w:r>
        <w:rPr>
          <w:rFonts w:ascii="Times New Roman" w:cs="Noto Naskh Arabic" w:eastAsia="Noto Naskh Arabic" w:hAnsi="Times New Roman"/>
          <w:i w:val="false"/>
          <w:sz w:val="26"/>
          <w:szCs w:val="26"/>
          <w:rtl/>
        </w:rPr>
        <w:t xml:space="preserve">منطق النشوء.</w:t>
      </w:r>
      <w:r>
        <w:rPr>
          <w:rFonts w:ascii="Times New Roman" w:cs="Noto Naskh Arabic" w:eastAsia="Noto Naskh Arabic" w:hAnsi="Times New Roman"/>
          <w:sz w:val="26"/>
          <w:szCs w:val="26"/>
          <w:rtl/>
        </w:rPr>
        <w:t xml:space="preserve"> تبني السياسة قياساً للقدرة وتموّلها، لكنها لا تملك التأثير في قواعد الوساطة، لأن المنصات عابرة للحدود والتنظيم متعثر.</w:t>
      </w:r>
    </w:p>
    <w:p>
      <w:pPr>
        <w:bidi/>
        <w:spacing w:after="120" w:line="336"/>
        <w:jc w:val="both"/>
      </w:pPr>
      <w:r>
        <w:rPr>
          <w:rFonts w:ascii="Times New Roman" w:cs="Noto Naskh Arabic" w:eastAsia="Noto Naskh Arabic" w:hAnsi="Times New Roman"/>
          <w:i w:val="false"/>
          <w:sz w:val="26"/>
          <w:szCs w:val="26"/>
          <w:rtl/>
        </w:rPr>
        <w:t xml:space="preserve">التحولات.</w:t>
      </w:r>
      <w:r>
        <w:rPr>
          <w:rFonts w:ascii="Times New Roman" w:cs="Noto Naskh Arabic" w:eastAsia="Noto Naskh Arabic" w:hAnsi="Times New Roman"/>
          <w:sz w:val="26"/>
          <w:szCs w:val="26"/>
          <w:rtl/>
        </w:rPr>
        <w:t xml:space="preserve"> تبقى القدرة الفكرية حية داخل مؤسسات مموّلة عمومياً ومستقلة، لكن الجمهور يصل إلى الثقافة عبر منصات لا تعرض ما تنتجه هذه المؤسسات. فتنفصل القيمة الفكرية عن التداول الواسع.</w:t>
      </w:r>
    </w:p>
    <w:p>
      <w:pPr>
        <w:bidi/>
        <w:spacing w:after="120" w:line="336"/>
        <w:jc w:val="both"/>
      </w:pPr>
      <w:r>
        <w:rPr>
          <w:rFonts w:ascii="Times New Roman" w:cs="Noto Naskh Arabic" w:eastAsia="Noto Naskh Arabic" w:hAnsi="Times New Roman"/>
          <w:i w:val="false"/>
          <w:sz w:val="26"/>
          <w:szCs w:val="26"/>
          <w:rtl/>
        </w:rPr>
        <w:t xml:space="preserve">المخاطر.</w:t>
      </w:r>
      <w:r>
        <w:rPr>
          <w:rFonts w:ascii="Times New Roman" w:cs="Noto Naskh Arabic" w:eastAsia="Noto Naskh Arabic" w:hAnsi="Times New Roman"/>
          <w:sz w:val="26"/>
          <w:szCs w:val="26"/>
          <w:rtl/>
        </w:rPr>
        <w:t xml:space="preserve"> أن يتهم الجمهور والسياسيون المؤسسات الثقافية بالنخبوية، فيتآكل التأييد السياسي للتمويل العام، ويرتد النظام نحو السيناريو الأول.</w:t>
      </w:r>
    </w:p>
    <w:p>
      <w:pPr>
        <w:bidi/>
        <w:spacing w:after="120" w:line="336"/>
        <w:jc w:val="both"/>
      </w:pPr>
      <w:r>
        <w:rPr>
          <w:rFonts w:ascii="Times New Roman" w:cs="Noto Naskh Arabic" w:eastAsia="Noto Naskh Arabic" w:hAnsi="Times New Roman"/>
          <w:i w:val="false"/>
          <w:sz w:val="26"/>
          <w:szCs w:val="26"/>
          <w:rtl/>
        </w:rPr>
        <w:t xml:space="preserve">مؤشر الإنذار.</w:t>
      </w:r>
      <w:r>
        <w:rPr>
          <w:rFonts w:ascii="Times New Roman" w:cs="Noto Naskh Arabic" w:eastAsia="Noto Naskh Arabic" w:hAnsi="Times New Roman"/>
          <w:sz w:val="26"/>
          <w:szCs w:val="26"/>
          <w:rtl/>
        </w:rPr>
        <w:t xml:space="preserve"> اتساع الفارق بين مؤشرات الإنتاج في المؤسسات المموّلة ومؤشرات الوصول إلى الجمهور.</w:t>
      </w:r>
    </w:p>
    <w:p>
      <w:pPr>
        <w:bidi/>
        <w:spacing w:after="120" w:line="336"/>
        <w:jc w:val="both"/>
      </w:pPr>
      <w:r>
        <w:rPr>
          <w:rFonts w:ascii="Times New Roman" w:cs="Noto Naskh Arabic" w:eastAsia="Noto Naskh Arabic" w:hAnsi="Times New Roman"/>
          <w:b/>
          <w:bCs/>
          <w:sz w:val="26"/>
          <w:szCs w:val="26"/>
          <w:rtl/>
        </w:rPr>
        <w:t xml:space="preserve">السيناريو الرابع: العمى (أ</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 ب</w:t>
      </w:r>
      <w:r>
        <w:rPr>
          <w:rFonts w:ascii="Times New Roman" w:cs="Noto Naskh Arabic" w:eastAsia="Noto Naskh Arabic" w:hAnsi="Times New Roman"/>
          <w:b/>
          <w:bCs/>
          <w:sz w:val="26"/>
          <w:szCs w:val="26"/>
          <w:rtl w:val="false"/>
        </w:rPr>
        <w:t xml:space="preserve">−</w:t>
      </w:r>
      <w:r>
        <w:rPr>
          <w:rFonts w:ascii="Times New Roman" w:cs="Noto Naskh Arabic" w:eastAsia="Noto Naskh Arabic" w:hAnsi="Times New Roman"/>
          <w:b/>
          <w:bCs/>
          <w:sz w:val="26"/>
          <w:szCs w:val="26"/>
          <w:rtl/>
        </w:rPr>
        <w:t xml:space="preserve">).</w:t>
      </w:r>
    </w:p>
    <w:p>
      <w:pPr>
        <w:bidi/>
        <w:spacing w:after="120" w:line="336"/>
        <w:jc w:val="both"/>
      </w:pPr>
      <w:r>
        <w:rPr>
          <w:rFonts w:ascii="Times New Roman" w:cs="Noto Naskh Arabic" w:eastAsia="Noto Naskh Arabic" w:hAnsi="Times New Roman"/>
          <w:i w:val="false"/>
          <w:sz w:val="26"/>
          <w:szCs w:val="26"/>
          <w:rtl/>
        </w:rPr>
        <w:t xml:space="preserve">منطق النشوء.</w:t>
      </w:r>
      <w:r>
        <w:rPr>
          <w:rFonts w:ascii="Times New Roman" w:cs="Noto Naskh Arabic" w:eastAsia="Noto Naskh Arabic" w:hAnsi="Times New Roman"/>
          <w:sz w:val="26"/>
          <w:szCs w:val="26"/>
          <w:rtl/>
        </w:rPr>
        <w:t xml:space="preserve"> تنجح قواعد الوساطة في حماية التنوع، بتنظيم إقليمي أو دولي مثلاً، لكن السياسة الثقافية الوطنية تبقى تقيس العائد وحده.</w:t>
      </w:r>
    </w:p>
    <w:p>
      <w:pPr>
        <w:bidi/>
        <w:spacing w:after="120" w:line="336"/>
        <w:jc w:val="both"/>
      </w:pPr>
      <w:r>
        <w:rPr>
          <w:rFonts w:ascii="Times New Roman" w:cs="Noto Naskh Arabic" w:eastAsia="Noto Naskh Arabic" w:hAnsi="Times New Roman"/>
          <w:i w:val="false"/>
          <w:sz w:val="26"/>
          <w:szCs w:val="26"/>
          <w:rtl/>
        </w:rPr>
        <w:t xml:space="preserve">التحولات.</w:t>
      </w:r>
      <w:r>
        <w:rPr>
          <w:rFonts w:ascii="Times New Roman" w:cs="Noto Naskh Arabic" w:eastAsia="Noto Naskh Arabic" w:hAnsi="Times New Roman"/>
          <w:sz w:val="26"/>
          <w:szCs w:val="26"/>
          <w:rtl/>
        </w:rPr>
        <w:t xml:space="preserve"> قد تبقى القدرة الفكرية سليمة أو تتحسن، لكنها لا تظهر في المؤشرات. فتبدو البرامج التي تحملها غير منتجة، ومرشّحة للتقليص في أي ضغط مالي.</w:t>
      </w:r>
    </w:p>
    <w:p>
      <w:pPr>
        <w:bidi/>
        <w:spacing w:after="120" w:line="336"/>
        <w:jc w:val="both"/>
      </w:pPr>
      <w:r>
        <w:rPr>
          <w:rFonts w:ascii="Times New Roman" w:cs="Noto Naskh Arabic" w:eastAsia="Noto Naskh Arabic" w:hAnsi="Times New Roman"/>
          <w:i w:val="false"/>
          <w:sz w:val="26"/>
          <w:szCs w:val="26"/>
          <w:rtl/>
        </w:rPr>
        <w:t xml:space="preserve">المخاطر.</w:t>
      </w:r>
      <w:r>
        <w:rPr>
          <w:rFonts w:ascii="Times New Roman" w:cs="Noto Naskh Arabic" w:eastAsia="Noto Naskh Arabic" w:hAnsi="Times New Roman"/>
          <w:sz w:val="26"/>
          <w:szCs w:val="26"/>
          <w:rtl/>
        </w:rPr>
        <w:t xml:space="preserve"> هذا هو «تباعد القياس» في صورته الكاملة. وخطورته أنه لا يُنذر بنفسه: فالتراجع لا يحدث في القدرة بل في القرار، حين تُقلَّص برامج ناجحة لأنها لا تُرى.</w:t>
      </w:r>
    </w:p>
    <w:p>
      <w:pPr>
        <w:bidi/>
        <w:spacing w:after="120" w:line="336"/>
        <w:jc w:val="both"/>
      </w:pPr>
      <w:r>
        <w:rPr>
          <w:rFonts w:ascii="Times New Roman" w:cs="Noto Naskh Arabic" w:eastAsia="Noto Naskh Arabic" w:hAnsi="Times New Roman"/>
          <w:i w:val="false"/>
          <w:sz w:val="26"/>
          <w:szCs w:val="26"/>
          <w:rtl/>
        </w:rPr>
        <w:t xml:space="preserve">مؤشر الإنذار.</w:t>
      </w:r>
      <w:r>
        <w:rPr>
          <w:rFonts w:ascii="Times New Roman" w:cs="Noto Naskh Arabic" w:eastAsia="Noto Naskh Arabic" w:hAnsi="Times New Roman"/>
          <w:sz w:val="26"/>
          <w:szCs w:val="26"/>
          <w:rtl/>
        </w:rPr>
        <w:t xml:space="preserve"> تقليص تمويل برامج لا تملك مؤشر عائد، رغم ثبات مؤشرات التجدد أو صعودها.</w:t>
      </w:r>
    </w:p>
    <w:p>
      <w:pPr>
        <w:bidi/>
        <w:spacing w:after="120" w:line="336"/>
        <w:jc w:val="both"/>
      </w:pPr>
      <w:r>
        <w:rPr>
          <w:rFonts w:ascii="Times New Roman" w:cs="Noto Naskh Arabic" w:eastAsia="Noto Naskh Arabic" w:hAnsi="Times New Roman"/>
          <w:i w:val="false"/>
          <w:sz w:val="26"/>
          <w:szCs w:val="26"/>
          <w:rtl/>
        </w:rPr>
        <w:t xml:space="preserve">صلته بالمخطط الأولي.</w:t>
      </w:r>
      <w:r>
        <w:rPr>
          <w:rFonts w:ascii="Times New Roman" w:cs="Noto Naskh Arabic" w:eastAsia="Noto Naskh Arabic" w:hAnsi="Times New Roman"/>
          <w:sz w:val="26"/>
          <w:szCs w:val="26"/>
          <w:rtl/>
        </w:rPr>
        <w:t xml:space="preserve"> لا مقابل له في المخطط الأولي؛ وهو أحد ما أضافه التحليل.</w:t>
      </w:r>
    </w:p>
    <w:p>
      <w:pPr>
        <w:pStyle w:val="Heading2"/>
        <w:bidi/>
        <w:jc w:val="right"/>
      </w:pPr>
      <w:r>
        <w:rPr>
          <w:rFonts w:ascii="Times New Roman" w:cs="Noto Naskh Arabic" w:eastAsia="Noto Naskh Arabic" w:hAnsi="Times New Roman"/>
          <w:b/>
          <w:bCs/>
          <w:color w:val="1F4E79"/>
          <w:sz w:val="28"/>
          <w:szCs w:val="28"/>
          <w:rtl/>
        </w:rPr>
        <w:t xml:space="preserve">٧-٥ السياق الثابت والسياق المتغير</w:t>
      </w:r>
    </w:p>
    <w:p>
      <w:pPr>
        <w:bidi/>
        <w:spacing w:after="120" w:line="336"/>
        <w:jc w:val="both"/>
      </w:pPr>
      <w:r>
        <w:rPr>
          <w:rFonts w:ascii="Times New Roman" w:cs="Noto Naskh Arabic" w:eastAsia="Noto Naskh Arabic" w:hAnsi="Times New Roman"/>
          <w:b/>
          <w:bCs/>
          <w:sz w:val="26"/>
          <w:szCs w:val="26"/>
          <w:rtl/>
        </w:rPr>
        <w:t xml:space="preserve">الثابت:</w:t>
      </w:r>
      <w:r>
        <w:rPr>
          <w:rFonts w:ascii="Times New Roman" w:cs="Noto Naskh Arabic" w:eastAsia="Noto Naskh Arabic" w:hAnsi="Times New Roman"/>
          <w:sz w:val="26"/>
          <w:szCs w:val="26"/>
          <w:rtl/>
        </w:rPr>
        <w:t xml:space="preserve"> تنامي قدرة الذكاء الاصطناعي التوليدي في السيناريوهات الأربعة. ويعني ذلك أن السؤال ليس هل يغيّر الذكاء الاصطناعي الإنتاج الثقافي، بل كيف تُحكم الوساطة والعوائد في ظله.</w:t>
      </w:r>
    </w:p>
    <w:p>
      <w:pPr>
        <w:bidi/>
        <w:spacing w:after="120" w:line="336"/>
        <w:jc w:val="both"/>
      </w:pPr>
      <w:r>
        <w:rPr>
          <w:rFonts w:ascii="Times New Roman" w:cs="Noto Naskh Arabic" w:eastAsia="Noto Naskh Arabic" w:hAnsi="Times New Roman"/>
          <w:b/>
          <w:bCs/>
          <w:sz w:val="26"/>
          <w:szCs w:val="26"/>
          <w:rtl/>
        </w:rPr>
        <w:t xml:space="preserve">المتغير السياقي:</w:t>
      </w:r>
      <w:r>
        <w:rPr>
          <w:rFonts w:ascii="Times New Roman" w:cs="Noto Naskh Arabic" w:eastAsia="Noto Naskh Arabic" w:hAnsi="Times New Roman"/>
          <w:sz w:val="26"/>
          <w:szCs w:val="26"/>
          <w:rtl/>
        </w:rPr>
        <w:t xml:space="preserve"> الجيوسياسة والتجارة. فالتشظي الجيوسياسي قد يدفع نحو تنظيم إقليمي للمنصات (فيقرّب المحور أ من الطرف الإيجابي)، أو نحو اعتماد على منصات خارجية دون قدرة على تنظيمها (فيدفعه نحو السلبي). وتشير دراسة القيم العالمية إلى تقارب إقليمي في القيم</w:t>
      </w:r>
      <w:r>
        <w:rPr>
          <w:rStyle w:val="FootnoteReference"/>
        </w:rPr>
        <w:footnoteReference w:id="86"/>
      </w:r>
      <w:r>
        <w:rPr>
          <w:rFonts w:ascii="Times New Roman" w:cs="Noto Naskh Arabic" w:eastAsia="Noto Naskh Arabic" w:hAnsi="Times New Roman"/>
          <w:sz w:val="26"/>
          <w:szCs w:val="26"/>
          <w:rtl/>
        </w:rPr>
        <w:t xml:space="preserve">، وهو ما يجعل التنظيم الإقليمي — في الخليج مثلاً — مساراً معقولاً لتحريك المحور (أ).</w:t>
      </w:r>
    </w:p>
    <w:p>
      <w:pPr>
        <w:bidi/>
        <w:spacing w:after="120" w:line="336"/>
        <w:jc w:val="both"/>
      </w:pPr>
      <w:r>
        <w:rPr>
          <w:rFonts w:ascii="Times New Roman" w:cs="Noto Naskh Arabic" w:eastAsia="Noto Naskh Arabic" w:hAnsi="Times New Roman"/>
          <w:sz w:val="26"/>
          <w:szCs w:val="26"/>
          <w:rtl/>
        </w:rPr>
        <w:t xml:space="preserve">ويُضاف إلى ذلك مسار ثالث لتحريك المحور (أ) كشفه الدليل المضاد في القسم السادس: أن للمنصات نفسها مصلحة اقتصادية بعيدة المدى في تنوع الاستهلاك، لأنه يرتبط بالاحتفاظ بالمستخدمين وتحويلهم إلى مشتركين</w:t>
      </w:r>
      <w:r>
        <w:rPr>
          <w:rStyle w:val="FootnoteReference"/>
        </w:rPr>
        <w:footnoteReference w:id="87"/>
      </w:r>
      <w:r>
        <w:rPr>
          <w:rFonts w:ascii="Times New Roman" w:cs="Noto Naskh Arabic" w:eastAsia="Noto Naskh Arabic" w:hAnsi="Times New Roman"/>
          <w:sz w:val="26"/>
          <w:szCs w:val="26"/>
          <w:rtl/>
        </w:rPr>
        <w:t xml:space="preserve">. فإذا اعتمدت المنصات أفق تحسين أطول، أمكن أن يتحرك المحور نحو طرفه الإيجابي دون تنظيم. ولذلك يحمل كل سيناريو على المحور (أ) سؤالاً إضافياً: هل تحسّن المنصات لمقاييس قصيرة أم طويلة المدى؟</w:t>
      </w:r>
    </w:p>
    <w:p>
      <w:pPr>
        <w:pStyle w:val="Heading2"/>
        <w:bidi/>
        <w:jc w:val="right"/>
      </w:pPr>
      <w:r>
        <w:rPr>
          <w:rFonts w:ascii="Times New Roman" w:cs="Noto Naskh Arabic" w:eastAsia="Noto Naskh Arabic" w:hAnsi="Times New Roman"/>
          <w:b/>
          <w:bCs/>
          <w:color w:val="1F4E79"/>
          <w:sz w:val="28"/>
          <w:szCs w:val="28"/>
          <w:rtl/>
        </w:rPr>
        <w:t xml:space="preserve">٧-٦ نقاط المراجعة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52"/>
        <w:gridCol w:w="4227"/>
        <w:gridCol w:w="4227"/>
      </w:tblGrid>
      <w:tr>
        <w:trPr>
          <w:cantSplit w:val="false"/>
          <w:tblHeader/>
        </w:trPr>
        <w:tc>
          <w:tcPr>
            <w:tcW w:type="dxa" w:w="8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السنة</w:t>
            </w:r>
          </w:p>
        </w:tc>
        <w:tc>
          <w:tcPr>
            <w:tcW w:type="dxa" w:w="42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السؤال المراجَع</w:t>
            </w:r>
          </w:p>
        </w:tc>
        <w:tc>
          <w:tcPr>
            <w:tcW w:type="dxa" w:w="42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المعطى المطلوب</w:t>
            </w:r>
          </w:p>
        </w:tc>
      </w:tr>
      <w:tr>
        <w:trPr>
          <w:cantSplit w:val="false"/>
          <w:tblHeader w:val="false"/>
        </w:trPr>
        <w:tc>
          <w:tcPr>
            <w:tcW w:type="dxa" w:w="8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٢٠٣٠</w:t>
            </w:r>
          </w:p>
        </w:tc>
        <w:tc>
          <w:tcPr>
            <w:tcW w:type="dxa" w:w="42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هل بُنيت السلسلة الاسترجاعية لحصة المؤلفين الجدد؟ وأي الفرضيتين تسند؟</w:t>
            </w:r>
          </w:p>
        </w:tc>
        <w:tc>
          <w:tcPr>
            <w:tcW w:type="dxa" w:w="42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سجلات الإيداع القانوني (القسم الثامن)</w:t>
            </w:r>
          </w:p>
        </w:tc>
      </w:tr>
      <w:tr>
        <w:trPr>
          <w:cantSplit w:val="false"/>
          <w:tblHeader w:val="false"/>
        </w:trPr>
        <w:tc>
          <w:tcPr>
            <w:tcW w:type="dxa" w:w="85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٢٠٣٠</w:t>
            </w:r>
          </w:p>
        </w:tc>
        <w:tc>
          <w:tcPr>
            <w:tcW w:type="dxa" w:w="42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هل بُني مؤشر القدرة الفكرية؟ وهل دخل في معايير التمويل؟</w:t>
            </w:r>
          </w:p>
        </w:tc>
        <w:tc>
          <w:tcPr>
            <w:tcW w:type="dxa" w:w="42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وثائق الاستراتيجيات والموازنات</w:t>
            </w:r>
          </w:p>
        </w:tc>
      </w:tr>
      <w:tr>
        <w:trPr>
          <w:cantSplit w:val="false"/>
          <w:tblHeader w:val="false"/>
        </w:trPr>
        <w:tc>
          <w:tcPr>
            <w:tcW w:type="dxa" w:w="8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٢٠٣٠</w:t>
            </w:r>
          </w:p>
        </w:tc>
        <w:tc>
          <w:tcPr>
            <w:tcW w:type="dxa" w:w="42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هل صدرت قواعد ملزمة لتنوع التوصية أو لتوزيع عوائد التدريب؟</w:t>
            </w:r>
          </w:p>
        </w:tc>
        <w:tc>
          <w:tcPr>
            <w:tcW w:type="dxa" w:w="42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التشريعات الوطنية والإقليمية</w:t>
            </w:r>
          </w:p>
        </w:tc>
      </w:tr>
      <w:tr>
        <w:trPr>
          <w:cantSplit w:val="false"/>
          <w:tblHeader w:val="false"/>
        </w:trPr>
        <w:tc>
          <w:tcPr>
            <w:tcW w:type="dxa" w:w="85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٢٠٤٠</w:t>
            </w:r>
          </w:p>
        </w:tc>
        <w:tc>
          <w:tcPr>
            <w:tcW w:type="dxa" w:w="42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أي السيناريوهات أقرب إلى المرصود؟</w:t>
            </w:r>
          </w:p>
        </w:tc>
        <w:tc>
          <w:tcPr>
            <w:tcW w:type="dxa" w:w="42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السلسلة السنوية المحدَّثة، ومقاييس التنوع التي تفصح عنها المنصات</w:t>
            </w:r>
          </w:p>
        </w:tc>
      </w:tr>
      <w:tr>
        <w:trPr>
          <w:cantSplit w:val="false"/>
          <w:tblHeader w:val="false"/>
        </w:trPr>
        <w:tc>
          <w:tcPr>
            <w:tcW w:type="dxa" w:w="8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٢٠٤٠</w:t>
            </w:r>
          </w:p>
        </w:tc>
        <w:tc>
          <w:tcPr>
            <w:tcW w:type="dxa" w:w="42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هل اقترب النظام من العتبة؟</w:t>
            </w:r>
          </w:p>
        </w:tc>
        <w:tc>
          <w:tcPr>
            <w:tcW w:type="dxa" w:w="42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تقدير معاملات النموذج من البيانات بعد معايرتها</w:t>
            </w:r>
          </w:p>
        </w:tc>
      </w:tr>
    </w:tbl>
    <w:p>
      <w:pPr>
        <w:spacing w:after="120"/>
      </w:pPr>
    </w:p>
    <w:p>
      <w:pPr>
        <w:pStyle w:val="Heading2"/>
        <w:bidi/>
        <w:jc w:val="right"/>
      </w:pPr>
      <w:r>
        <w:rPr>
          <w:rFonts w:ascii="Times New Roman" w:cs="Noto Naskh Arabic" w:eastAsia="Noto Naskh Arabic" w:hAnsi="Times New Roman"/>
          <w:b/>
          <w:bCs/>
          <w:color w:val="1F4E79"/>
          <w:sz w:val="28"/>
          <w:szCs w:val="28"/>
          <w:rtl/>
        </w:rPr>
        <w:t xml:space="preserve">٧-٧ خلاصة القسم</w:t>
      </w:r>
    </w:p>
    <w:p>
      <w:pPr>
        <w:bidi/>
        <w:spacing w:after="120" w:line="336"/>
        <w:jc w:val="both"/>
      </w:pPr>
      <w:r>
        <w:rPr>
          <w:rFonts w:ascii="Times New Roman" w:cs="Noto Naskh Arabic" w:eastAsia="Noto Naskh Arabic" w:hAnsi="Times New Roman"/>
          <w:sz w:val="26"/>
          <w:szCs w:val="26"/>
          <w:rtl/>
        </w:rPr>
        <w:t xml:space="preserve">ينتج تقاطع محوري حوكمة الوساطة وما تقيسه السياسة أربعة سيناريوهات، اثنان منها يجمعان سيناريوهات المخطط الأولي، واثنان جديدان: «الجزيرة المموّلة» و«العمى». وأهم ما يكشفه البناء أن التوازن لا يقع في الوسط، بل يتطلب تحريك المحورين معاً؛ وأن أقل السيناريوهات ظهوراً هو الذي تبقى فيه القدرة سليمة وتغيب عن القرار. وتُختبر أمام هذه السيناريوهات السياسات في القسم الحادي عشر.</w:t>
      </w:r>
    </w:p>
    <w:p>
      <w:pPr>
        <w:pStyle w:val="Heading1"/>
        <w:bidi/>
        <w:jc w:val="right"/>
      </w:pPr>
      <w:r>
        <w:rPr>
          <w:rFonts w:ascii="Times New Roman" w:cs="Noto Naskh Arabic" w:eastAsia="Noto Naskh Arabic" w:hAnsi="Times New Roman"/>
          <w:b/>
          <w:bCs/>
          <w:color w:val="1F4E79"/>
          <w:sz w:val="34"/>
          <w:szCs w:val="34"/>
          <w:rtl/>
        </w:rPr>
        <w:t xml:space="preserve">٨. النموذج والعتبات وإطار القياس</w:t>
      </w:r>
    </w:p>
    <w:p>
      <w:pPr>
        <w:bidi/>
        <w:spacing w:after="120" w:line="336"/>
        <w:jc w:val="both"/>
      </w:pPr>
      <w:r>
        <w:rPr>
          <w:rFonts w:ascii="Times New Roman" w:cs="Noto Naskh Arabic" w:eastAsia="Noto Naskh Arabic" w:hAnsi="Times New Roman"/>
          <w:sz w:val="26"/>
          <w:szCs w:val="26"/>
          <w:rtl/>
        </w:rPr>
        <w:t xml:space="preserve">يترجم هذا القسم خريطة النظام إلى نموذج ديناميكي بسيط، ويسأل ثلاثة أسئلة: هل تنشأ من بنية النظام عتبة تنطفئ عندها القدرة الفكرية؟ وما الذي يحرّك موقعها؟ وما المعطى الذي يميّز التباعد الحقيقي من تباعد القياس؟ ثم يقرأ النموذج في ضوء نموذج معروف من علم البيئة، ويقدّر طول البيانات اللازمة لاختبار نتائجه، ويقترح إطار قياس.</w:t>
      </w:r>
    </w:p>
    <w:p>
      <w:pPr>
        <w:bidi/>
        <w:spacing w:after="120" w:line="336"/>
        <w:jc w:val="both"/>
      </w:pPr>
      <w:r>
        <w:rPr>
          <w:rFonts w:ascii="Times New Roman" w:cs="Noto Naskh Arabic" w:eastAsia="Noto Naskh Arabic" w:hAnsi="Times New Roman"/>
          <w:sz w:val="26"/>
          <w:szCs w:val="26"/>
          <w:rtl/>
        </w:rPr>
        <w:t xml:space="preserve">وكل الأرقام في هذا القسم </w:t>
      </w:r>
      <w:r>
        <w:rPr>
          <w:rFonts w:ascii="Times New Roman" w:cs="Noto Naskh Arabic" w:eastAsia="Noto Naskh Arabic" w:hAnsi="Times New Roman"/>
          <w:b/>
          <w:bCs/>
          <w:sz w:val="26"/>
          <w:szCs w:val="26"/>
          <w:rtl/>
        </w:rPr>
        <w:t xml:space="preserve">محاكاة بمعاملات غير معايَرة</w:t>
      </w:r>
      <w:r>
        <w:rPr>
          <w:rFonts w:ascii="Times New Roman" w:cs="Noto Naskh Arabic" w:eastAsia="Noto Naskh Arabic" w:hAnsi="Times New Roman"/>
          <w:sz w:val="26"/>
          <w:szCs w:val="26"/>
          <w:rtl/>
        </w:rPr>
        <w:t xml:space="preserve">. وقيمتها في الشكل الذي تكشفه، لا في مقاديرها.</w:t>
      </w:r>
    </w:p>
    <w:p>
      <w:pPr>
        <w:pStyle w:val="Heading2"/>
        <w:bidi/>
        <w:jc w:val="right"/>
      </w:pPr>
      <w:r>
        <w:rPr>
          <w:rFonts w:ascii="Times New Roman" w:cs="Noto Naskh Arabic" w:eastAsia="Noto Naskh Arabic" w:hAnsi="Times New Roman"/>
          <w:b/>
          <w:bCs/>
          <w:color w:val="1F4E79"/>
          <w:sz w:val="28"/>
          <w:szCs w:val="28"/>
          <w:rtl/>
        </w:rPr>
        <w:t xml:space="preserve">٨-١ بنية النموذج</w:t>
      </w:r>
    </w:p>
    <w:p>
      <w:pPr>
        <w:bidi/>
        <w:spacing w:after="120" w:line="336"/>
        <w:jc w:val="both"/>
      </w:pPr>
      <w:r>
        <w:rPr>
          <w:rFonts w:ascii="Times New Roman" w:cs="Noto Naskh Arabic" w:eastAsia="Noto Naskh Arabic" w:hAnsi="Times New Roman"/>
          <w:sz w:val="26"/>
          <w:szCs w:val="26"/>
          <w:rtl/>
        </w:rPr>
        <w:t xml:space="preserve">يتكون النموذج من مخزونين. الأول مؤشر للقيمة الاقتصادية للقطاع (</w:t>
      </w:r>
      <w:r>
        <w:rPr>
          <w:rFonts w:ascii="Times New Roman" w:cs="Noto Naskh Arabic" w:eastAsia="Noto Naskh Arabic" w:hAnsi="Times New Roman"/>
          <w:sz w:val="26"/>
          <w:szCs w:val="26"/>
          <w:rtl w:val="false"/>
        </w:rPr>
        <w:t xml:space="preserve">EV</w:t>
      </w:r>
      <w:r>
        <w:rPr>
          <w:rFonts w:ascii="Times New Roman" w:cs="Noto Naskh Arabic" w:eastAsia="Noto Naskh Arabic" w:hAnsi="Times New Roman"/>
          <w:sz w:val="26"/>
          <w:szCs w:val="26"/>
          <w:rtl/>
        </w:rPr>
        <w:t xml:space="preserve">)، ينمو بمعدل أساسي قدره ٤٪ سنوياً، يرتفع إلى ٨٪ كلما اتسعت حصة الوساطة الخوارزمية (</w:t>
      </w:r>
      <w:r>
        <w:rPr>
          <w:rFonts w:ascii="Times New Roman" w:cs="Noto Naskh Arabic" w:eastAsia="Noto Naskh Arabic" w:hAnsi="Times New Roman"/>
          <w:sz w:val="26"/>
          <w:szCs w:val="26"/>
          <w:rtl w:val="false"/>
        </w:rPr>
        <w:t xml:space="preserve">m</w:t>
      </w:r>
      <w:r>
        <w:rPr>
          <w:rFonts w:ascii="Times New Roman" w:cs="Noto Naskh Arabic" w:eastAsia="Noto Naskh Arabic" w:hAnsi="Times New Roman"/>
          <w:sz w:val="26"/>
          <w:szCs w:val="26"/>
          <w:rtl/>
        </w:rPr>
        <w:t xml:space="preserve">)، على افتراض معلن أن الوساطة توسّع السوق. والثاني مؤشر للقدرة الفكرية للنظام (</w:t>
      </w:r>
      <w:r>
        <w:rPr>
          <w:rFonts w:ascii="Times New Roman" w:cs="Noto Naskh Arabic" w:eastAsia="Noto Naskh Arabic" w:hAnsi="Times New Roman"/>
          <w:sz w:val="26"/>
          <w:szCs w:val="26"/>
          <w:rtl w:val="false"/>
        </w:rPr>
        <w:t xml:space="preserve">IC</w:t>
      </w:r>
      <w:r>
        <w:rPr>
          <w:rFonts w:ascii="Times New Roman" w:cs="Noto Naskh Arabic" w:eastAsia="Noto Naskh Arabic" w:hAnsi="Times New Roman"/>
          <w:sz w:val="26"/>
          <w:szCs w:val="26"/>
          <w:rtl/>
        </w:rPr>
        <w:t xml:space="preserve">)، يتراوح بين صفر وواحد، وتحكمه ثلاث قوى:</w:t>
      </w:r>
    </w:p>
    <w:p>
      <w:pPr>
        <w:shd w:fill="FBF5E6" w:color="auto" w:val="clear"/>
        <w:bidi w:val="false"/>
        <w:spacing w:after="160" w:before="120"/>
        <w:jc w:val="center"/>
      </w:pPr>
      <m:oMath>
        <m:f>
          <m:num>
            <m:r>
              <m:t>dEV</m:t>
            </m:r>
          </m:num>
          <m:den>
            <m:r>
              <m:t>dt</m:t>
            </m:r>
          </m:den>
        </m:f>
        <m:r>
          <m:t> = (0.04 + 0.04m)·EV,     </m:t>
        </m:r>
        <m:f>
          <m:num>
            <m:r>
              <m:t>dIC</m:t>
            </m:r>
          </m:num>
          <m:den>
            <m:r>
              <m:t>dt</m:t>
            </m:r>
          </m:den>
        </m:f>
        <m:r>
          <m:t> = a·aut·IC(1 − IC) − b·m·IC + c·max(0, </m:t>
        </m:r>
        <m:sSub>
          <m:sSubPr/>
          <m:e>
            <m:r>
              <m:t>IC</m:t>
            </m:r>
          </m:e>
          <m:sub>
            <m:r>
              <m:t>0</m:t>
            </m:r>
          </m:sub>
        </m:sSub>
        <m:r>
          <m:t> − </m:t>
        </m:r>
        <m:sSub>
          <m:sSubPr/>
          <m:e>
            <m:r>
              <m:t>IC</m:t>
            </m:r>
          </m:e>
          <m:sub>
            <m:r>
              <m:t>t−τ</m:t>
            </m:r>
          </m:sub>
        </m:sSub>
        <m:r>
          <m:t>)</m:t>
        </m:r>
      </m:oMath>
    </w:p>
    <w:p>
      <w:pPr>
        <w:bidi/>
        <w:spacing w:after="120" w:line="336"/>
        <w:jc w:val="both"/>
      </w:pPr>
      <w:r>
        <w:rPr>
          <w:rFonts w:ascii="Times New Roman" w:cs="Noto Naskh Arabic" w:eastAsia="Noto Naskh Arabic" w:hAnsi="Times New Roman"/>
          <w:b/>
          <w:bCs/>
          <w:sz w:val="26"/>
          <w:szCs w:val="26"/>
          <w:rtl/>
        </w:rPr>
        <w:t xml:space="preserve">القوة الأولى: التجدد الذاتي</w:t>
      </w:r>
      <w:r>
        <w:rPr>
          <w:rFonts w:ascii="Times New Roman" w:cs="Noto Naskh Arabic" w:eastAsia="Noto Naskh Arabic" w:hAnsi="Times New Roman"/>
          <w:sz w:val="26"/>
          <w:szCs w:val="26"/>
          <w:rtl/>
        </w:rPr>
        <w:t xml:space="preserve"> (</w:t>
      </w:r>
      <w:r>
        <w:rPr>
          <w:rFonts w:ascii="Times New Roman" w:cs="Noto Naskh Arabic" w:eastAsia="Noto Naskh Arabic" w:hAnsi="Times New Roman"/>
          <w:sz w:val="26"/>
          <w:szCs w:val="26"/>
          <w:rtl w:val="false"/>
        </w:rPr>
        <w:t xml:space="preserve">a·aut·IC(1−IC</w:t>
      </w:r>
      <w:r>
        <w:rPr>
          <w:rFonts w:ascii="Times New Roman" w:cs="Noto Naskh Arabic" w:eastAsia="Noto Naskh Arabic" w:hAnsi="Times New Roman"/>
          <w:sz w:val="26"/>
          <w:szCs w:val="26"/>
          <w:rtl/>
        </w:rPr>
        <w:t xml:space="preserve">)). تجدد القدرة نفسها يتناسب مع وجودها (فالقدرة تولّد قدرة، كما يُنتج الكتّاب كتّاباً)، ويتباطأ قرب الإشباع، ويتناسب طردياً مع الاستقلال المؤسسي (</w:t>
      </w:r>
      <w:r>
        <w:rPr>
          <w:rFonts w:ascii="Times New Roman" w:cs="Noto Naskh Arabic" w:eastAsia="Noto Naskh Arabic" w:hAnsi="Times New Roman"/>
          <w:sz w:val="26"/>
          <w:szCs w:val="26"/>
          <w:rtl w:val="false"/>
        </w:rPr>
        <w:t xml:space="preserve">aut</w:t>
      </w:r>
      <w:r>
        <w:rPr>
          <w:rFonts w:ascii="Times New Roman" w:cs="Noto Naskh Arabic" w:eastAsia="Noto Naskh Arabic" w:hAnsi="Times New Roman"/>
          <w:sz w:val="26"/>
          <w:szCs w:val="26"/>
          <w:rtl/>
        </w:rPr>
        <w:t xml:space="preserve">). </w:t>
      </w:r>
      <w:r>
        <w:rPr>
          <w:rFonts w:ascii="Times New Roman" w:cs="Noto Naskh Arabic" w:eastAsia="Noto Naskh Arabic" w:hAnsi="Times New Roman"/>
          <w:b/>
          <w:bCs/>
          <w:sz w:val="26"/>
          <w:szCs w:val="26"/>
          <w:rtl/>
        </w:rPr>
        <w:t xml:space="preserve">القوة الثانية: التآكل بالوساطة</w:t>
      </w:r>
      <w:r>
        <w:rPr>
          <w:rFonts w:ascii="Times New Roman" w:cs="Noto Naskh Arabic" w:eastAsia="Noto Naskh Arabic" w:hAnsi="Times New Roman"/>
          <w:sz w:val="26"/>
          <w:szCs w:val="26"/>
          <w:rtl/>
        </w:rPr>
        <w:t xml:space="preserve"> (</w:t>
      </w:r>
      <w:r>
        <w:rPr>
          <w:rFonts w:ascii="Times New Roman" w:cs="Noto Naskh Arabic" w:eastAsia="Noto Naskh Arabic" w:hAnsi="Times New Roman"/>
          <w:sz w:val="26"/>
          <w:szCs w:val="26"/>
          <w:rtl w:val="false"/>
        </w:rPr>
        <w:t xml:space="preserve">b·m·IC</w:t>
      </w:r>
      <w:r>
        <w:rPr>
          <w:rFonts w:ascii="Times New Roman" w:cs="Noto Naskh Arabic" w:eastAsia="Noto Naskh Arabic" w:hAnsi="Times New Roman"/>
          <w:sz w:val="26"/>
          <w:szCs w:val="26"/>
          <w:rtl/>
        </w:rPr>
        <w:t xml:space="preserve">)، ويتناسب مع حصة الوساطة بمنطق الانتباه ومع القدرة القائمة. </w:t>
      </w:r>
      <w:r>
        <w:rPr>
          <w:rFonts w:ascii="Times New Roman" w:cs="Noto Naskh Arabic" w:eastAsia="Noto Naskh Arabic" w:hAnsi="Times New Roman"/>
          <w:b/>
          <w:bCs/>
          <w:sz w:val="26"/>
          <w:szCs w:val="26"/>
          <w:rtl/>
        </w:rPr>
        <w:t xml:space="preserve">القوة الثالثة: الاستجابة السياساتية</w:t>
      </w:r>
      <w:r>
        <w:rPr>
          <w:rFonts w:ascii="Times New Roman" w:cs="Noto Naskh Arabic" w:eastAsia="Noto Naskh Arabic" w:hAnsi="Times New Roman"/>
          <w:sz w:val="26"/>
          <w:szCs w:val="26"/>
          <w:rtl/>
        </w:rPr>
        <w:t xml:space="preserve">، وتعمل على ملاحظة القدرة قبل </w:t>
      </w:r>
      <w:r>
        <w:rPr>
          <w:rFonts w:ascii="Times New Roman" w:cs="Noto Naskh Arabic" w:eastAsia="Noto Naskh Arabic" w:hAnsi="Times New Roman"/>
          <w:sz w:val="26"/>
          <w:szCs w:val="26"/>
          <w:rtl w:val="false"/>
        </w:rPr>
        <w:t xml:space="preserve">τ</w:t>
      </w:r>
      <w:r>
        <w:rPr>
          <w:rFonts w:ascii="Times New Roman" w:cs="Noto Naskh Arabic" w:eastAsia="Noto Naskh Arabic" w:hAnsi="Times New Roman"/>
          <w:sz w:val="26"/>
          <w:szCs w:val="26"/>
          <w:rtl/>
        </w:rPr>
        <w:t xml:space="preserve"> سنوات، بشدة </w:t>
      </w:r>
      <w:r>
        <w:rPr>
          <w:rFonts w:ascii="Times New Roman" w:cs="Noto Naskh Arabic" w:eastAsia="Noto Naskh Arabic" w:hAnsi="Times New Roman"/>
          <w:sz w:val="26"/>
          <w:szCs w:val="26"/>
          <w:rtl w:val="false"/>
        </w:rPr>
        <w:t xml:space="preserve">c</w:t>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والقيم الأساسية افتراضات معلنة: </w:t>
      </w:r>
      <w:r>
        <w:rPr>
          <w:rFonts w:ascii="Times New Roman" w:cs="Noto Naskh Arabic" w:eastAsia="Noto Naskh Arabic" w:hAnsi="Times New Roman"/>
          <w:sz w:val="26"/>
          <w:szCs w:val="26"/>
          <w:rtl w:val="false"/>
        </w:rPr>
        <w:t xml:space="preserve">a =</w:t>
      </w:r>
      <w:r>
        <w:rPr>
          <w:rFonts w:ascii="Times New Roman" w:cs="Noto Naskh Arabic" w:eastAsia="Noto Naskh Arabic" w:hAnsi="Times New Roman"/>
          <w:sz w:val="26"/>
          <w:szCs w:val="26"/>
          <w:rtl/>
        </w:rPr>
        <w:t xml:space="preserve"> ٠٫١٠، و</w:t>
      </w:r>
      <w:r>
        <w:rPr>
          <w:rFonts w:ascii="Times New Roman" w:cs="Noto Naskh Arabic" w:eastAsia="Noto Naskh Arabic" w:hAnsi="Times New Roman"/>
          <w:sz w:val="26"/>
          <w:szCs w:val="26"/>
          <w:rtl w:val="false"/>
        </w:rPr>
        <w:t xml:space="preserve">b =</w:t>
      </w:r>
      <w:r>
        <w:rPr>
          <w:rFonts w:ascii="Times New Roman" w:cs="Noto Naskh Arabic" w:eastAsia="Noto Naskh Arabic" w:hAnsi="Times New Roman"/>
          <w:sz w:val="26"/>
          <w:szCs w:val="26"/>
          <w:rtl/>
        </w:rPr>
        <w:t xml:space="preserve"> ٠٫١٢، و</w:t>
      </w:r>
      <w:r>
        <w:rPr>
          <w:rFonts w:ascii="Times New Roman" w:cs="Noto Naskh Arabic" w:eastAsia="Noto Naskh Arabic" w:hAnsi="Times New Roman"/>
          <w:sz w:val="26"/>
          <w:szCs w:val="26"/>
          <w:rtl w:val="false"/>
        </w:rPr>
        <w:t xml:space="preserve">aut =</w:t>
      </w:r>
      <w:r>
        <w:rPr>
          <w:rFonts w:ascii="Times New Roman" w:cs="Noto Naskh Arabic" w:eastAsia="Noto Naskh Arabic" w:hAnsi="Times New Roman"/>
          <w:sz w:val="26"/>
          <w:szCs w:val="26"/>
          <w:rtl/>
        </w:rPr>
        <w:t xml:space="preserve"> ٠٫٨، و</w:t>
      </w:r>
      <w:r>
        <w:rPr>
          <w:rFonts w:ascii="Times New Roman" w:cs="Noto Naskh Arabic" w:eastAsia="Noto Naskh Arabic" w:hAnsi="Times New Roman"/>
          <w:sz w:val="26"/>
          <w:szCs w:val="26"/>
          <w:rtl w:val="false"/>
        </w:rPr>
        <w:t xml:space="preserve">τ =</w:t>
      </w:r>
      <w:r>
        <w:rPr>
          <w:rFonts w:ascii="Times New Roman" w:cs="Noto Naskh Arabic" w:eastAsia="Noto Naskh Arabic" w:hAnsi="Times New Roman"/>
          <w:sz w:val="26"/>
          <w:szCs w:val="26"/>
          <w:rtl/>
        </w:rPr>
        <w:t xml:space="preserve"> ٨ سنوات، والقدرة الابتدائية ٠٫٧٠، والأفق من ٢٠٢٤ إلى ٢٠٥٠.</w:t>
      </w:r>
    </w:p>
    <w:p>
      <w:pPr>
        <w:bidi/>
        <w:spacing w:after="120" w:line="336"/>
        <w:jc w:val="both"/>
      </w:pPr>
      <w:r>
        <w:rPr>
          <w:rFonts w:ascii="Times New Roman" w:cs="Noto Naskh Arabic" w:eastAsia="Noto Naskh Arabic" w:hAnsi="Times New Roman"/>
          <w:b/>
          <w:bCs/>
          <w:sz w:val="26"/>
          <w:szCs w:val="26"/>
          <w:rtl/>
        </w:rPr>
        <w:t xml:space="preserve">الحد البنيوي.</w:t>
      </w:r>
      <w:r>
        <w:rPr>
          <w:rFonts w:ascii="Times New Roman" w:cs="Noto Naskh Arabic" w:eastAsia="Noto Naskh Arabic" w:hAnsi="Times New Roman"/>
          <w:sz w:val="26"/>
          <w:szCs w:val="26"/>
          <w:rtl/>
        </w:rPr>
        <w:t xml:space="preserve"> يتضمن النموذج في حدّه الثاني افتراض أن الوساطة تُضعف القدرة الفكرية. فهو لا يستطيع أن يُثبت التباعد الحقيقي، بل يستخلص لوازم افتراضه: إن صحّ أن الوساطة تُضعف القدرة بهذه الصورة، فماذا يترتب على ذلك؟ وفيه افتراض بنيوي ثانٍ: أن نمو القيمة الاقتصادية لا يتأثر بالقدرة الفكرية، فلا قناة في النموذج تعيد أثر تآكل القدرة إلى العائد. وهذا تبسيط يميل لصالح التباعد؛ إذ يشير الدليل المضاد في القسم السادس إلى أن تنوع الاستهلاك يرتبط بالاحتفاظ بالمستخدمين</w:t>
      </w:r>
      <w:r>
        <w:rPr>
          <w:rStyle w:val="FootnoteReference"/>
        </w:rPr>
        <w:footnoteReference w:id="88"/>
      </w:r>
      <w:r>
        <w:rPr>
          <w:rFonts w:ascii="Times New Roman" w:cs="Noto Naskh Arabic" w:eastAsia="Noto Naskh Arabic" w:hAnsi="Times New Roman"/>
          <w:sz w:val="26"/>
          <w:szCs w:val="26"/>
          <w:rtl/>
        </w:rPr>
        <w:t xml:space="preserve">، أي أن تآكل القدرة قد يرتد على العائد في الأجل الطويل. وإدخال هذه القناة أول توسيع مقترح للنموذج.</w:t>
      </w:r>
    </w:p>
    <w:p>
      <w:pPr>
        <w:pStyle w:val="Heading2"/>
        <w:bidi/>
        <w:jc w:val="right"/>
      </w:pPr>
      <w:r>
        <w:rPr>
          <w:rFonts w:ascii="Times New Roman" w:cs="Noto Naskh Arabic" w:eastAsia="Noto Naskh Arabic" w:hAnsi="Times New Roman"/>
          <w:b/>
          <w:bCs/>
          <w:color w:val="1F4E79"/>
          <w:sz w:val="28"/>
          <w:szCs w:val="28"/>
          <w:rtl/>
        </w:rPr>
        <w:t xml:space="preserve">٨-٢ النتيجة الأولى: عتبة انطفاء لا انقلاب مفاجئ</w:t>
      </w:r>
    </w:p>
    <w:p>
      <w:pPr>
        <w:bidi/>
        <w:spacing w:after="120" w:line="336"/>
        <w:jc w:val="both"/>
      </w:pPr>
      <w:r>
        <w:rPr>
          <w:rFonts w:ascii="Times New Roman" w:cs="Noto Naskh Arabic" w:eastAsia="Noto Naskh Arabic" w:hAnsi="Times New Roman"/>
          <w:sz w:val="26"/>
          <w:szCs w:val="26"/>
          <w:rtl/>
        </w:rPr>
        <w:t xml:space="preserve">في المدى الطويل، تستقر القدرة الفكرية عند مستوى يُحسب تحليلياً، في غياب الاستجابة السياساتية:</w:t>
      </w:r>
    </w:p>
    <w:p>
      <w:pPr>
        <w:shd w:fill="FBF5E6" w:color="auto" w:val="clear"/>
        <w:bidi w:val="false"/>
        <w:spacing w:after="160" w:before="120"/>
        <w:jc w:val="center"/>
      </w:pPr>
      <m:oMath>
        <m:sSup>
          <m:sSupPr/>
          <m:e>
            <m:r>
              <m:t>IC</m:t>
            </m:r>
          </m:e>
          <m:sup>
            <m:r>
              <m:t>*</m:t>
            </m:r>
          </m:sup>
        </m:sSup>
        <m:r>
          <m:t> = 1 − </m:t>
        </m:r>
        <m:f>
          <m:num>
            <m:r>
              <m:t>b·m</m:t>
            </m:r>
          </m:num>
          <m:den>
            <m:r>
              <m:t>a·aut</m:t>
            </m:r>
          </m:den>
        </m:f>
        <m:r>
          <m:t>,     </m:t>
        </m:r>
        <m:sSup>
          <m:sSupPr/>
          <m:e>
            <m:r>
              <m:t>m</m:t>
            </m:r>
          </m:e>
          <m:sup>
            <m:r>
              <m:t>*</m:t>
            </m:r>
          </m:sup>
        </m:sSup>
        <m:r>
          <m:t> = </m:t>
        </m:r>
        <m:f>
          <m:num>
            <m:r>
              <m:t>a·aut</m:t>
            </m:r>
          </m:num>
          <m:den>
            <m:r>
              <m:t>b</m:t>
            </m:r>
          </m:den>
        </m:f>
      </m:oMath>
    </w:p>
    <w:p>
      <w:pPr>
        <w:bidi/>
        <w:spacing w:after="120" w:line="336"/>
        <w:jc w:val="both"/>
      </w:pPr>
      <w:r>
        <w:rPr>
          <w:rFonts w:ascii="Times New Roman" w:cs="Noto Naskh Arabic" w:eastAsia="Noto Naskh Arabic" w:hAnsi="Times New Roman"/>
          <w:sz w:val="26"/>
          <w:szCs w:val="26"/>
          <w:rtl/>
        </w:rPr>
        <w:t xml:space="preserve">فالقدرة المستقرة تهبط خطياً مع حصة الوساطة، حتى تبلغ الصفر عند العتبة </w:t>
      </w:r>
      <w:r>
        <w:rPr>
          <w:rFonts w:ascii="Times New Roman" w:cs="Noto Naskh Arabic" w:eastAsia="Noto Naskh Arabic" w:hAnsi="Times New Roman"/>
          <w:sz w:val="26"/>
          <w:szCs w:val="26"/>
          <w:rtl w:val="false"/>
        </w:rPr>
        <w:t xml:space="preserve">m*</w:t>
      </w:r>
      <w:r>
        <w:rPr>
          <w:rFonts w:ascii="Times New Roman" w:cs="Noto Naskh Arabic" w:eastAsia="Noto Naskh Arabic" w:hAnsi="Times New Roman"/>
          <w:sz w:val="26"/>
          <w:szCs w:val="26"/>
          <w:rtl/>
        </w:rPr>
        <w:t xml:space="preserve">. وفي الحالة الأساسية تقع العتبة عند ٠٫٦٧. وقد أكدت المحاكاة طويلة المدى هذا الشكل: إذ تستقر القدرة عند ٠٫٨٥ حين تكون الوساطة ٠٫١، وعند ٠٫٢٥ حين تكون ٠٫٥، وتقترب من الصفر بعد ٠٫٧.</w:t>
      </w:r>
    </w:p>
    <w:p>
      <w:pPr>
        <w:bidi/>
        <w:spacing w:after="120" w:line="336"/>
        <w:jc w:val="both"/>
      </w:pPr>
      <w:r>
        <w:rPr>
          <w:rFonts w:ascii="Times New Roman" w:cs="Noto Naskh Arabic" w:eastAsia="Noto Naskh Arabic" w:hAnsi="Times New Roman"/>
          <w:sz w:val="26"/>
          <w:szCs w:val="26"/>
          <w:rtl/>
        </w:rPr>
        <w:t xml:space="preserve">وتقتضي هذه النتيجة تعديل الفرضية ف٣. فقد صيغت أولاً على أن العلاقة بين القيمتين «غير خطية» بمعنى الانقلاب المفاجئ. لكن النموذج يُنتج هبوطاً تدريجياً ينتهي بانطفاء، لا قفزة. فتُعدَّل ف٣ إلى: </w:t>
      </w:r>
      <w:r>
        <w:rPr>
          <w:rFonts w:ascii="Times New Roman" w:cs="Noto Naskh Arabic" w:eastAsia="Noto Naskh Arabic" w:hAnsi="Times New Roman"/>
          <w:b/>
          <w:bCs/>
          <w:sz w:val="26"/>
          <w:szCs w:val="26"/>
          <w:rtl/>
        </w:rPr>
        <w:t xml:space="preserve">للعلاقة عتبة انطفاء يتوقف موقعها على الاستقلال المؤسسي</w:t>
      </w:r>
      <w:r>
        <w:rPr>
          <w:rFonts w:ascii="Times New Roman" w:cs="Noto Naskh Arabic" w:eastAsia="Noto Naskh Arabic" w:hAnsi="Times New Roman"/>
          <w:sz w:val="26"/>
          <w:szCs w:val="26"/>
          <w:rtl/>
        </w:rPr>
        <w:t xml:space="preserve">. وتُثبت الورقة هذا التعديل، لأن قيمة النموذج في أنه قادر على نقض ما افترضه الباحث قبل بنائه.</w:t>
      </w:r>
    </w:p>
    <w:p>
      <w:pPr>
        <w:bidi/>
        <w:spacing w:after="120" w:line="336"/>
        <w:jc w:val="both"/>
      </w:pPr>
      <w:r>
        <w:rPr>
          <w:rFonts w:ascii="Times New Roman" w:cs="Noto Naskh Arabic" w:eastAsia="Noto Naskh Arabic" w:hAnsi="Times New Roman"/>
          <w:sz w:val="26"/>
          <w:szCs w:val="26"/>
          <w:rtl/>
        </w:rPr>
        <w:t xml:space="preserve">وفي الأفق المحدود حتى ٢٠٥٠، لا تكون القدرة قد بلغت توازنها بعد:</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99"/>
        <w:gridCol w:w="3635"/>
        <w:gridCol w:w="1890"/>
        <w:gridCol w:w="2182"/>
      </w:tblGrid>
      <w:tr>
        <w:trPr>
          <w:cantSplit w:val="false"/>
          <w:tblHeader/>
        </w:trPr>
        <w:tc>
          <w:tcPr>
            <w:tcW w:type="dxa" w:w="15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حصة الوساطة</w:t>
            </w:r>
          </w:p>
        </w:tc>
        <w:tc>
          <w:tcPr>
            <w:tcW w:type="dxa" w:w="36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القدرة ٢٠٥٠ (استقلال ٠٫٨)</w:t>
            </w:r>
          </w:p>
        </w:tc>
        <w:tc>
          <w:tcPr>
            <w:tcW w:type="dxa" w:w="18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(استقلال ٠٫٥)</w:t>
            </w:r>
          </w:p>
        </w:tc>
        <w:tc>
          <w:tcPr>
            <w:tcW w:type="dxa" w:w="21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مع سياسة متأخرة</w:t>
            </w:r>
          </w:p>
        </w:tc>
      </w:tr>
      <w:tr>
        <w:trPr>
          <w:cantSplit w:val="false"/>
          <w:tblHeader w:val="false"/>
        </w:trPr>
        <w:tc>
          <w:tcPr>
            <w:tcW w:type="dxa" w:w="159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w:t>
            </w:r>
          </w:p>
        </w:tc>
        <w:tc>
          <w:tcPr>
            <w:tcW w:type="dxa" w:w="3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٠٫٩٥</w:t>
            </w:r>
          </w:p>
        </w:tc>
        <w:tc>
          <w:tcPr>
            <w:tcW w:type="dxa" w:w="189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٠٫٩٠</w:t>
            </w:r>
          </w:p>
        </w:tc>
        <w:tc>
          <w:tcPr>
            <w:tcW w:type="dxa" w:w="2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٠٫٩٥</w:t>
            </w:r>
          </w:p>
        </w:tc>
      </w:tr>
      <w:tr>
        <w:trPr>
          <w:cantSplit w:val="false"/>
          <w:tblHeader w:val="false"/>
        </w:trPr>
        <w:tc>
          <w:tcPr>
            <w:tcW w:type="dxa" w:w="159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٠٫٢</w:t>
            </w:r>
          </w:p>
        </w:tc>
        <w:tc>
          <w:tcPr>
            <w:tcW w:type="dxa" w:w="36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٠٫٧٠</w:t>
            </w:r>
          </w:p>
        </w:tc>
        <w:tc>
          <w:tcPr>
            <w:tcW w:type="dxa" w:w="189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٠٫٦٠</w:t>
            </w:r>
          </w:p>
        </w:tc>
        <w:tc>
          <w:tcPr>
            <w:tcW w:type="dxa" w:w="21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٠٫٧٠</w:t>
            </w:r>
          </w:p>
        </w:tc>
      </w:tr>
      <w:tr>
        <w:trPr>
          <w:cantSplit w:val="false"/>
          <w:tblHeader w:val="false"/>
        </w:trPr>
        <w:tc>
          <w:tcPr>
            <w:tcW w:type="dxa" w:w="159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٠٫٤</w:t>
            </w:r>
          </w:p>
        </w:tc>
        <w:tc>
          <w:tcPr>
            <w:tcW w:type="dxa" w:w="3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٠٫٤٩</w:t>
            </w:r>
          </w:p>
        </w:tc>
        <w:tc>
          <w:tcPr>
            <w:tcW w:type="dxa" w:w="189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٠٫٣٨</w:t>
            </w:r>
          </w:p>
        </w:tc>
        <w:tc>
          <w:tcPr>
            <w:tcW w:type="dxa" w:w="2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٠٫٥٥</w:t>
            </w:r>
          </w:p>
        </w:tc>
      </w:tr>
      <w:tr>
        <w:trPr>
          <w:cantSplit w:val="false"/>
          <w:tblHeader w:val="false"/>
        </w:trPr>
        <w:tc>
          <w:tcPr>
            <w:tcW w:type="dxa" w:w="159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٠٫٦</w:t>
            </w:r>
          </w:p>
        </w:tc>
        <w:tc>
          <w:tcPr>
            <w:tcW w:type="dxa" w:w="36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٠٫٣٣</w:t>
            </w:r>
          </w:p>
        </w:tc>
        <w:tc>
          <w:tcPr>
            <w:tcW w:type="dxa" w:w="189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٠٫٢٣</w:t>
            </w:r>
          </w:p>
        </w:tc>
        <w:tc>
          <w:tcPr>
            <w:tcW w:type="dxa" w:w="21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٠٫٤٤</w:t>
            </w:r>
          </w:p>
        </w:tc>
      </w:tr>
      <w:tr>
        <w:trPr>
          <w:cantSplit w:val="false"/>
          <w:tblHeader w:val="false"/>
        </w:trPr>
        <w:tc>
          <w:tcPr>
            <w:tcW w:type="dxa" w:w="159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٠٫٨</w:t>
            </w:r>
          </w:p>
        </w:tc>
        <w:tc>
          <w:tcPr>
            <w:tcW w:type="dxa" w:w="36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٠٫٢١</w:t>
            </w:r>
          </w:p>
        </w:tc>
        <w:tc>
          <w:tcPr>
            <w:tcW w:type="dxa" w:w="189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٠٫١٤</w:t>
            </w:r>
          </w:p>
        </w:tc>
        <w:tc>
          <w:tcPr>
            <w:tcW w:type="dxa" w:w="21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٠٫٣٦</w:t>
            </w:r>
          </w:p>
        </w:tc>
      </w:tr>
      <w:tr>
        <w:trPr>
          <w:cantSplit w:val="false"/>
          <w:tblHeader w:val="false"/>
        </w:trPr>
        <w:tc>
          <w:tcPr>
            <w:tcW w:type="dxa" w:w="1599"/>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١٫٠</w:t>
            </w:r>
          </w:p>
        </w:tc>
        <w:tc>
          <w:tcPr>
            <w:tcW w:type="dxa" w:w="36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٠٫١٣</w:t>
            </w:r>
          </w:p>
        </w:tc>
        <w:tc>
          <w:tcPr>
            <w:tcW w:type="dxa" w:w="189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٠٫٠٨</w:t>
            </w:r>
          </w:p>
        </w:tc>
        <w:tc>
          <w:tcPr>
            <w:tcW w:type="dxa" w:w="21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٠٫٣٠</w:t>
            </w:r>
          </w:p>
        </w:tc>
      </w:tr>
    </w:tbl>
    <w:p>
      <w:pPr>
        <w:spacing w:after="120"/>
      </w:pPr>
    </w:p>
    <w:p>
      <w:pPr>
        <w:pStyle w:val="Heading2"/>
        <w:bidi/>
        <w:jc w:val="right"/>
      </w:pPr>
      <w:r>
        <w:rPr>
          <w:rFonts w:ascii="Times New Roman" w:cs="Noto Naskh Arabic" w:eastAsia="Noto Naskh Arabic" w:hAnsi="Times New Roman"/>
          <w:b/>
          <w:bCs/>
          <w:color w:val="1F4E79"/>
          <w:sz w:val="28"/>
          <w:szCs w:val="28"/>
          <w:rtl/>
        </w:rPr>
        <w:t xml:space="preserve">٨-٣ النتيجة الثانية: الاستقلال يحرّك العتبة</w:t>
      </w:r>
    </w:p>
    <w:p>
      <w:pPr>
        <w:bidi/>
        <w:spacing w:after="120" w:line="336"/>
        <w:jc w:val="both"/>
      </w:pPr>
      <w:r>
        <w:rPr>
          <w:rFonts w:ascii="Times New Roman" w:cs="Noto Naskh Arabic" w:eastAsia="Noto Naskh Arabic" w:hAnsi="Times New Roman"/>
          <w:sz w:val="26"/>
          <w:szCs w:val="26"/>
          <w:rtl/>
        </w:rPr>
        <w:t xml:space="preserve">تكشف معادلة العتبة أن الاستقلال المؤسسي لا يرفع مستوى القدرة فحسب، بل ينقل موقع العتبة نفسها. فخفض الاستقلال من ٠٫٨ إلى ٠٫٥ ينقل العتبة من ٠٫٦٧ إلى ٠٫٤٢. ومعنى ذلك أن النظام ذا الاستقلال الضعيف يبلغ الانطفاء عند مستوى وساطة يتحمله النظام ذو الاستقلال القوي دون خطر.</w:t>
      </w:r>
    </w:p>
    <w:p>
      <w:pPr>
        <w:bidi/>
        <w:spacing w:after="120" w:line="336"/>
        <w:jc w:val="both"/>
      </w:pPr>
      <w:r>
        <w:rPr>
          <w:rFonts w:ascii="Times New Roman" w:cs="Noto Naskh Arabic" w:eastAsia="Noto Naskh Arabic" w:hAnsi="Times New Roman"/>
          <w:sz w:val="26"/>
          <w:szCs w:val="26"/>
          <w:rtl/>
        </w:rPr>
        <w:t xml:space="preserve">وهذه أقرب نتائج النموذج إلى السياسة. فهي تقول إن حماية مسافة الذراع بين التمويل والقرار الفني ليست تحسيناً هامشياً، بل توسيع لمساحة الأمان التي يستطيع النظام فيها أن يستوعب الوساطة الخوارزمية. وتسند هذه النتيجة الفرضية ف١ في صيغتها النظرية، دون أن تثبتها تجريبياً.</w:t>
      </w:r>
    </w:p>
    <w:p>
      <w:pPr>
        <w:pStyle w:val="Heading2"/>
        <w:bidi/>
        <w:jc w:val="right"/>
      </w:pPr>
      <w:r>
        <w:rPr>
          <w:rFonts w:ascii="Times New Roman" w:cs="Noto Naskh Arabic" w:eastAsia="Noto Naskh Arabic" w:hAnsi="Times New Roman"/>
          <w:b/>
          <w:bCs/>
          <w:color w:val="1F4E79"/>
          <w:sz w:val="28"/>
          <w:szCs w:val="28"/>
          <w:rtl/>
        </w:rPr>
        <w:t xml:space="preserve">٨-٤ النتيجة الثالثة: السياسة المتأخرة تخفف ولا تمنع</w:t>
      </w:r>
    </w:p>
    <w:p>
      <w:pPr>
        <w:bidi/>
        <w:spacing w:after="120" w:line="336"/>
        <w:jc w:val="both"/>
      </w:pPr>
      <w:r>
        <w:rPr>
          <w:rFonts w:ascii="Times New Roman" w:cs="Noto Naskh Arabic" w:eastAsia="Noto Naskh Arabic" w:hAnsi="Times New Roman"/>
          <w:sz w:val="26"/>
          <w:szCs w:val="26"/>
          <w:rtl/>
        </w:rPr>
        <w:t xml:space="preserve">حين تُضاف استجابة سياساتية تعمل على ملاحظة متأخرة ثماني سنوات، ترتفع القدرة عند وساطة ٠٫٨ من ٠٫٢١ إلى ٠٫٣٦ في ٢٠٥٠، لكنها لا تعود إلى مستواها الابتدائي (٠٫٧٠). فالاستجابة المتأخرة تحدّ من التآكل ولا توقفه. ويتسق هذا مع ما انتهى إليه القسم السادس من أن الحلقة الموازِنة تعمل بتأخر ومعطلة جزئياً في مدخلها. وتقصير التأخر يتطلب قبل كل شيء أن تُرى القدرة، أي أن تُقاس.</w:t>
      </w:r>
    </w:p>
    <w:p>
      <w:pPr>
        <w:pStyle w:val="Heading2"/>
        <w:bidi/>
        <w:jc w:val="right"/>
      </w:pPr>
      <w:r>
        <w:rPr>
          <w:rFonts w:ascii="Times New Roman" w:cs="Noto Naskh Arabic" w:eastAsia="Noto Naskh Arabic" w:hAnsi="Times New Roman"/>
          <w:b/>
          <w:bCs/>
          <w:color w:val="1F4E79"/>
          <w:sz w:val="28"/>
          <w:szCs w:val="28"/>
          <w:rtl/>
        </w:rPr>
        <w:t xml:space="preserve">٨-٥ اختبار الحساسية</w:t>
      </w:r>
    </w:p>
    <w:p>
      <w:pPr>
        <w:bidi/>
        <w:spacing w:after="120" w:line="336"/>
        <w:jc w:val="both"/>
      </w:pPr>
      <w:r>
        <w:rPr>
          <w:rFonts w:ascii="Times New Roman" w:cs="Noto Naskh Arabic" w:eastAsia="Noto Naskh Arabic" w:hAnsi="Times New Roman"/>
          <w:sz w:val="26"/>
          <w:szCs w:val="26"/>
          <w:rtl/>
        </w:rPr>
        <w:t xml:space="preserve">غُيّرت المعاملات الرئيسة الثلاثة عشوائياً في خمسة آلاف توليفة: معدل التجدد </w:t>
      </w:r>
      <w:r>
        <w:rPr>
          <w:rFonts w:ascii="Times New Roman" w:cs="Noto Naskh Arabic" w:eastAsia="Noto Naskh Arabic" w:hAnsi="Times New Roman"/>
          <w:sz w:val="26"/>
          <w:szCs w:val="26"/>
          <w:rtl w:val="false"/>
        </w:rPr>
        <w:t xml:space="preserve">a</w:t>
      </w:r>
      <w:r>
        <w:rPr>
          <w:rFonts w:ascii="Times New Roman" w:cs="Noto Naskh Arabic" w:eastAsia="Noto Naskh Arabic" w:hAnsi="Times New Roman"/>
          <w:sz w:val="26"/>
          <w:szCs w:val="26"/>
          <w:rtl/>
        </w:rPr>
        <w:t xml:space="preserve"> ومعدل التآكل </w:t>
      </w:r>
      <w:r>
        <w:rPr>
          <w:rFonts w:ascii="Times New Roman" w:cs="Noto Naskh Arabic" w:eastAsia="Noto Naskh Arabic" w:hAnsi="Times New Roman"/>
          <w:sz w:val="26"/>
          <w:szCs w:val="26"/>
          <w:rtl w:val="false"/>
        </w:rPr>
        <w:t xml:space="preserve">b</w:t>
      </w:r>
      <w:r>
        <w:rPr>
          <w:rFonts w:ascii="Times New Roman" w:cs="Noto Naskh Arabic" w:eastAsia="Noto Naskh Arabic" w:hAnsi="Times New Roman"/>
          <w:sz w:val="26"/>
          <w:szCs w:val="26"/>
          <w:rtl/>
        </w:rPr>
        <w:t xml:space="preserve"> بنسب تصل إلى خمسين في المئة زيادة ونقصاً حول قيمتيهما، والاستقلال </w:t>
      </w:r>
      <w:r>
        <w:rPr>
          <w:rFonts w:ascii="Times New Roman" w:cs="Noto Naskh Arabic" w:eastAsia="Noto Naskh Arabic" w:hAnsi="Times New Roman"/>
          <w:sz w:val="26"/>
          <w:szCs w:val="26"/>
          <w:rtl w:val="false"/>
        </w:rPr>
        <w:t xml:space="preserve">aut</w:t>
      </w:r>
      <w:r>
        <w:rPr>
          <w:rFonts w:ascii="Times New Roman" w:cs="Noto Naskh Arabic" w:eastAsia="Noto Naskh Arabic" w:hAnsi="Times New Roman"/>
          <w:sz w:val="26"/>
          <w:szCs w:val="26"/>
          <w:rtl/>
        </w:rPr>
        <w:t xml:space="preserve"> توزيعاً منتظماً بين ٠٫٣ و١٫٠. وظهرت العتبة داخل المدى الممكن للوساطة (بين صفر وواحد) في ٨٩٪ من التوليفات، ووسيط موقعها ٠٫٥٢، ونصف التوليفات الأوسط يقع بين ٠٫٣٥ و٠٫٧٤.</w:t>
      </w:r>
    </w:p>
    <w:p>
      <w:pPr>
        <w:bidi/>
        <w:spacing w:after="120" w:line="336"/>
        <w:jc w:val="both"/>
      </w:pPr>
      <w:r>
        <w:rPr>
          <w:rFonts w:ascii="Times New Roman" w:cs="Noto Naskh Arabic" w:eastAsia="Noto Naskh Arabic" w:hAnsi="Times New Roman"/>
          <w:sz w:val="26"/>
          <w:szCs w:val="26"/>
          <w:rtl/>
        </w:rPr>
        <w:t xml:space="preserve">والقراءة: </w:t>
      </w:r>
      <w:r>
        <w:rPr>
          <w:rFonts w:ascii="Times New Roman" w:cs="Noto Naskh Arabic" w:eastAsia="Noto Naskh Arabic" w:hAnsi="Times New Roman"/>
          <w:b/>
          <w:bCs/>
          <w:sz w:val="26"/>
          <w:szCs w:val="26"/>
          <w:rtl/>
        </w:rPr>
        <w:t xml:space="preserve">وجود العتبة متين، وموقعها غير محدد</w:t>
      </w:r>
      <w:r>
        <w:rPr>
          <w:rFonts w:ascii="Times New Roman" w:cs="Noto Naskh Arabic" w:eastAsia="Noto Naskh Arabic" w:hAnsi="Times New Roman"/>
          <w:sz w:val="26"/>
          <w:szCs w:val="26"/>
          <w:rtl/>
        </w:rPr>
        <w:t xml:space="preserve">. فلا يجوز أن يُستنتج من النموذج أن نظاماً بعينه قريب من العتبة أو بعيد عنها؛ فهذا يحتاج إلى تقدير المعاملات من بيانات فعلية.</w:t>
      </w:r>
    </w:p>
    <w:p>
      <w:pPr>
        <w:pStyle w:val="Heading2"/>
        <w:bidi/>
        <w:jc w:val="right"/>
      </w:pPr>
      <w:r>
        <w:rPr>
          <w:rFonts w:ascii="Times New Roman" w:cs="Noto Naskh Arabic" w:eastAsia="Noto Naskh Arabic" w:hAnsi="Times New Roman"/>
          <w:b/>
          <w:bCs/>
          <w:color w:val="1F4E79"/>
          <w:sz w:val="28"/>
          <w:szCs w:val="28"/>
          <w:rtl/>
        </w:rPr>
        <w:t xml:space="preserve">٨-٦ قراءة النموذج بنموذج </w:t>
      </w:r>
      <w:r>
        <w:rPr>
          <w:rFonts w:ascii="Times New Roman" w:cs="Noto Naskh Arabic" w:eastAsia="Noto Naskh Arabic" w:hAnsi="Times New Roman"/>
          <w:b/>
          <w:bCs/>
          <w:color w:val="1F4E79"/>
          <w:sz w:val="28"/>
          <w:szCs w:val="28"/>
          <w:rtl w:val="false"/>
        </w:rPr>
        <w:t xml:space="preserve">Levins</w:t>
      </w:r>
    </w:p>
    <w:p>
      <w:pPr>
        <w:bidi/>
        <w:spacing w:after="120" w:line="336"/>
        <w:jc w:val="both"/>
      </w:pPr>
      <w:r>
        <w:rPr>
          <w:rFonts w:ascii="Times New Roman" w:cs="Noto Naskh Arabic" w:eastAsia="Noto Naskh Arabic" w:hAnsi="Times New Roman"/>
          <w:sz w:val="26"/>
          <w:szCs w:val="26"/>
          <w:rtl/>
        </w:rPr>
        <w:t xml:space="preserve">حين بُحث عن نموذج معروف تطابق بنيته معادلة القدرة الفكرية، تبيّن أنها مطابقة رياضياً لنموذج وضعه </w:t>
      </w:r>
      <w:r>
        <w:rPr>
          <w:rFonts w:ascii="Times New Roman" w:cs="Noto Naskh Arabic" w:eastAsia="Noto Naskh Arabic" w:hAnsi="Times New Roman"/>
          <w:sz w:val="26"/>
          <w:szCs w:val="26"/>
          <w:rtl w:val="false"/>
        </w:rPr>
        <w:t xml:space="preserve">Levins (1969</w:t>
      </w:r>
      <w:r>
        <w:rPr>
          <w:rFonts w:ascii="Times New Roman" w:cs="Noto Naskh Arabic" w:eastAsia="Noto Naskh Arabic" w:hAnsi="Times New Roman"/>
          <w:sz w:val="26"/>
          <w:szCs w:val="26"/>
          <w:rtl/>
        </w:rPr>
        <w:t xml:space="preserve">)</w:t>
      </w:r>
      <w:r>
        <w:rPr>
          <w:rStyle w:val="FootnoteReference"/>
        </w:rPr>
        <w:footnoteReference w:id="89"/>
      </w:r>
      <w:r>
        <w:rPr>
          <w:rFonts w:ascii="Times New Roman" w:cs="Noto Naskh Arabic" w:eastAsia="Noto Naskh Arabic" w:hAnsi="Times New Roman"/>
          <w:sz w:val="26"/>
          <w:szCs w:val="26"/>
          <w:rtl/>
        </w:rPr>
        <w:t xml:space="preserve"> في علم البيئة لوصف بقاء الأنواع الموزعة على بقع موئل متفرقة. وفي نموذجه، تتغير نسبة البقع المأهولة (</w:t>
      </w:r>
      <w:r>
        <w:rPr>
          <w:rFonts w:ascii="Times New Roman" w:cs="Noto Naskh Arabic" w:eastAsia="Noto Naskh Arabic" w:hAnsi="Times New Roman"/>
          <w:sz w:val="26"/>
          <w:szCs w:val="26"/>
          <w:rtl w:val="false"/>
        </w:rPr>
        <w:t xml:space="preserve">p</w:t>
      </w:r>
      <w:r>
        <w:rPr>
          <w:rFonts w:ascii="Times New Roman" w:cs="Noto Naskh Arabic" w:eastAsia="Noto Naskh Arabic" w:hAnsi="Times New Roman"/>
          <w:sz w:val="26"/>
          <w:szCs w:val="26"/>
          <w:rtl/>
        </w:rPr>
        <w:t xml:space="preserve">) بفعل قوتين: استيطان يتناسب مع البقع المأهولة والفارغة معاً، وانقراض محلي يتناسب مع البقع المأهولة:</w:t>
      </w:r>
    </w:p>
    <w:p>
      <w:pPr>
        <w:shd w:fill="FBF5E6" w:color="auto" w:val="clear"/>
        <w:bidi w:val="false"/>
        <w:spacing w:after="160" w:before="120"/>
        <w:jc w:val="center"/>
      </w:pPr>
      <m:oMath>
        <m:f>
          <m:num>
            <m:r>
              <m:t>dp</m:t>
            </m:r>
          </m:num>
          <m:den>
            <m:r>
              <m:t>dt</m:t>
            </m:r>
          </m:den>
        </m:f>
        <m:r>
          <m:t> = c·p(1 − p) − e·p,     </m:t>
        </m:r>
        <m:sSup>
          <m:sSupPr/>
          <m:e>
            <m:r>
              <m:t>p</m:t>
            </m:r>
          </m:e>
          <m:sup>
            <m:r>
              <m:t>*</m:t>
            </m:r>
          </m:sup>
        </m:sSup>
        <m:r>
          <m:t> = 1 − </m:t>
        </m:r>
        <m:f>
          <m:num>
            <m:r>
              <m:t>e</m:t>
            </m:r>
          </m:num>
          <m:den>
            <m:r>
              <m:t>c</m:t>
            </m:r>
          </m:den>
        </m:f>
      </m:oMath>
    </w:p>
    <w:p>
      <w:pPr>
        <w:bidi/>
        <w:spacing w:after="120" w:line="336"/>
        <w:jc w:val="both"/>
      </w:pPr>
      <w:r>
        <w:rPr>
          <w:rFonts w:ascii="Times New Roman" w:cs="Noto Naskh Arabic" w:eastAsia="Noto Naskh Arabic" w:hAnsi="Times New Roman"/>
          <w:sz w:val="26"/>
          <w:szCs w:val="26"/>
          <w:rtl/>
        </w:rPr>
        <w:t xml:space="preserve">ولا يبقى التجمع إلا إذا زاد معدل الاستيطان على معدل الانقراض؛ وهذا هو الشرط الذي يحدد عتبته. والمعادلة مكافئة رياضياً للمعادلة اللوجستية، وهو ما يجعل نتائجها التحليلية معروفة.</w:t>
      </w:r>
    </w:p>
    <w:p>
      <w:pPr>
        <w:bidi/>
        <w:spacing w:after="120" w:line="336"/>
        <w:jc w:val="both"/>
      </w:pP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والمقابلة بين النموذجين على هذا النحو:</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94"/>
        <w:gridCol w:w="1614"/>
        <w:gridCol w:w="5698"/>
      </w:tblGrid>
      <w:tr>
        <w:trPr>
          <w:cantSplit w:val="false"/>
          <w:tblHeader/>
        </w:trPr>
        <w:tc>
          <w:tcPr>
            <w:tcW w:type="dxa" w:w="19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نموذج </w:t>
            </w:r>
            <w:r>
              <w:rPr>
                <w:rFonts w:ascii="Times New Roman" w:cs="Noto Naskh Arabic" w:eastAsia="Noto Naskh Arabic" w:hAnsi="Times New Roman"/>
                <w:b/>
                <w:bCs/>
                <w:color w:val="FFFFFF"/>
                <w:sz w:val="20"/>
                <w:szCs w:val="20"/>
                <w:rtl w:val="false"/>
              </w:rPr>
              <w:t xml:space="preserve">Levins</w:t>
            </w:r>
          </w:p>
        </w:tc>
        <w:tc>
          <w:tcPr>
            <w:tcW w:type="dxa" w:w="1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نموذج الورقة</w:t>
            </w:r>
          </w:p>
        </w:tc>
        <w:tc>
          <w:tcPr>
            <w:tcW w:type="dxa" w:w="56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القراءة المقترحة</w:t>
            </w:r>
          </w:p>
        </w:tc>
      </w:tr>
      <w:tr>
        <w:trPr>
          <w:cantSplit w:val="false"/>
          <w:tblHeader w:val="false"/>
        </w:trPr>
        <w:tc>
          <w:tcPr>
            <w:tcW w:type="dxa" w:w="19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نسبة البقع المأهولة </w:t>
            </w:r>
            <w:r>
              <w:rPr>
                <w:rFonts w:ascii="Times New Roman" w:cs="Noto Naskh Arabic" w:eastAsia="Noto Naskh Arabic" w:hAnsi="Times New Roman"/>
                <w:b w:val="false"/>
                <w:sz w:val="20"/>
                <w:szCs w:val="20"/>
                <w:rtl w:val="false"/>
              </w:rPr>
              <w:t xml:space="preserve">p</w:t>
            </w:r>
          </w:p>
        </w:tc>
        <w:tc>
          <w:tcPr>
            <w:tcW w:type="dxa" w:w="16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القدرة الفكرية </w:t>
            </w:r>
            <w:r>
              <w:rPr>
                <w:rFonts w:ascii="Times New Roman" w:cs="Noto Naskh Arabic" w:eastAsia="Noto Naskh Arabic" w:hAnsi="Times New Roman"/>
                <w:b w:val="false"/>
                <w:sz w:val="20"/>
                <w:szCs w:val="20"/>
                <w:rtl w:val="false"/>
              </w:rPr>
              <w:t xml:space="preserve">IC</w:t>
            </w:r>
          </w:p>
        </w:tc>
        <w:tc>
          <w:tcPr>
            <w:tcW w:type="dxa" w:w="56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نسبة «المواقع» الحية في النظام: كتّاب ومؤسسات ومنابر نقدية تُنتج وتُسائل</w:t>
            </w:r>
          </w:p>
        </w:tc>
      </w:tr>
      <w:tr>
        <w:trPr>
          <w:cantSplit w:val="false"/>
          <w:tblHeader w:val="false"/>
        </w:trPr>
        <w:tc>
          <w:tcPr>
            <w:tcW w:type="dxa" w:w="199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معدل الاستيطان </w:t>
            </w:r>
            <w:r>
              <w:rPr>
                <w:rFonts w:ascii="Times New Roman" w:cs="Noto Naskh Arabic" w:eastAsia="Noto Naskh Arabic" w:hAnsi="Times New Roman"/>
                <w:b w:val="false"/>
                <w:sz w:val="20"/>
                <w:szCs w:val="20"/>
                <w:rtl w:val="false"/>
              </w:rPr>
              <w:t xml:space="preserve">c</w:t>
            </w:r>
          </w:p>
        </w:tc>
        <w:tc>
          <w:tcPr>
            <w:tcW w:type="dxa" w:w="161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val="false"/>
              <w:spacing w:after="0" w:line="276"/>
              <w:jc w:val="right"/>
            </w:pPr>
            <w:r>
              <w:rPr>
                <w:rFonts w:ascii="Times New Roman" w:cs="Noto Naskh Arabic" w:eastAsia="Noto Naskh Arabic" w:hAnsi="Times New Roman"/>
                <w:b w:val="false"/>
                <w:sz w:val="20"/>
                <w:szCs w:val="20"/>
                <w:rtl w:val="false"/>
              </w:rPr>
              <w:t xml:space="preserve">a·aut</w:t>
            </w:r>
          </w:p>
        </w:tc>
        <w:tc>
          <w:tcPr>
            <w:tcW w:type="dxa" w:w="569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قدرة الحي من هذه المواقع على إحياء غيره: التلمذة، والنشر، والحوار</w:t>
            </w:r>
          </w:p>
        </w:tc>
      </w:tr>
      <w:tr>
        <w:trPr>
          <w:cantSplit w:val="false"/>
          <w:tblHeader w:val="false"/>
        </w:trPr>
        <w:tc>
          <w:tcPr>
            <w:tcW w:type="dxa" w:w="19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معدل الانقراض </w:t>
            </w:r>
            <w:r>
              <w:rPr>
                <w:rFonts w:ascii="Times New Roman" w:cs="Noto Naskh Arabic" w:eastAsia="Noto Naskh Arabic" w:hAnsi="Times New Roman"/>
                <w:b w:val="false"/>
                <w:sz w:val="20"/>
                <w:szCs w:val="20"/>
                <w:rtl w:val="false"/>
              </w:rPr>
              <w:t xml:space="preserve">e</w:t>
            </w:r>
          </w:p>
        </w:tc>
        <w:tc>
          <w:tcPr>
            <w:tcW w:type="dxa" w:w="161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val="false"/>
              <w:spacing w:after="0" w:line="276"/>
              <w:jc w:val="right"/>
            </w:pPr>
            <w:r>
              <w:rPr>
                <w:rFonts w:ascii="Times New Roman" w:cs="Noto Naskh Arabic" w:eastAsia="Noto Naskh Arabic" w:hAnsi="Times New Roman"/>
                <w:b w:val="false"/>
                <w:sz w:val="20"/>
                <w:szCs w:val="20"/>
                <w:rtl w:val="false"/>
              </w:rPr>
              <w:t xml:space="preserve">b·m</w:t>
            </w:r>
          </w:p>
        </w:tc>
        <w:tc>
          <w:tcPr>
            <w:tcW w:type="dxa" w:w="56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توقف المواقع الحية عن الإنتاج بفعل منطق الانتباه</w:t>
            </w:r>
          </w:p>
        </w:tc>
      </w:tr>
      <w:tr>
        <w:trPr>
          <w:cantSplit w:val="false"/>
          <w:tblHeader w:val="false"/>
        </w:trPr>
        <w:tc>
          <w:tcPr>
            <w:tcW w:type="dxa" w:w="199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شرط البقاء </w:t>
            </w:r>
            <w:r>
              <w:rPr>
                <w:rFonts w:ascii="Times New Roman" w:cs="Noto Naskh Arabic" w:eastAsia="Noto Naskh Arabic" w:hAnsi="Times New Roman"/>
                <w:b w:val="false"/>
                <w:sz w:val="20"/>
                <w:szCs w:val="20"/>
                <w:rtl w:val="false"/>
              </w:rPr>
              <w:t xml:space="preserve">c &gt; e</w:t>
            </w:r>
          </w:p>
        </w:tc>
        <w:tc>
          <w:tcPr>
            <w:tcW w:type="dxa" w:w="161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val="false"/>
              <w:spacing w:after="0" w:line="276"/>
              <w:jc w:val="right"/>
            </w:pPr>
            <w:r>
              <w:rPr>
                <w:rFonts w:ascii="Times New Roman" w:cs="Noto Naskh Arabic" w:eastAsia="Noto Naskh Arabic" w:hAnsi="Times New Roman"/>
                <w:b w:val="false"/>
                <w:sz w:val="20"/>
                <w:szCs w:val="20"/>
                <w:rtl w:val="false"/>
              </w:rPr>
              <w:t xml:space="preserve">m &lt; m*</w:t>
            </w:r>
          </w:p>
        </w:tc>
        <w:tc>
          <w:tcPr>
            <w:tcW w:type="dxa" w:w="569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لا تبقى القدرة إلا إذا زاد التجدد على التآكل</w:t>
            </w:r>
          </w:p>
        </w:tc>
      </w:tr>
    </w:tbl>
    <w:p>
      <w:pPr>
        <w:spacing w:after="120"/>
      </w:pPr>
    </w:p>
    <w:p>
      <w:pPr>
        <w:bidi/>
        <w:spacing w:after="120" w:line="336"/>
        <w:jc w:val="both"/>
      </w:pPr>
      <w:r>
        <w:rPr>
          <w:rFonts w:ascii="Times New Roman" w:cs="Noto Naskh Arabic" w:eastAsia="Noto Naskh Arabic" w:hAnsi="Times New Roman"/>
          <w:sz w:val="26"/>
          <w:szCs w:val="26"/>
          <w:rtl/>
        </w:rPr>
        <w:t xml:space="preserve">وتمنح هذه المطابقة النموذج أمرين. </w:t>
      </w:r>
      <w:r>
        <w:rPr>
          <w:rFonts w:ascii="Times New Roman" w:cs="Noto Naskh Arabic" w:eastAsia="Noto Naskh Arabic" w:hAnsi="Times New Roman"/>
          <w:b/>
          <w:bCs/>
          <w:sz w:val="26"/>
          <w:szCs w:val="26"/>
          <w:rtl/>
        </w:rPr>
        <w:t xml:space="preserve">الأول</w:t>
      </w:r>
      <w:r>
        <w:rPr>
          <w:rFonts w:ascii="Times New Roman" w:cs="Noto Naskh Arabic" w:eastAsia="Noto Naskh Arabic" w:hAnsi="Times New Roman"/>
          <w:sz w:val="26"/>
          <w:szCs w:val="26"/>
          <w:rtl/>
        </w:rPr>
        <w:t xml:space="preserve"> أن البنية التي اقترحتها الورقة ليست مصطنعة، بل لها نظير مدروس منذ أكثر من خمسين عاماً، ونتائجه التحليلية — وجود العتبة، وتوقف موقعها على نسبة المعدلين — معروفة وثابتة. </w:t>
      </w:r>
      <w:r>
        <w:rPr>
          <w:rFonts w:ascii="Times New Roman" w:cs="Noto Naskh Arabic" w:eastAsia="Noto Naskh Arabic" w:hAnsi="Times New Roman"/>
          <w:b/>
          <w:bCs/>
          <w:sz w:val="26"/>
          <w:szCs w:val="26"/>
          <w:rtl/>
        </w:rPr>
        <w:t xml:space="preserve">والثاني</w:t>
      </w:r>
      <w:r>
        <w:rPr>
          <w:rFonts w:ascii="Times New Roman" w:cs="Noto Naskh Arabic" w:eastAsia="Noto Naskh Arabic" w:hAnsi="Times New Roman"/>
          <w:sz w:val="26"/>
          <w:szCs w:val="26"/>
          <w:rtl/>
        </w:rPr>
        <w:t xml:space="preserve"> أنها تقترح توسيعات مدروسة: فقد طوّرت أدبيات علم البيئة صيغاً يدخل فيها نصيب الموئل المتاح في حدّ الاستيطان، وهو ما يقابل دور الاستقلال المؤسسي في نموذج الورقة، وصيغاً مكانية تراعي توزّع البقع وارتباطها، وهو ما يقابل توزّع المؤسسات الثقافية وشبكاتها.</w:t>
      </w:r>
    </w:p>
    <w:p>
      <w:pPr>
        <w:bidi/>
        <w:spacing w:after="120" w:line="336"/>
        <w:jc w:val="both"/>
      </w:pPr>
      <w:r>
        <w:rPr>
          <w:rFonts w:ascii="Times New Roman" w:cs="Noto Naskh Arabic" w:eastAsia="Noto Naskh Arabic" w:hAnsi="Times New Roman"/>
          <w:b/>
          <w:bCs/>
          <w:sz w:val="26"/>
          <w:szCs w:val="26"/>
          <w:rtl/>
        </w:rPr>
        <w:t xml:space="preserve">حدّ التشبيه.</w:t>
      </w:r>
      <w:r>
        <w:rPr>
          <w:rFonts w:ascii="Times New Roman" w:cs="Noto Naskh Arabic" w:eastAsia="Noto Naskh Arabic" w:hAnsi="Times New Roman"/>
          <w:sz w:val="26"/>
          <w:szCs w:val="26"/>
          <w:rtl/>
        </w:rPr>
        <w:t xml:space="preserve"> المطابقة رياضية لا سببية. فهي تسمح باستعارة النتائج التحليلية للبنية الرياضية، لكنها لا تعني أن الثقافة تعمل كما تعمل الأنواع الحية، ولا تنقل آليات البيولوجيا إلى المجتمع. وإذا ثبت من البيانات أن تجدد القدرة الفكرية لا يتناسب مع وجودها — بأن يأتي التجدد من خارج النظام مثلاً، كاستقدام المبدعين — لزم تعديل الحد الأول، وتغيّرت معه النتائج. وفي هذه الحالة، يقترب النموذج من صيغ معروفة أيضاً في علم البيئة تُضاف فيها هجرة من «بر رئيسي» خارجي، وتختفي فيها العتبة الحادة.</w:t>
      </w:r>
    </w:p>
    <w:p>
      <w:pPr>
        <w:pStyle w:val="Heading2"/>
        <w:bidi/>
        <w:jc w:val="right"/>
      </w:pPr>
      <w:r>
        <w:rPr>
          <w:rFonts w:ascii="Times New Roman" w:cs="Noto Naskh Arabic" w:eastAsia="Noto Naskh Arabic" w:hAnsi="Times New Roman"/>
          <w:b/>
          <w:bCs/>
          <w:color w:val="1F4E79"/>
          <w:sz w:val="28"/>
          <w:szCs w:val="28"/>
          <w:rtl/>
        </w:rPr>
        <w:t xml:space="preserve">٨-٦-١ ما يغيّره الدليل المضاد في النموذج</w:t>
      </w:r>
    </w:p>
    <w:p>
      <w:pPr>
        <w:bidi/>
        <w:spacing w:after="120" w:line="336"/>
        <w:jc w:val="both"/>
      </w:pPr>
      <w:r>
        <w:rPr>
          <w:rFonts w:ascii="Times New Roman" w:cs="Noto Naskh Arabic" w:eastAsia="Noto Naskh Arabic" w:hAnsi="Times New Roman"/>
          <w:sz w:val="26"/>
          <w:szCs w:val="26"/>
          <w:rtl/>
        </w:rPr>
        <w:t xml:space="preserve">يعامل النموذج معامل التآكل (</w:t>
      </w:r>
      <w:r>
        <w:rPr>
          <w:rFonts w:ascii="Times New Roman" w:cs="Noto Naskh Arabic" w:eastAsia="Noto Naskh Arabic" w:hAnsi="Times New Roman"/>
          <w:sz w:val="26"/>
          <w:szCs w:val="26"/>
          <w:rtl w:val="false"/>
        </w:rPr>
        <w:t xml:space="preserve">b</w:t>
      </w:r>
      <w:r>
        <w:rPr>
          <w:rFonts w:ascii="Times New Roman" w:cs="Noto Naskh Arabic" w:eastAsia="Noto Naskh Arabic" w:hAnsi="Times New Roman"/>
          <w:sz w:val="26"/>
          <w:szCs w:val="26"/>
          <w:rtl/>
        </w:rPr>
        <w:t xml:space="preserve">) ثابتاً بنيوياً. لكن دراسة </w:t>
      </w:r>
      <w:r>
        <w:rPr>
          <w:rFonts w:ascii="Times New Roman" w:cs="Noto Naskh Arabic" w:eastAsia="Noto Naskh Arabic" w:hAnsi="Times New Roman"/>
          <w:sz w:val="26"/>
          <w:szCs w:val="26"/>
          <w:rtl w:val="false"/>
        </w:rPr>
        <w:t xml:space="preserve">Anderson</w:t>
      </w:r>
      <w:r>
        <w:rPr>
          <w:rFonts w:ascii="Times New Roman" w:cs="Noto Naskh Arabic" w:eastAsia="Noto Naskh Arabic" w:hAnsi="Times New Roman"/>
          <w:sz w:val="26"/>
          <w:szCs w:val="26"/>
          <w:rtl/>
        </w:rPr>
        <w:t xml:space="preserve"> وزملائه (</w:t>
      </w:r>
      <w:r>
        <w:rPr>
          <w:rFonts w:ascii="Times New Roman" w:cs="Noto Naskh Arabic" w:eastAsia="Noto Naskh Arabic" w:hAnsi="Times New Roman"/>
          <w:sz w:val="26"/>
          <w:szCs w:val="26"/>
          <w:rtl w:val="false"/>
        </w:rPr>
        <w:t xml:space="preserve">2020</w:t>
      </w:r>
      <w:r>
        <w:rPr>
          <w:rFonts w:ascii="Times New Roman" w:cs="Noto Naskh Arabic" w:eastAsia="Noto Naskh Arabic" w:hAnsi="Times New Roman"/>
          <w:sz w:val="26"/>
          <w:szCs w:val="26"/>
          <w:rtl/>
        </w:rPr>
        <w:t xml:space="preserve">) تشير إلى أن أثر الوساطة في التنوع يتوقف على ما تحسّنه الخوارزمية: فترتيب التوصيات بحسب الملاءمة لا الشعبية رفع الاستماع، والتنوع ارتبط بمصلحة المنصة بعيدة المدى. ومعنى ذلك نمذجياً أن </w:t>
      </w:r>
      <w:r>
        <w:rPr>
          <w:rFonts w:ascii="Times New Roman" w:cs="Noto Naskh Arabic" w:eastAsia="Noto Naskh Arabic" w:hAnsi="Times New Roman"/>
          <w:sz w:val="26"/>
          <w:szCs w:val="26"/>
          <w:rtl w:val="false"/>
        </w:rPr>
        <w:t xml:space="preserve">b</w:t>
      </w:r>
      <w:r>
        <w:rPr>
          <w:rFonts w:ascii="Times New Roman" w:cs="Noto Naskh Arabic" w:eastAsia="Noto Naskh Arabic" w:hAnsi="Times New Roman"/>
          <w:sz w:val="26"/>
          <w:szCs w:val="26"/>
          <w:rtl/>
        </w:rPr>
        <w:t xml:space="preserve"> ليس ثابتاً، بل متغير تحدده حوكمة الوساطة وأفق التحسين.</w:t>
      </w:r>
    </w:p>
    <w:p>
      <w:pPr>
        <w:bidi/>
        <w:spacing w:after="120" w:line="336"/>
        <w:jc w:val="both"/>
      </w:pPr>
      <w:r>
        <w:rPr>
          <w:rFonts w:ascii="Times New Roman" w:cs="Noto Naskh Arabic" w:eastAsia="Noto Naskh Arabic" w:hAnsi="Times New Roman"/>
          <w:sz w:val="26"/>
          <w:szCs w:val="26"/>
          <w:rtl/>
        </w:rPr>
        <w:t xml:space="preserve">وتترتب على ذلك نتيجة تحليلية مباشرة من معادلة العتبة: إذا انخفض </w:t>
      </w:r>
      <w:r>
        <w:rPr>
          <w:rFonts w:ascii="Times New Roman" w:cs="Noto Naskh Arabic" w:eastAsia="Noto Naskh Arabic" w:hAnsi="Times New Roman"/>
          <w:sz w:val="26"/>
          <w:szCs w:val="26"/>
          <w:rtl w:val="false"/>
        </w:rPr>
        <w:t xml:space="preserve">b</w:t>
      </w:r>
      <w:r>
        <w:rPr>
          <w:rFonts w:ascii="Times New Roman" w:cs="Noto Naskh Arabic" w:eastAsia="Noto Naskh Arabic" w:hAnsi="Times New Roman"/>
          <w:sz w:val="26"/>
          <w:szCs w:val="26"/>
          <w:rtl/>
        </w:rPr>
        <w:t xml:space="preserve"> إلى نصفه (٠٫٠٦ بدلاً من ٠٫١٢)، تضاعف موقع العتبة إلى ١٫٣٣، أي خارج المدى الممكن لحصة الوساطة كله. ففي نظام تُحسَّن فيه الوساطة لأفق طويل، لا تبلغ القدرة الفكرية الانطفاء مهما اتسعت الوساطة، وإن بقيت أدنى مما كانت عليه بلا وساطة. </w:t>
      </w: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فالسؤال السياساتي ليس «كم من الوصول الثقافي يمرّ عبر المنصات؟» بل «بأي معيار تُرتّب المنصات ما تعرضه؟». وهذا ينقل الرافعة من حجم الوساطة إلى قواعدها، ويقوّي موقع المحور (أ) في السيناريوهات.</w:t>
      </w:r>
    </w:p>
    <w:p>
      <w:pPr>
        <w:pStyle w:val="Heading2"/>
        <w:bidi/>
        <w:jc w:val="right"/>
      </w:pPr>
      <w:r>
        <w:rPr>
          <w:rFonts w:ascii="Times New Roman" w:cs="Noto Naskh Arabic" w:eastAsia="Noto Naskh Arabic" w:hAnsi="Times New Roman"/>
          <w:b/>
          <w:bCs/>
          <w:color w:val="1F4E79"/>
          <w:sz w:val="28"/>
          <w:szCs w:val="28"/>
          <w:rtl/>
        </w:rPr>
        <w:t xml:space="preserve">٨-٧ المؤشر الفاصل بين الفرضيتين</w:t>
      </w:r>
    </w:p>
    <w:p>
      <w:pPr>
        <w:bidi/>
        <w:spacing w:after="120" w:line="336"/>
        <w:jc w:val="both"/>
      </w:pPr>
      <w:r>
        <w:rPr>
          <w:rFonts w:ascii="Times New Roman" w:cs="Noto Naskh Arabic" w:eastAsia="Noto Naskh Arabic" w:hAnsi="Times New Roman"/>
          <w:sz w:val="26"/>
          <w:szCs w:val="26"/>
          <w:rtl/>
        </w:rPr>
        <w:t xml:space="preserve">أهم ما ينتجه النموذج ليس العتبة، بل المعطى الذي يحسم بين الفرضيتين المتنافستين. ففي الحالتين ينمو مؤشر القيمة الاقتصادية بالمقدار نفسه: نحو ٣٫٨ أضعاف حتى ٢٠٥٠ عند وساطة ٠٫٣، ونحو ٦٫٥ أضعاف عند وساطة ٠٫٨. فالمؤشر الاقتصادي وحده لا يميّز بينهما.</w:t>
      </w:r>
    </w:p>
    <w:p>
      <w:pPr>
        <w:bidi/>
        <w:spacing w:after="120" w:line="336"/>
        <w:jc w:val="both"/>
      </w:pPr>
      <w:r>
        <w:rPr>
          <w:rFonts w:ascii="Times New Roman" w:cs="Noto Naskh Arabic" w:eastAsia="Noto Naskh Arabic" w:hAnsi="Times New Roman"/>
          <w:sz w:val="26"/>
          <w:szCs w:val="26"/>
          <w:rtl/>
        </w:rPr>
        <w:t xml:space="preserve">أما مؤشر التجدد — حصة الأعمال الجديدة من مؤلفين جدد — فيتصرف تصرفين مختلفين. تحت </w:t>
      </w:r>
      <w:r>
        <w:rPr>
          <w:rFonts w:ascii="Times New Roman" w:cs="Noto Naskh Arabic" w:eastAsia="Noto Naskh Arabic" w:hAnsi="Times New Roman"/>
          <w:b/>
          <w:bCs/>
          <w:sz w:val="26"/>
          <w:szCs w:val="26"/>
          <w:rtl/>
        </w:rPr>
        <w:t xml:space="preserve">التباعد الحقيقي</w:t>
      </w:r>
      <w:r>
        <w:rPr>
          <w:rFonts w:ascii="Times New Roman" w:cs="Noto Naskh Arabic" w:eastAsia="Noto Naskh Arabic" w:hAnsi="Times New Roman"/>
          <w:sz w:val="26"/>
          <w:szCs w:val="26"/>
          <w:rtl/>
        </w:rPr>
        <w:t xml:space="preserve"> يهبط من ٠٫٧٠ إلى ٠٫٥٩ عند وساطة ٠٫٣، وإلى ٠٫٢١ عند وساطة ٠٫٨. وتحت </w:t>
      </w:r>
      <w:r>
        <w:rPr>
          <w:rFonts w:ascii="Times New Roman" w:cs="Noto Naskh Arabic" w:eastAsia="Noto Naskh Arabic" w:hAnsi="Times New Roman"/>
          <w:b/>
          <w:bCs/>
          <w:sz w:val="26"/>
          <w:szCs w:val="26"/>
          <w:rtl/>
        </w:rPr>
        <w:t xml:space="preserve">تباعد القياس</w:t>
      </w:r>
      <w:r>
        <w:rPr>
          <w:rFonts w:ascii="Times New Roman" w:cs="Noto Naskh Arabic" w:eastAsia="Noto Naskh Arabic" w:hAnsi="Times New Roman"/>
          <w:sz w:val="26"/>
          <w:szCs w:val="26"/>
          <w:rtl/>
        </w:rPr>
        <w:t xml:space="preserve"> يبقى ثابتاً عند ٠٫٧٠. فإذا نما العائد وثبتت حصة المؤلفين الجدد، رُجّح تباعد القياس؛ وإذا هبطت، رُجّح التباعد الحقيقي.</w:t>
      </w:r>
    </w:p>
    <w:p>
      <w:pPr>
        <w:bidi/>
        <w:spacing w:after="120" w:line="336"/>
        <w:jc w:val="both"/>
      </w:pPr>
      <w:r>
        <w:rPr>
          <w:rFonts w:ascii="Times New Roman" w:cs="Noto Naskh Arabic" w:eastAsia="Noto Naskh Arabic" w:hAnsi="Times New Roman"/>
          <w:sz w:val="26"/>
          <w:szCs w:val="26"/>
          <w:rtl/>
        </w:rPr>
        <w:t xml:space="preserve">ولهذا المؤشر ثلاث مزايا. فهو </w:t>
      </w:r>
      <w:r>
        <w:rPr>
          <w:rFonts w:ascii="Times New Roman" w:cs="Noto Naskh Arabic" w:eastAsia="Noto Naskh Arabic" w:hAnsi="Times New Roman"/>
          <w:b/>
          <w:bCs/>
          <w:sz w:val="26"/>
          <w:szCs w:val="26"/>
          <w:rtl/>
        </w:rPr>
        <w:t xml:space="preserve">نسبي</w:t>
      </w:r>
      <w:r>
        <w:rPr>
          <w:rFonts w:ascii="Times New Roman" w:cs="Noto Naskh Arabic" w:eastAsia="Noto Naskh Arabic" w:hAnsi="Times New Roman"/>
          <w:sz w:val="26"/>
          <w:szCs w:val="26"/>
          <w:rtl/>
        </w:rPr>
        <w:t xml:space="preserve"> لا مخزني، فلا يرتفع بزيادة عدد الإصدارات وحدها. وهو </w:t>
      </w:r>
      <w:r>
        <w:rPr>
          <w:rFonts w:ascii="Times New Roman" w:cs="Noto Naskh Arabic" w:eastAsia="Noto Naskh Arabic" w:hAnsi="Times New Roman"/>
          <w:b/>
          <w:bCs/>
          <w:sz w:val="26"/>
          <w:szCs w:val="26"/>
          <w:rtl/>
        </w:rPr>
        <w:t xml:space="preserve">قابل للبناء</w:t>
      </w:r>
      <w:r>
        <w:rPr>
          <w:rFonts w:ascii="Times New Roman" w:cs="Noto Naskh Arabic" w:eastAsia="Noto Naskh Arabic" w:hAnsi="Times New Roman"/>
          <w:sz w:val="26"/>
          <w:szCs w:val="26"/>
          <w:rtl/>
        </w:rPr>
        <w:t xml:space="preserve"> من سجلات الإيداع القانوني حيث وُجدت. وهو </w:t>
      </w:r>
      <w:r>
        <w:rPr>
          <w:rFonts w:ascii="Times New Roman" w:cs="Noto Naskh Arabic" w:eastAsia="Noto Naskh Arabic" w:hAnsi="Times New Roman"/>
          <w:b/>
          <w:bCs/>
          <w:sz w:val="26"/>
          <w:szCs w:val="26"/>
          <w:rtl/>
        </w:rPr>
        <w:t xml:space="preserve">قابل للبناء استرجاعياً</w:t>
      </w:r>
      <w:r>
        <w:rPr>
          <w:rFonts w:ascii="Times New Roman" w:cs="Noto Naskh Arabic" w:eastAsia="Noto Naskh Arabic" w:hAnsi="Times New Roman"/>
          <w:sz w:val="26"/>
          <w:szCs w:val="26"/>
          <w:rtl/>
        </w:rPr>
        <w:t xml:space="preserve">، أي لسنوات مضت، لا للمستقبل فقط.</w:t>
      </w:r>
    </w:p>
    <w:p>
      <w:pPr>
        <w:pStyle w:val="Heading2"/>
        <w:bidi/>
        <w:jc w:val="right"/>
      </w:pPr>
      <w:r>
        <w:rPr>
          <w:rFonts w:ascii="Times New Roman" w:cs="Noto Naskh Arabic" w:eastAsia="Noto Naskh Arabic" w:hAnsi="Times New Roman"/>
          <w:b/>
          <w:bCs/>
          <w:color w:val="1F4E79"/>
          <w:sz w:val="28"/>
          <w:szCs w:val="28"/>
          <w:rtl/>
        </w:rPr>
        <w:t xml:space="preserve">٨-٨ كم سنة من البيانات تكفي؟</w:t>
      </w:r>
    </w:p>
    <w:p>
      <w:pPr>
        <w:bidi/>
        <w:spacing w:after="120" w:line="336"/>
        <w:jc w:val="both"/>
      </w:pPr>
      <w:r>
        <w:rPr>
          <w:rFonts w:ascii="Times New Roman" w:cs="Noto Naskh Arabic" w:eastAsia="Noto Naskh Arabic" w:hAnsi="Times New Roman"/>
          <w:sz w:val="26"/>
          <w:szCs w:val="26"/>
          <w:rtl/>
        </w:rPr>
        <w:t xml:space="preserve">قُدّر بمحاكاة تحليل القوة طولُ السلسلة اللازم لكشف تراجع حصة المؤلفين الجدد باحتمال ٨٠٪ ومستوى دلالة ٠٫٠٥، تحت افتراضات مختلفة لسرعة التراجع ومقدار التذبذب السنوي والارتباط الذاتي بين السنوات المتتالية: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82"/>
        <w:gridCol w:w="2171"/>
        <w:gridCol w:w="2327"/>
        <w:gridCol w:w="2326"/>
      </w:tblGrid>
      <w:tr>
        <w:trPr>
          <w:cantSplit w:val="false"/>
          <w:tblHeader/>
        </w:trPr>
        <w:tc>
          <w:tcPr>
            <w:tcW w:type="dxa" w:w="2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سرعة التراجع</w:t>
            </w:r>
          </w:p>
        </w:tc>
        <w:tc>
          <w:tcPr>
            <w:tcW w:type="dxa" w:w="21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التذبذب السنوي</w:t>
            </w:r>
          </w:p>
        </w:tc>
        <w:tc>
          <w:tcPr>
            <w:tcW w:type="dxa" w:w="23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الارتباط الذاتي</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السنوات اللازمة</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بطيء (وساطة ٠٫٣)</w:t>
            </w:r>
          </w:p>
        </w:tc>
        <w:tc>
          <w:tcPr>
            <w:tcW w:type="dxa" w:w="217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٠٫٠٢</w:t>
            </w:r>
          </w:p>
        </w:tc>
        <w:tc>
          <w:tcPr>
            <w:tcW w:type="dxa" w:w="23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١٢</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بطيء</w:t>
            </w:r>
          </w:p>
        </w:tc>
        <w:tc>
          <w:tcPr>
            <w:tcW w:type="dxa" w:w="217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٠٫٠٢</w:t>
            </w:r>
          </w:p>
        </w:tc>
        <w:tc>
          <w:tcPr>
            <w:tcW w:type="dxa" w:w="23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٠٫٥</w:t>
            </w:r>
          </w:p>
        </w:tc>
        <w:tc>
          <w:tcPr>
            <w:tcW w:type="dxa" w:w="23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١٦</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بطيء</w:t>
            </w:r>
          </w:p>
        </w:tc>
        <w:tc>
          <w:tcPr>
            <w:tcW w:type="dxa" w:w="217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٠٫٠٤</w:t>
            </w:r>
          </w:p>
        </w:tc>
        <w:tc>
          <w:tcPr>
            <w:tcW w:type="dxa" w:w="23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١٩</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بطيء</w:t>
            </w:r>
          </w:p>
        </w:tc>
        <w:tc>
          <w:tcPr>
            <w:tcW w:type="dxa" w:w="217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٠٫٠٤</w:t>
            </w:r>
          </w:p>
        </w:tc>
        <w:tc>
          <w:tcPr>
            <w:tcW w:type="dxa" w:w="23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٠٫٥</w:t>
            </w:r>
          </w:p>
        </w:tc>
        <w:tc>
          <w:tcPr>
            <w:tcW w:type="dxa" w:w="23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٢٦</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سريع (وساطة ٠٫٦)</w:t>
            </w:r>
          </w:p>
        </w:tc>
        <w:tc>
          <w:tcPr>
            <w:tcW w:type="dxa" w:w="217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٠٫٠٢</w:t>
            </w:r>
          </w:p>
        </w:tc>
        <w:tc>
          <w:tcPr>
            <w:tcW w:type="dxa" w:w="23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٦</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سريع</w:t>
            </w:r>
          </w:p>
        </w:tc>
        <w:tc>
          <w:tcPr>
            <w:tcW w:type="dxa" w:w="217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٠٫٠٢</w:t>
            </w:r>
          </w:p>
        </w:tc>
        <w:tc>
          <w:tcPr>
            <w:tcW w:type="dxa" w:w="23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٠٫٥</w:t>
            </w:r>
          </w:p>
        </w:tc>
        <w:tc>
          <w:tcPr>
            <w:tcW w:type="dxa" w:w="23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٧</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سريع</w:t>
            </w:r>
          </w:p>
        </w:tc>
        <w:tc>
          <w:tcPr>
            <w:tcW w:type="dxa" w:w="217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٠٫٠٤</w:t>
            </w:r>
          </w:p>
        </w:tc>
        <w:tc>
          <w:tcPr>
            <w:tcW w:type="dxa" w:w="23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2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٩</w:t>
            </w:r>
          </w:p>
        </w:tc>
      </w:tr>
      <w:tr>
        <w:trPr>
          <w:cantSplit w:val="false"/>
          <w:tblHeader w:val="false"/>
        </w:trPr>
        <w:tc>
          <w:tcPr>
            <w:tcW w:type="dxa" w:w="24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سريع</w:t>
            </w:r>
          </w:p>
        </w:tc>
        <w:tc>
          <w:tcPr>
            <w:tcW w:type="dxa" w:w="217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٠٫٠٤</w:t>
            </w:r>
          </w:p>
        </w:tc>
        <w:tc>
          <w:tcPr>
            <w:tcW w:type="dxa" w:w="23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٠٫٥</w:t>
            </w:r>
          </w:p>
        </w:tc>
        <w:tc>
          <w:tcPr>
            <w:tcW w:type="dxa" w:w="232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١١</w:t>
            </w:r>
          </w:p>
        </w:tc>
      </w:tr>
    </w:tbl>
    <w:p>
      <w:pPr>
        <w:spacing w:after="120"/>
      </w:pPr>
    </w:p>
    <w:p>
      <w:pPr>
        <w:bidi/>
        <w:spacing w:after="120" w:line="336"/>
        <w:jc w:val="both"/>
      </w:pPr>
      <w:r>
        <w:rPr>
          <w:rFonts w:ascii="Times New Roman" w:cs="Noto Naskh Arabic" w:eastAsia="Noto Naskh Arabic" w:hAnsi="Times New Roman"/>
          <w:sz w:val="26"/>
          <w:szCs w:val="26"/>
          <w:rtl/>
        </w:rPr>
        <w:t xml:space="preserve">والنتيجة العملية: إذا كان التراجع بطيئاً، فإن البدء في رصده اليوم لا يحسم السؤال قبل أربعينيات هذا القرن. والحل ليس في الانتظار، بل في </w:t>
      </w:r>
      <w:r>
        <w:rPr>
          <w:rFonts w:ascii="Times New Roman" w:cs="Noto Naskh Arabic" w:eastAsia="Noto Naskh Arabic" w:hAnsi="Times New Roman"/>
          <w:b/>
          <w:bCs/>
          <w:sz w:val="26"/>
          <w:szCs w:val="26"/>
          <w:rtl/>
        </w:rPr>
        <w:t xml:space="preserve">بناء السلسلة استرجاعياً</w:t>
      </w:r>
      <w:r>
        <w:rPr>
          <w:rFonts w:ascii="Times New Roman" w:cs="Noto Naskh Arabic" w:eastAsia="Noto Naskh Arabic" w:hAnsi="Times New Roman"/>
          <w:sz w:val="26"/>
          <w:szCs w:val="26"/>
          <w:rtl/>
        </w:rPr>
        <w:t xml:space="preserve"> من سجلات الإيداع للعقدين الماضيين. وبذلك يمكن أن يُحسم السؤال في سنوات قليلة بدلاً من عقود، وفي الوقت الذي تتخذ فيه قرارات حوكمة الذكاء الاصطناعي والمنصات.</w:t>
      </w:r>
    </w:p>
    <w:p>
      <w:pPr>
        <w:pStyle w:val="Heading2"/>
        <w:bidi/>
        <w:jc w:val="right"/>
      </w:pPr>
      <w:r>
        <w:rPr>
          <w:rFonts w:ascii="Times New Roman" w:cs="Noto Naskh Arabic" w:eastAsia="Noto Naskh Arabic" w:hAnsi="Times New Roman"/>
          <w:b/>
          <w:bCs/>
          <w:color w:val="1F4E79"/>
          <w:sz w:val="28"/>
          <w:szCs w:val="28"/>
          <w:rtl/>
        </w:rPr>
        <w:t xml:space="preserve">٨-٩ إطار القياس المقترح</w:t>
      </w:r>
    </w:p>
    <w:p>
      <w:pPr>
        <w:bidi/>
        <w:spacing w:after="120" w:line="336"/>
        <w:jc w:val="both"/>
      </w:pPr>
      <w:r>
        <w:rPr>
          <w:rFonts w:ascii="Times New Roman" w:cs="Noto Naskh Arabic" w:eastAsia="Noto Naskh Arabic" w:hAnsi="Times New Roman"/>
          <w:sz w:val="26"/>
          <w:szCs w:val="26"/>
          <w:rtl/>
        </w:rPr>
        <w:t xml:space="preserve">لا تقترح الورقة مؤشراً مركّباً جديداً، لثلاثة أسباب: أن بيانات ثلاثة من أبعاد القدرة الفكرية الأربعة غير متاحة بعد؛ وأن المؤشر المركّب يخفي التباين بين أبعاده، وهذا التباين هو موضوع الورقة؛ وأن التجميع بالمتوسط الحسابي يسمح رياضياً بأن يُعوَّض ضعف بُعد بقوة آخر، فيُخفي انهياره. وتقترح بدلاً من ذلك </w:t>
      </w:r>
      <w:r>
        <w:rPr>
          <w:rFonts w:ascii="Times New Roman" w:cs="Noto Naskh Arabic" w:eastAsia="Noto Naskh Arabic" w:hAnsi="Times New Roman"/>
          <w:b/>
          <w:bCs/>
          <w:sz w:val="26"/>
          <w:szCs w:val="26"/>
          <w:rtl/>
        </w:rPr>
        <w:t xml:space="preserve">مؤشر فجوة ثنائي المحور</w:t>
      </w:r>
      <w:r>
        <w:rPr>
          <w:rFonts w:ascii="Times New Roman" w:cs="Noto Naskh Arabic" w:eastAsia="Noto Naskh Arabic" w:hAnsi="Times New Roman"/>
          <w:sz w:val="26"/>
          <w:szCs w:val="26"/>
          <w:rtl/>
        </w:rPr>
        <w:t xml:space="preserve">:</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المحور الاقتصادي:</w:t>
      </w:r>
      <w:r>
        <w:rPr>
          <w:rFonts w:ascii="Times New Roman" w:cs="Noto Naskh Arabic" w:eastAsia="Noto Naskh Arabic" w:hAnsi="Times New Roman"/>
          <w:sz w:val="26"/>
          <w:szCs w:val="26"/>
          <w:rtl/>
        </w:rPr>
        <w:t xml:space="preserve"> معدل نمو مؤشر اقتصادي للقطاع الثقافي بتعريفه الضيق، لا الإبداعي الواسع.</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المحور الفكري:</w:t>
      </w:r>
      <w:r>
        <w:rPr>
          <w:rFonts w:ascii="Times New Roman" w:cs="Noto Naskh Arabic" w:eastAsia="Noto Naskh Arabic" w:hAnsi="Times New Roman"/>
          <w:sz w:val="26"/>
          <w:szCs w:val="26"/>
          <w:rtl/>
        </w:rPr>
        <w:t xml:space="preserve"> معدل تغيّر حصة المؤلفين الجدد، ثم تُضاف الأبعاد الأخرى كلما توفرت بياناتها.</w:t>
      </w:r>
    </w:p>
    <w:p>
      <w:pPr>
        <w:bidi/>
        <w:spacing w:after="120" w:line="336"/>
        <w:jc w:val="both"/>
      </w:pPr>
      <w:r>
        <w:rPr>
          <w:rFonts w:ascii="Times New Roman" w:cs="Noto Naskh Arabic" w:eastAsia="Noto Naskh Arabic" w:hAnsi="Times New Roman"/>
          <w:sz w:val="26"/>
          <w:szCs w:val="26"/>
          <w:rtl/>
        </w:rPr>
        <w:t xml:space="preserve">ويُقرأ المؤشر نمطاً لا رقماً: نمو مشترك (تلازم)، أو نمو اقتصادي مع ثبات فكري (تباعد قياس محتمل)، أو نمو اقتصادي مع هبوط فكري (تباعد حقيقي محتمل)، أو هبوط مشترك (أزمة عامة). ويُقرأ اتجاهه عبر ثلاث سنوات على الأقل، لا قيمته في سنة واحدة.</w:t>
      </w:r>
    </w:p>
    <w:p>
      <w:pPr>
        <w:pStyle w:val="Heading2"/>
        <w:bidi/>
        <w:jc w:val="right"/>
      </w:pPr>
      <w:r>
        <w:rPr>
          <w:rFonts w:ascii="Times New Roman" w:cs="Noto Naskh Arabic" w:eastAsia="Noto Naskh Arabic" w:hAnsi="Times New Roman"/>
          <w:b/>
          <w:bCs/>
          <w:color w:val="1F4E79"/>
          <w:sz w:val="28"/>
          <w:szCs w:val="28"/>
          <w:rtl/>
        </w:rPr>
        <w:t xml:space="preserve">٨-١٠ ما لا يقدمه النموذج</w:t>
      </w:r>
    </w:p>
    <w:p>
      <w:pPr>
        <w:bidi/>
        <w:spacing w:after="120" w:line="336"/>
        <w:jc w:val="both"/>
      </w:pPr>
      <w:r>
        <w:rPr>
          <w:rFonts w:ascii="Times New Roman" w:cs="Noto Naskh Arabic" w:eastAsia="Noto Naskh Arabic" w:hAnsi="Times New Roman"/>
          <w:sz w:val="26"/>
          <w:szCs w:val="26"/>
          <w:rtl/>
        </w:rPr>
        <w:t xml:space="preserve">لا يقدّم النموذج توقعاً لقيمة القدرة الفكرية في أي دولة، ولا يحدد موقع أي نظام من العتبة، ولا يثبت أن الوساطة تُضعف القدرة؛ فهذه كلها تتطلب بيانات لم تُجمع بعد. وما يقدمه أنه يحوّل سؤالاً فلسفياً — هل يتباعد ما تدرّه الثقافة عما تصنعه؟ — إلى سؤال قابل للحسم بمعطى محدد، ويقدّر كم من البيانات يكفي لحسمه.</w:t>
      </w:r>
    </w:p>
    <w:p>
      <w:pPr>
        <w:pStyle w:val="Heading1"/>
        <w:bidi/>
        <w:jc w:val="right"/>
      </w:pPr>
      <w:r>
        <w:rPr>
          <w:rFonts w:ascii="Times New Roman" w:cs="Noto Naskh Arabic" w:eastAsia="Noto Naskh Arabic" w:hAnsi="Times New Roman"/>
          <w:b/>
          <w:bCs/>
          <w:color w:val="1F4E79"/>
          <w:sz w:val="34"/>
          <w:szCs w:val="34"/>
          <w:rtl/>
        </w:rPr>
        <w:t xml:space="preserve">٩. المقارنات الدولية: ماذا تقيس الاستراتيجيات الثقافية؟</w:t>
      </w:r>
    </w:p>
    <w:p>
      <w:pPr>
        <w:bidi/>
        <w:spacing w:after="120" w:line="336"/>
        <w:jc w:val="both"/>
      </w:pPr>
      <w:r>
        <w:rPr>
          <w:rFonts w:ascii="Times New Roman" w:cs="Noto Naskh Arabic" w:eastAsia="Noto Naskh Arabic" w:hAnsi="Times New Roman"/>
          <w:sz w:val="26"/>
          <w:szCs w:val="26"/>
          <w:rtl/>
        </w:rPr>
        <w:t xml:space="preserve">يختبر هذا القسم إحدى نتائج الورقة على وثائق سياساتية فعلية: أن لاتماثل القياس بين القيمة الاقتصادية والقيمة الفكرية ليس عيباً في الإحصاءات الدولية وحدها، بل قد يكون مكتوباً في الاستراتيجيات الثقافية نفسها. ويقارن ثلاث حالات: الإمارات العربية المتحدة، وسنغافورة، وفنلندا. ولا تقدّم المقارنة حكماً على جودة السياسات الثقافية في هذه الدول، بل تقرأ ما تختار كل استراتيجية أن تجعله هدفاً معلناً.</w:t>
      </w:r>
    </w:p>
    <w:p>
      <w:pPr>
        <w:pStyle w:val="Heading2"/>
        <w:bidi/>
        <w:jc w:val="right"/>
      </w:pPr>
      <w:r>
        <w:rPr>
          <w:rFonts w:ascii="Times New Roman" w:cs="Noto Naskh Arabic" w:eastAsia="Noto Naskh Arabic" w:hAnsi="Times New Roman"/>
          <w:b/>
          <w:bCs/>
          <w:color w:val="1F4E79"/>
          <w:sz w:val="28"/>
          <w:szCs w:val="28"/>
          <w:rtl/>
        </w:rPr>
        <w:t xml:space="preserve">٩-١ اختيار الحالات</w:t>
      </w:r>
    </w:p>
    <w:p>
      <w:pPr>
        <w:bidi/>
        <w:spacing w:after="120" w:line="336"/>
        <w:jc w:val="both"/>
      </w:pPr>
      <w:r>
        <w:rPr>
          <w:rFonts w:ascii="Times New Roman" w:cs="Noto Naskh Arabic" w:eastAsia="Noto Naskh Arabic" w:hAnsi="Times New Roman"/>
          <w:sz w:val="26"/>
          <w:szCs w:val="26"/>
          <w:rtl/>
        </w:rPr>
        <w:t xml:space="preserve">اختيرت الحالات الثلاث لأنها تتفاوت في بُعدين تهتم بهما الورقة: درجة مأسسة الاستشراف، وطبيعة الأهداف الثقافية المعلنة. فسنغافورة وفنلندا تملكان بنيتين استشرافيتين راسختين، كما عرض القسم العاشر، لكنهما تختلفان في التقليد الإداري والسياسي. والإمارات حالة الورقة الأقرب، وتملك بنية استشرافية ناشئة واستراتيجية وطنية حديثة للصناعات الثقافية والإبداعية. وتوفر الحالات الثلاث وثائق استراتيجية رسمية منشورة تعلن أهدافها، وهو شرط التحليل.</w:t>
      </w:r>
    </w:p>
    <w:p>
      <w:pPr>
        <w:bidi/>
        <w:spacing w:after="120" w:line="336"/>
        <w:jc w:val="both"/>
      </w:pPr>
      <w:r>
        <w:rPr>
          <w:rFonts w:ascii="Times New Roman" w:cs="Noto Naskh Arabic" w:eastAsia="Noto Naskh Arabic" w:hAnsi="Times New Roman"/>
          <w:sz w:val="26"/>
          <w:szCs w:val="26"/>
          <w:rtl/>
        </w:rPr>
        <w:t xml:space="preserve">ولا تمثل الحالات الثلاث مناطقها، ولا يُعمَّم ما يُستخلص منها. فهي حالات مقصودة لا عينة عشوائية، والغاية منها كشف أنماط ممكنة لا تقدير انتشارها.</w:t>
      </w:r>
    </w:p>
    <w:p>
      <w:pPr>
        <w:pStyle w:val="Heading2"/>
        <w:bidi/>
        <w:jc w:val="right"/>
      </w:pPr>
      <w:r>
        <w:rPr>
          <w:rFonts w:ascii="Times New Roman" w:cs="Noto Naskh Arabic" w:eastAsia="Noto Naskh Arabic" w:hAnsi="Times New Roman"/>
          <w:b/>
          <w:bCs/>
          <w:color w:val="1F4E79"/>
          <w:sz w:val="28"/>
          <w:szCs w:val="28"/>
          <w:rtl/>
        </w:rPr>
        <w:t xml:space="preserve">٩-٢ الوثائق المحللة</w:t>
      </w:r>
    </w:p>
    <w:p>
      <w:pPr>
        <w:bidi/>
        <w:spacing w:after="120" w:line="336"/>
        <w:jc w:val="both"/>
      </w:pPr>
      <w:r>
        <w:rPr>
          <w:rFonts w:ascii="Times New Roman" w:cs="Noto Naskh Arabic" w:eastAsia="Noto Naskh Arabic" w:hAnsi="Times New Roman"/>
          <w:b/>
          <w:bCs/>
          <w:sz w:val="26"/>
          <w:szCs w:val="26"/>
          <w:rtl/>
        </w:rPr>
        <w:t xml:space="preserve">الإمارات.</w:t>
      </w:r>
      <w:r>
        <w:rPr>
          <w:rFonts w:ascii="Times New Roman" w:cs="Noto Naskh Arabic" w:eastAsia="Noto Naskh Arabic" w:hAnsi="Times New Roman"/>
          <w:sz w:val="26"/>
          <w:szCs w:val="26"/>
          <w:rtl/>
        </w:rPr>
        <w:t xml:space="preserve"> الاستراتيجية الوطنية للصناعات الثقافية والإبداعية (٢٠٢١–٢٠٣١)، بحسب عرضها على البوابة الرسمية لحكومة الدولة. وتستهدف رفع إسهام القطاع إلى ٥٪ من الناتج المحلي بحلول ٢٠٣١، وتعزيز موقع الدولة على الخريطة الثقافية والإبداعية العالمية، وإلهام التفكير الإبداعي واستقطاب المواهب الثقافية ورواد الأعمال المبدعين، ومضاعفة عدد المنشآت العاملة في القطاع، وخلق وظائف جديدة، ورفع متوسط دخل العاملين، واستقطاب العاملين المستقلين والشركات الناشئة. وتنفَّذ عبر أربعين مبادرة في ثلاثة محاور: المواهب والمبدعون، والمهنيون وبيئة الأعمال، وتمكين بيئة الأعمال</w:t>
      </w:r>
      <w:r>
        <w:rPr>
          <w:rStyle w:val="FootnoteReference"/>
        </w:rPr>
        <w:footnoteReference w:id="90"/>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سنغافورة.</w:t>
      </w:r>
      <w:r>
        <w:rPr>
          <w:rFonts w:ascii="Times New Roman" w:cs="Noto Naskh Arabic" w:eastAsia="Noto Naskh Arabic" w:hAnsi="Times New Roman"/>
          <w:sz w:val="26"/>
          <w:szCs w:val="26"/>
          <w:rtl/>
        </w:rPr>
        <w:t xml:space="preserve"> خطة «</w:t>
      </w:r>
      <w:r>
        <w:rPr>
          <w:rFonts w:ascii="Times New Roman" w:cs="Noto Naskh Arabic" w:eastAsia="Noto Naskh Arabic" w:hAnsi="Times New Roman"/>
          <w:sz w:val="26"/>
          <w:szCs w:val="26"/>
          <w:rtl w:val="false"/>
        </w:rPr>
        <w:t xml:space="preserve">Our SG Arts Plan</w:t>
      </w:r>
      <w:r>
        <w:rPr>
          <w:rFonts w:ascii="Times New Roman" w:cs="Noto Naskh Arabic" w:eastAsia="Noto Naskh Arabic" w:hAnsi="Times New Roman"/>
          <w:sz w:val="26"/>
          <w:szCs w:val="26"/>
          <w:rtl/>
        </w:rPr>
        <w:t xml:space="preserve">» (٢٠٢٣–٢٠٢٧) الصادرة عن المجلس الوطني للفنون. وقد بُنيت، بحسب الخطة نفسها، على مدخلات أكثر من ١٦٬٥٠٠ من أصحاب المصلحة، وعلى بيانات وأبحاث ودراسات لاتجاهات المستقبل والتقنية المرجّح أن تؤثر في القطاع. وتقوم على ثلاثة محاور: مجتمع مترابط، ومدينة متميزة، واقتصاد إبداعي؛ ولكل محور ثلاث أولويات</w:t>
      </w:r>
      <w:r>
        <w:rPr>
          <w:rStyle w:val="FootnoteReference"/>
        </w:rPr>
        <w:footnoteReference w:id="91"/>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فنلندا.</w:t>
      </w:r>
      <w:r>
        <w:rPr>
          <w:rFonts w:ascii="Times New Roman" w:cs="Noto Naskh Arabic" w:eastAsia="Noto Naskh Arabic" w:hAnsi="Times New Roman"/>
          <w:sz w:val="26"/>
          <w:szCs w:val="26"/>
          <w:rtl/>
        </w:rPr>
        <w:t xml:space="preserve"> استراتيجية السياسة الثقافية ٢٠٢٥ الصادرة عن وزارة التعليم والثقافة عام ٢٠١٧. وتحدد ثلاثة مجالات مستهدفة: العمل الإبداعي والإنتاج، بأن تتحسن شروط العمل الفني والإبداعي وتتعدد سبل إنتاج الأعمال وتوزيعها؛ والشمول والمشاركة، بأن تزداد المشاركة وتضيق الفوارق بين الفئات السكانية فيها؛ والأساس الثقافي واستمراريته، بأن يكون قوياً وحيوياً</w:t>
      </w:r>
      <w:r>
        <w:rPr>
          <w:rStyle w:val="FootnoteReference"/>
        </w:rPr>
        <w:footnoteReference w:id="92"/>
      </w:r>
      <w:r>
        <w:rPr>
          <w:rFonts w:ascii="Times New Roman" w:cs="Noto Naskh Arabic" w:eastAsia="Noto Naskh Arabic" w:hAnsi="Times New Roman"/>
          <w:sz w:val="26"/>
          <w:szCs w:val="26"/>
          <w:rtl/>
        </w:rPr>
        <w:t xml:space="preserve">. وقد صدر في يناير ٢٠٢٥ تقرير جديد للسياسة الثقافية بأربعة أهداف، بنيت — بحسب وصفه — على تقدير التطورات الأرجح والأشد أثراً في مستقبل السياسة الثقافية</w:t>
      </w:r>
      <w:r>
        <w:rPr>
          <w:rStyle w:val="FootnoteReference"/>
        </w:rPr>
        <w:footnoteReference w:id="93"/>
      </w:r>
      <w:r>
        <w:rPr>
          <w:rFonts w:ascii="Times New Roman" w:cs="Noto Naskh Arabic" w:eastAsia="Noto Naskh Arabic" w:hAnsi="Times New Roman"/>
          <w:sz w:val="26"/>
          <w:szCs w:val="26"/>
          <w:rtl/>
        </w:rPr>
        <w:t xml:space="preserve">. ولم تُحلَّل أهداف هذا التقرير الجديد لأنها لم تُستخرج من أصله، وهو حدّ يُعلن.</w:t>
      </w:r>
    </w:p>
    <w:p>
      <w:pPr>
        <w:pStyle w:val="Heading2"/>
        <w:bidi/>
        <w:jc w:val="right"/>
      </w:pPr>
      <w:r>
        <w:rPr>
          <w:rFonts w:ascii="Times New Roman" w:cs="Noto Naskh Arabic" w:eastAsia="Noto Naskh Arabic" w:hAnsi="Times New Roman"/>
          <w:b/>
          <w:bCs/>
          <w:color w:val="1F4E79"/>
          <w:sz w:val="28"/>
          <w:szCs w:val="28"/>
          <w:rtl/>
        </w:rPr>
        <w:t xml:space="preserve">٩-٣ منهج التحليل</w:t>
      </w:r>
    </w:p>
    <w:p>
      <w:pPr>
        <w:bidi/>
        <w:spacing w:after="120" w:line="336"/>
        <w:jc w:val="both"/>
      </w:pPr>
      <w:r>
        <w:rPr>
          <w:rFonts w:ascii="Times New Roman" w:cs="Noto Naskh Arabic" w:eastAsia="Noto Naskh Arabic" w:hAnsi="Times New Roman"/>
          <w:sz w:val="26"/>
          <w:szCs w:val="26"/>
          <w:rtl/>
        </w:rPr>
        <w:t xml:space="preserve">حُلّلت الأهداف المعلنة تحليل محتوى بسيطاً، بترميز كل هدف أو أولوية في واحدة من أربع فئات:</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اقتصادية (ق):</w:t>
      </w:r>
      <w:r>
        <w:rPr>
          <w:rFonts w:ascii="Times New Roman" w:cs="Noto Naskh Arabic" w:eastAsia="Noto Naskh Arabic" w:hAnsi="Times New Roman"/>
          <w:sz w:val="26"/>
          <w:szCs w:val="26"/>
          <w:rtl/>
        </w:rPr>
        <w:t xml:space="preserve"> الإسهام في الناتج، والمنشآت، والوظائف، والدخل، ونماذج الأعمال، والطلب والأسواق.</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اجتماعية وتشاركية (ج):</w:t>
      </w:r>
      <w:r>
        <w:rPr>
          <w:rFonts w:ascii="Times New Roman" w:cs="Noto Naskh Arabic" w:eastAsia="Noto Naskh Arabic" w:hAnsi="Times New Roman"/>
          <w:sz w:val="26"/>
          <w:szCs w:val="26"/>
          <w:rtl/>
        </w:rPr>
        <w:t xml:space="preserve"> المشاركة، والجمهور، وروابط المجتمع، والوصول، والانتماء.</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قدرة إبداعية وفكرية (ف):</w:t>
      </w:r>
      <w:r>
        <w:rPr>
          <w:rFonts w:ascii="Times New Roman" w:cs="Noto Naskh Arabic" w:eastAsia="Noto Naskh Arabic" w:hAnsi="Times New Roman"/>
          <w:sz w:val="26"/>
          <w:szCs w:val="26"/>
          <w:rtl/>
        </w:rPr>
        <w:t xml:space="preserve"> شروط الإنشاء، والتميز الفني، وتعدد سبل الإنتاج، وحيوية الأساس الثقافي، والتفكير الإبداعي.</w:t>
      </w:r>
    </w:p>
    <w:p>
      <w:pPr>
        <w:pStyle w:val="ListParagraph"/>
        <w:numPr>
          <w:ilvl w:val="0"/>
          <w:numId w:val="3"/>
        </w:numPr>
        <w:bidi/>
        <w:spacing w:after="80" w:line="336"/>
        <w:jc w:val="both"/>
      </w:pPr>
      <w:r>
        <w:rPr>
          <w:rFonts w:ascii="Times New Roman" w:cs="Noto Naskh Arabic" w:eastAsia="Noto Naskh Arabic" w:hAnsi="Times New Roman"/>
          <w:b/>
          <w:bCs/>
          <w:sz w:val="26"/>
          <w:szCs w:val="26"/>
          <w:rtl/>
        </w:rPr>
        <w:t xml:space="preserve">مكانية وموقعية (م):</w:t>
      </w:r>
      <w:r>
        <w:rPr>
          <w:rFonts w:ascii="Times New Roman" w:cs="Noto Naskh Arabic" w:eastAsia="Noto Naskh Arabic" w:hAnsi="Times New Roman"/>
          <w:sz w:val="26"/>
          <w:szCs w:val="26"/>
          <w:rtl/>
        </w:rPr>
        <w:t xml:space="preserve"> المساحات، والأماكن، وصورة المدينة، والموقع العالمي.</w:t>
      </w:r>
    </w:p>
    <w:p>
      <w:pPr>
        <w:bidi/>
        <w:spacing w:after="120" w:line="336"/>
        <w:jc w:val="both"/>
      </w:pPr>
      <w:r>
        <w:rPr>
          <w:rFonts w:ascii="Times New Roman" w:cs="Noto Naskh Arabic" w:eastAsia="Noto Naskh Arabic" w:hAnsi="Times New Roman"/>
          <w:sz w:val="26"/>
          <w:szCs w:val="26"/>
          <w:rtl/>
        </w:rPr>
        <w:t xml:space="preserve">ولأن بعض الأهداف يحتمل أكثر من فئة، سُجّل لكل هدف ملتبس ترميز بديل، وأُعيد الحساب به اختباراً لحساسية النتائج. فهدف «إلهام التفكير الإبداعي واستقطاب المواهب ورواد الأعمال» في الحالة الإماراتية رُمّز قدرةً، وبديله اقتصادي. وأولوية «تنمية التميز الفني» في الحالة السنغافورية رُمّزت قدرةً، وبديلها اقتصادي لأنها تتحدث عن مسارات مهنية مستدامة.</w:t>
      </w:r>
    </w:p>
    <w:p>
      <w:pPr>
        <w:bidi/>
        <w:spacing w:after="120" w:line="336"/>
        <w:jc w:val="both"/>
      </w:pPr>
      <w:r>
        <w:rPr>
          <w:rFonts w:ascii="Times New Roman" w:cs="Noto Naskh Arabic" w:eastAsia="Noto Naskh Arabic" w:hAnsi="Times New Roman"/>
          <w:b/>
          <w:bCs/>
          <w:sz w:val="26"/>
          <w:szCs w:val="26"/>
          <w:rtl/>
        </w:rPr>
        <w:t xml:space="preserve">إفصاح:</w:t>
      </w:r>
      <w:r>
        <w:rPr>
          <w:rFonts w:ascii="Times New Roman" w:cs="Noto Naskh Arabic" w:eastAsia="Noto Naskh Arabic" w:hAnsi="Times New Roman"/>
          <w:sz w:val="26"/>
          <w:szCs w:val="26"/>
          <w:rtl/>
        </w:rPr>
        <w:t xml:space="preserve"> أجرى الترميز مرمِّز واحد، فلا يمكن حساب معامل اتفاق بين مرمِّزين. والعدد الصغير للأهداف في كل حالة (٧ و٩ و٣) لا يسمح باستدلال إحصائي قوي. فالنتائج وصفية، وتُقرأ نمطاً لا برهاناً.</w:t>
      </w:r>
    </w:p>
    <w:p>
      <w:pPr>
        <w:pStyle w:val="Heading2"/>
        <w:bidi/>
        <w:jc w:val="right"/>
      </w:pPr>
      <w:r>
        <w:rPr>
          <w:rFonts w:ascii="Times New Roman" w:cs="Noto Naskh Arabic" w:eastAsia="Noto Naskh Arabic" w:hAnsi="Times New Roman"/>
          <w:b/>
          <w:bCs/>
          <w:color w:val="1F4E79"/>
          <w:sz w:val="28"/>
          <w:szCs w:val="28"/>
          <w:rtl/>
        </w:rPr>
        <w:t xml:space="preserve">٩-٤ النتائج</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56"/>
        <w:gridCol w:w="1073"/>
        <w:gridCol w:w="858"/>
        <w:gridCol w:w="858"/>
        <w:gridCol w:w="976"/>
        <w:gridCol w:w="858"/>
        <w:gridCol w:w="2927"/>
      </w:tblGrid>
      <w:tr>
        <w:trPr>
          <w:cantSplit w:val="false"/>
          <w:tblHeader/>
        </w:trPr>
        <w:tc>
          <w:tcPr>
            <w:tcW w:type="dxa" w:w="17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الحالة</w:t>
            </w:r>
          </w:p>
        </w:tc>
        <w:tc>
          <w:tcPr>
            <w:tcW w:type="dxa" w:w="10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عدد الأهداف</w:t>
            </w:r>
          </w:p>
        </w:tc>
        <w:tc>
          <w:tcPr>
            <w:tcW w:type="dxa" w:w="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اقتصادية</w:t>
            </w:r>
          </w:p>
        </w:tc>
        <w:tc>
          <w:tcPr>
            <w:tcW w:type="dxa" w:w="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اجتماعية</w:t>
            </w:r>
          </w:p>
        </w:tc>
        <w:tc>
          <w:tcPr>
            <w:tcW w:type="dxa" w:w="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قدرة فكرية</w:t>
            </w:r>
          </w:p>
        </w:tc>
        <w:tc>
          <w:tcPr>
            <w:tcW w:type="dxa" w:w="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مكانية</w:t>
            </w:r>
          </w:p>
        </w:tc>
        <w:tc>
          <w:tcPr>
            <w:tcW w:type="dxa" w:w="2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القدرة الفكرية بالترميز البديل</w:t>
            </w:r>
          </w:p>
        </w:tc>
      </w:tr>
      <w:tr>
        <w:trPr>
          <w:cantSplit w:val="false"/>
          <w:tblHeader w:val="false"/>
        </w:trPr>
        <w:tc>
          <w:tcPr>
            <w:tcW w:type="dxa" w:w="17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الإمارات ٢٠٢١–٢٠٣١</w:t>
            </w:r>
          </w:p>
        </w:tc>
        <w:tc>
          <w:tcPr>
            <w:tcW w:type="dxa" w:w="10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٧</w:t>
            </w:r>
          </w:p>
        </w:tc>
        <w:tc>
          <w:tcPr>
            <w:tcW w:type="dxa" w:w="8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٥ (٧١٪)</w:t>
            </w:r>
          </w:p>
        </w:tc>
        <w:tc>
          <w:tcPr>
            <w:tcW w:type="dxa" w:w="8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 (١٤٪)</w:t>
            </w:r>
          </w:p>
        </w:tc>
        <w:tc>
          <w:tcPr>
            <w:tcW w:type="dxa" w:w="8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w:t>
            </w:r>
          </w:p>
        </w:tc>
        <w:tc>
          <w:tcPr>
            <w:tcW w:type="dxa" w:w="29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r>
      <w:tr>
        <w:trPr>
          <w:cantSplit w:val="false"/>
          <w:tblHeader w:val="false"/>
        </w:trPr>
        <w:tc>
          <w:tcPr>
            <w:tcW w:type="dxa" w:w="175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سنغافورة ٢٠٢٣–٢٠٢٧</w:t>
            </w:r>
          </w:p>
        </w:tc>
        <w:tc>
          <w:tcPr>
            <w:tcW w:type="dxa" w:w="107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٩</w:t>
            </w:r>
          </w:p>
        </w:tc>
        <w:tc>
          <w:tcPr>
            <w:tcW w:type="dxa" w:w="85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 (٢٢٪)</w:t>
            </w:r>
          </w:p>
        </w:tc>
        <w:tc>
          <w:tcPr>
            <w:tcW w:type="dxa" w:w="85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w:t>
            </w:r>
          </w:p>
        </w:tc>
        <w:tc>
          <w:tcPr>
            <w:tcW w:type="dxa" w:w="97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 (١١٪)</w:t>
            </w:r>
          </w:p>
        </w:tc>
        <w:tc>
          <w:tcPr>
            <w:tcW w:type="dxa" w:w="858"/>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w:t>
            </w:r>
          </w:p>
        </w:tc>
        <w:tc>
          <w:tcPr>
            <w:tcW w:type="dxa" w:w="2927"/>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r>
      <w:tr>
        <w:trPr>
          <w:cantSplit w:val="false"/>
          <w:tblHeader w:val="false"/>
        </w:trPr>
        <w:tc>
          <w:tcPr>
            <w:tcW w:type="dxa" w:w="17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فنلندا ٢٠١٧–٢٠٢٥</w:t>
            </w:r>
          </w:p>
        </w:tc>
        <w:tc>
          <w:tcPr>
            <w:tcW w:type="dxa" w:w="10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w:t>
            </w:r>
          </w:p>
        </w:tc>
        <w:tc>
          <w:tcPr>
            <w:tcW w:type="dxa" w:w="8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8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w:t>
            </w:r>
          </w:p>
        </w:tc>
        <w:tc>
          <w:tcPr>
            <w:tcW w:type="dxa" w:w="9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 (٦٧٪)</w:t>
            </w:r>
          </w:p>
        </w:tc>
        <w:tc>
          <w:tcPr>
            <w:tcW w:type="dxa" w:w="85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29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 (٦٧٪)</w:t>
            </w:r>
          </w:p>
        </w:tc>
      </w:tr>
    </w:tbl>
    <w:p>
      <w:pPr>
        <w:spacing w:after="120"/>
      </w:pPr>
    </w:p>
    <w:p>
      <w:pPr>
        <w:bidi/>
        <w:spacing w:after="120" w:line="336"/>
        <w:jc w:val="both"/>
      </w:pPr>
      <w:r>
        <w:rPr>
          <w:rFonts w:ascii="Times New Roman" w:cs="Noto Naskh Arabic" w:eastAsia="Noto Naskh Arabic" w:hAnsi="Times New Roman"/>
          <w:b/>
          <w:bCs/>
          <w:sz w:val="26"/>
          <w:szCs w:val="26"/>
          <w:rtl/>
        </w:rPr>
        <w:t xml:space="preserve">النتيجة الأولى: ثلاثة أنماط متمايزة.</w:t>
      </w:r>
      <w:r>
        <w:rPr>
          <w:rFonts w:ascii="Times New Roman" w:cs="Noto Naskh Arabic" w:eastAsia="Noto Naskh Arabic" w:hAnsi="Times New Roman"/>
          <w:sz w:val="26"/>
          <w:szCs w:val="26"/>
          <w:rtl/>
        </w:rPr>
        <w:t xml:space="preserve"> تتجه الاستراتيجية الإماراتية في أهدافها المعلنة إلى القيمة الاقتصادية أساساً. وتتوزع الخطة السنغافورية على الأبعاد الأربعة بثقل أكبر للبعدين الاجتماعي والمكاني. وتتجه الاستراتيجية الفنلندية إلى شروط الإبداع والمشاركة وحيوية الأساس الثقافي، دون هدف اقتصادي معلن.</w:t>
      </w:r>
    </w:p>
    <w:p>
      <w:pPr>
        <w:bidi/>
        <w:spacing w:after="120" w:line="336"/>
        <w:jc w:val="both"/>
      </w:pPr>
      <w:r>
        <w:rPr>
          <w:rFonts w:ascii="Times New Roman" w:cs="Noto Naskh Arabic" w:eastAsia="Noto Naskh Arabic" w:hAnsi="Times New Roman"/>
          <w:b/>
          <w:bCs/>
          <w:sz w:val="26"/>
          <w:szCs w:val="26"/>
          <w:rtl/>
        </w:rPr>
        <w:t xml:space="preserve">النتيجة الثانية: الفوارق ليست دالة إحصائياً.</w:t>
      </w:r>
      <w:r>
        <w:rPr>
          <w:rFonts w:ascii="Times New Roman" w:cs="Noto Naskh Arabic" w:eastAsia="Noto Naskh Arabic" w:hAnsi="Times New Roman"/>
          <w:sz w:val="26"/>
          <w:szCs w:val="26"/>
          <w:rtl/>
        </w:rPr>
        <w:t xml:space="preserve"> فاختبار فيشر الدقيق أحادي الاتجاه لحصة الأهداف الاقتصادية بين الإمارات وفنلندا يعطي احتمالاً قدره ٠٫٠٨٣، وبين الإمارات وسنغافورة ٠٫٠٧٢؛ وكلاهما فوق عتبة ٠٫٠٥ المعتادة. وسبب ذلك صغر العدد لا ضعف الفارق بالضرورة. ولذلك تُقرأ الأنماط الثلاثة فرضيات لاختبار أوسع، لا نتائج مثبتة.</w:t>
      </w:r>
    </w:p>
    <w:p>
      <w:pPr>
        <w:bidi/>
        <w:spacing w:after="120" w:line="336"/>
        <w:jc w:val="both"/>
      </w:pPr>
      <w:r>
        <w:rPr>
          <w:rFonts w:ascii="Times New Roman" w:cs="Noto Naskh Arabic" w:eastAsia="Noto Naskh Arabic" w:hAnsi="Times New Roman"/>
          <w:b/>
          <w:bCs/>
          <w:sz w:val="26"/>
          <w:szCs w:val="26"/>
          <w:rtl/>
        </w:rPr>
        <w:t xml:space="preserve">النتيجة الثالثة: القدرة الفكرية هشّة في الترميز.</w:t>
      </w:r>
      <w:r>
        <w:rPr>
          <w:rFonts w:ascii="Times New Roman" w:cs="Noto Naskh Arabic" w:eastAsia="Noto Naskh Arabic" w:hAnsi="Times New Roman"/>
          <w:sz w:val="26"/>
          <w:szCs w:val="26"/>
          <w:rtl/>
        </w:rPr>
        <w:t xml:space="preserve"> ففي الحالتين الإماراتية والسنغافورية، يقوم حضور بُعد القدرة الفكرية على هدف واحد ملتبس، يختفي إذا رُمّز ترميزاً بديلاً. أما في الحالة الفنلندية، فيبقى البعد ثابتاً في الترميزين. وهذا يعني أن القدرة الفكرية حين تحضر في الاستراتيجيتين الأوليين، فإنها تحضر مختلطة بأهداف اقتصادية، لا بوصفها غاية قائمة بذاتها.</w:t>
      </w:r>
    </w:p>
    <w:p>
      <w:pPr>
        <w:pStyle w:val="Heading2"/>
        <w:bidi/>
        <w:jc w:val="right"/>
      </w:pPr>
      <w:r>
        <w:rPr>
          <w:rFonts w:ascii="Times New Roman" w:cs="Noto Naskh Arabic" w:eastAsia="Noto Naskh Arabic" w:hAnsi="Times New Roman"/>
          <w:b/>
          <w:bCs/>
          <w:color w:val="1F4E79"/>
          <w:sz w:val="28"/>
          <w:szCs w:val="28"/>
          <w:rtl/>
        </w:rPr>
        <w:t xml:space="preserve">٩-٥ القراءة التفسيرية</w:t>
      </w:r>
    </w:p>
    <w:p>
      <w:pPr>
        <w:bidi/>
        <w:spacing w:after="120" w:line="336"/>
        <w:jc w:val="both"/>
      </w:pP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تتيح الحالات الثلاث قراءة لاتماثل القياس على مستوى الوثيقة الاستراتيجية، لا على مستوى الإحصاء الدولي فقط. فالاستراتيجية التي تجعل أهدافها اقتصادية في الغالب ستُقاس بمؤشرات اقتصادية، وستبدو ناجحة أو متعثرة بحسبها. وما لا يُعلن هدفاً لا يُقاس، وما لا يُقاس يصعب الدفاع عنه حين تضيق الموارد. وهذا هو المسار الذي يصفه سيناريو «العمى» في القسم السابع: أن تبقى القدرة الفكرية قائمة لكنها خارج ما تراه السياسة.</w:t>
      </w:r>
    </w:p>
    <w:p>
      <w:pPr>
        <w:bidi/>
        <w:spacing w:after="120" w:line="336"/>
        <w:jc w:val="both"/>
      </w:pPr>
      <w:r>
        <w:rPr>
          <w:rFonts w:ascii="Times New Roman" w:cs="Noto Naskh Arabic" w:eastAsia="Noto Naskh Arabic" w:hAnsi="Times New Roman"/>
          <w:sz w:val="26"/>
          <w:szCs w:val="26"/>
          <w:rtl/>
        </w:rPr>
        <w:t xml:space="preserve">غير أن ثلاثة تحفظات تمنع تحويل هذه القراءة إلى حكم.</w:t>
      </w:r>
    </w:p>
    <w:p>
      <w:pPr>
        <w:bidi/>
        <w:spacing w:after="120" w:line="336"/>
        <w:jc w:val="both"/>
      </w:pPr>
      <w:r>
        <w:rPr>
          <w:rFonts w:ascii="Times New Roman" w:cs="Noto Naskh Arabic" w:eastAsia="Noto Naskh Arabic" w:hAnsi="Times New Roman"/>
          <w:b/>
          <w:bCs/>
          <w:sz w:val="26"/>
          <w:szCs w:val="26"/>
          <w:rtl/>
        </w:rPr>
        <w:t xml:space="preserve">التحفظ الأول</w:t>
      </w:r>
      <w:r>
        <w:rPr>
          <w:rFonts w:ascii="Times New Roman" w:cs="Noto Naskh Arabic" w:eastAsia="Noto Naskh Arabic" w:hAnsi="Times New Roman"/>
          <w:sz w:val="26"/>
          <w:szCs w:val="26"/>
          <w:rtl/>
        </w:rPr>
        <w:t xml:space="preserve"> أن الاستراتيجية الإماراتية استراتيجية للصناعات الثقافية والإبداعية تحديداً، لا للسياسة الثقافية كلها؛ فمن الطبيعي أن تكون أهدافها اقتصادية. والمقارنة العادلة تقتضي تحليل وثائق السياسة الثقافية الإماراتية الأخرى، وهو ما لم يُنفَّذ هنا. وفي المقابل، فإن الوثيقة الفنلندية استراتيجية للسياسة الثقافية عامة، لا للصناعات الإبداعية. فاختلاف الأنماط قد يعكس اختلاف نوع الوثيقة لا اختلاف الدولة.</w:t>
      </w:r>
    </w:p>
    <w:p>
      <w:pPr>
        <w:bidi/>
        <w:spacing w:after="120" w:line="336"/>
        <w:jc w:val="both"/>
      </w:pPr>
      <w:r>
        <w:rPr>
          <w:rFonts w:ascii="Times New Roman" w:cs="Noto Naskh Arabic" w:eastAsia="Noto Naskh Arabic" w:hAnsi="Times New Roman"/>
          <w:b/>
          <w:bCs/>
          <w:sz w:val="26"/>
          <w:szCs w:val="26"/>
          <w:rtl/>
        </w:rPr>
        <w:t xml:space="preserve">والتحفظ الثاني</w:t>
      </w:r>
      <w:r>
        <w:rPr>
          <w:rFonts w:ascii="Times New Roman" w:cs="Noto Naskh Arabic" w:eastAsia="Noto Naskh Arabic" w:hAnsi="Times New Roman"/>
          <w:sz w:val="26"/>
          <w:szCs w:val="26"/>
          <w:rtl/>
        </w:rPr>
        <w:t xml:space="preserve"> أن الأهداف المعلنة ليست الممارسة الفعلية. فقد تموّل دولة ما القدرة الفكرية بسخاء دون أن تسميها هدفاً، وقد تعلن أخرى أهدافاً فكرية لا تموّلها.</w:t>
      </w:r>
    </w:p>
    <w:p>
      <w:pPr>
        <w:bidi/>
        <w:spacing w:after="120" w:line="336"/>
        <w:jc w:val="both"/>
      </w:pPr>
      <w:r>
        <w:rPr>
          <w:rFonts w:ascii="Times New Roman" w:cs="Noto Naskh Arabic" w:eastAsia="Noto Naskh Arabic" w:hAnsi="Times New Roman"/>
          <w:b/>
          <w:bCs/>
          <w:sz w:val="26"/>
          <w:szCs w:val="26"/>
          <w:rtl/>
        </w:rPr>
        <w:t xml:space="preserve">والتحفظ الثالث</w:t>
      </w:r>
      <w:r>
        <w:rPr>
          <w:rFonts w:ascii="Times New Roman" w:cs="Noto Naskh Arabic" w:eastAsia="Noto Naskh Arabic" w:hAnsi="Times New Roman"/>
          <w:sz w:val="26"/>
          <w:szCs w:val="26"/>
          <w:rtl/>
        </w:rPr>
        <w:t xml:space="preserve"> أن الحالة الإماراتية تملك بنية استشرافية ثقافية ناشئة لم تدخل في هذا التحليل، منها تقرير اتجاهات المستقبل في القطاع الثقافي والإبداعي الصادر عن مؤسسة دبي للمستقبل، الذي تحيل إليه البوابة الرسمية</w:t>
      </w:r>
      <w:r>
        <w:rPr>
          <w:rStyle w:val="FootnoteReference"/>
        </w:rPr>
        <w:footnoteReference w:id="94"/>
      </w:r>
      <w:r>
        <w:rPr>
          <w:rFonts w:ascii="Times New Roman" w:cs="Noto Naskh Arabic" w:eastAsia="Noto Naskh Arabic" w:hAnsi="Times New Roman"/>
          <w:sz w:val="26"/>
          <w:szCs w:val="26"/>
          <w:rtl/>
        </w:rPr>
        <w:t xml:space="preserve">. وقد فُحص الإعلان الرسمي عن هذا التقرير، الصادر عن مؤسسة دبي للمستقبل بالشراكة مع هيئة الثقافة والفنون في دبي في أكتوبر ٢٠٢٠. ويركز التقرير، بحسب إعلانه، على التكيف الرقمي في ظل الجائحة، وعلى هشاشة المنشآت الصغيرة والعاملين المستقلين، ويوصي بدعم مالي حكومي، واستقطاب المواهب، وتحفيز الطلب على الخدمات الإبداعية، والعمل الخيري والاستثمار المؤثر، وحماية الملكية الفكرية وحقوق الفنانين</w:t>
      </w:r>
      <w:r>
        <w:rPr>
          <w:rStyle w:val="FootnoteReference"/>
        </w:rPr>
        <w:footnoteReference w:id="95"/>
      </w:r>
      <w:r>
        <w:rPr>
          <w:rFonts w:ascii="Times New Roman" w:cs="Noto Naskh Arabic" w:eastAsia="Noto Naskh Arabic" w:hAnsi="Times New Roman"/>
          <w:sz w:val="26"/>
          <w:szCs w:val="26"/>
          <w:rtl/>
        </w:rPr>
        <w:t xml:space="preserve">. ولا يذكر الإعلان مؤشرات للقياس ولا التنوع ولا استقلال القرار الفني. وهذا يسند — بحذر، لأن المفحوص الإعلان لا النص الكامل — أن البنية الاستشرافية الإماراتية الناشئة اتجهت في هذا التقرير إلى الاستدامة الاقتصادية للقطاع، وأن توصيته بحماية حقوق الفنانين هي أقرب عناصره إلى القيمة الفكرية.</w:t>
      </w:r>
    </w:p>
    <w:p>
      <w:pPr>
        <w:pStyle w:val="Heading2"/>
        <w:bidi/>
        <w:jc w:val="right"/>
      </w:pPr>
      <w:r>
        <w:rPr>
          <w:rFonts w:ascii="Times New Roman" w:cs="Noto Naskh Arabic" w:eastAsia="Noto Naskh Arabic" w:hAnsi="Times New Roman"/>
          <w:b/>
          <w:bCs/>
          <w:color w:val="1F4E79"/>
          <w:sz w:val="28"/>
          <w:szCs w:val="28"/>
          <w:rtl/>
        </w:rPr>
        <w:t xml:space="preserve">٩-٦ الاستشراف في صنع الاستراتيجية</w:t>
      </w:r>
    </w:p>
    <w:p>
      <w:pPr>
        <w:bidi/>
        <w:spacing w:after="120" w:line="336"/>
        <w:jc w:val="both"/>
      </w:pPr>
      <w:r>
        <w:rPr>
          <w:rFonts w:ascii="Times New Roman" w:cs="Noto Naskh Arabic" w:eastAsia="Noto Naskh Arabic" w:hAnsi="Times New Roman"/>
          <w:sz w:val="26"/>
          <w:szCs w:val="26"/>
          <w:rtl/>
        </w:rPr>
        <w:t xml:space="preserve">تتفاوت الحالات الثلاث أيضاً في علاقة الاستراتيجية الثقافية بالاستشراف. فالخطة السنغافورية تصرّح بأنها استندت إلى دراسات لاتجاهات المستقبل والتقنية</w:t>
      </w:r>
      <w:r>
        <w:rPr>
          <w:rStyle w:val="FootnoteReference"/>
        </w:rPr>
        <w:footnoteReference w:id="96"/>
      </w:r>
      <w:r>
        <w:rPr>
          <w:rFonts w:ascii="Times New Roman" w:cs="Noto Naskh Arabic" w:eastAsia="Noto Naskh Arabic" w:hAnsi="Times New Roman"/>
          <w:sz w:val="26"/>
          <w:szCs w:val="26"/>
          <w:rtl/>
        </w:rPr>
        <w:t xml:space="preserve">، وتقع في دولة يتولى فيها مركز حكومي للاستشراف تدريب الموظفين على السيناريوهات. والتقرير الفنلندي الجديد يصرّح بأنه بُني على تقدير للتطورات الأرجح أثراً</w:t>
      </w:r>
      <w:r>
        <w:rPr>
          <w:rStyle w:val="FootnoteReference"/>
        </w:rPr>
        <w:footnoteReference w:id="97"/>
      </w:r>
      <w:r>
        <w:rPr>
          <w:rFonts w:ascii="Times New Roman" w:cs="Noto Naskh Arabic" w:eastAsia="Noto Naskh Arabic" w:hAnsi="Times New Roman"/>
          <w:sz w:val="26"/>
          <w:szCs w:val="26"/>
          <w:rtl/>
        </w:rPr>
        <w:t xml:space="preserve">، ويقع في نظام يُلزم الحكومة بتقرير دوري عن المستقبل يرد عليه البرلمان. أما الوثيقة الإماراتية المختصرة المنشورة على البوابة فلا تذكر — في نصها المعروض — منهجاً استشرافياً في بنائها، وإن كانت البوابة نفسها تحيل إلى تقرير استشرافي عن القطاع.</w:t>
      </w:r>
    </w:p>
    <w:p>
      <w:pPr>
        <w:bidi/>
        <w:spacing w:after="120" w:line="336"/>
        <w:jc w:val="both"/>
      </w:pP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وما يظهر من المقارنة أن وجود الاستشراف في صنع الاستراتيجية لا يضمن حضور القيمة الفكرية في أهدافها. فالخطة السنغافورية بنيت على دراسات للمستقبل، لكن بُعد القدرة الفكرية فيها هشّ في الترميز. فالاستشراف أداة تكشف المحركات، لكنه لا يقرر وحده ما تجعله السياسة غاية. وهذا يدعم ما انتهت إليه الورقة من أن الخلل الأول قياسي قبل أن يكون استشرافياً: فبناء مؤشر للقدرة الفكرية شرط لكي يرى الاستشراف ما يحدث لها.</w:t>
      </w:r>
    </w:p>
    <w:p>
      <w:pPr>
        <w:pStyle w:val="Heading2"/>
        <w:bidi/>
        <w:jc w:val="right"/>
      </w:pPr>
      <w:r>
        <w:rPr>
          <w:rFonts w:ascii="Times New Roman" w:cs="Noto Naskh Arabic" w:eastAsia="Noto Naskh Arabic" w:hAnsi="Times New Roman"/>
          <w:b/>
          <w:bCs/>
          <w:color w:val="1F4E79"/>
          <w:sz w:val="28"/>
          <w:szCs w:val="28"/>
          <w:rtl/>
        </w:rPr>
        <w:t xml:space="preserve">٩-٧ ما تضيفه المقارنة إلى نموذج الورقة</w:t>
      </w:r>
    </w:p>
    <w:p>
      <w:pPr>
        <w:bidi/>
        <w:spacing w:after="120" w:line="336"/>
        <w:jc w:val="both"/>
      </w:pPr>
      <w:r>
        <w:rPr>
          <w:rFonts w:ascii="Times New Roman" w:cs="Noto Naskh Arabic" w:eastAsia="Noto Naskh Arabic" w:hAnsi="Times New Roman"/>
          <w:sz w:val="26"/>
          <w:szCs w:val="26"/>
          <w:rtl/>
        </w:rPr>
        <w:t xml:space="preserve">تضيف المقارنة إلى النموذج أمرين. </w:t>
      </w:r>
      <w:r>
        <w:rPr>
          <w:rFonts w:ascii="Times New Roman" w:cs="Noto Naskh Arabic" w:eastAsia="Noto Naskh Arabic" w:hAnsi="Times New Roman"/>
          <w:b/>
          <w:bCs/>
          <w:sz w:val="26"/>
          <w:szCs w:val="26"/>
          <w:rtl/>
        </w:rPr>
        <w:t xml:space="preserve">الأول</w:t>
      </w:r>
      <w:r>
        <w:rPr>
          <w:rFonts w:ascii="Times New Roman" w:cs="Noto Naskh Arabic" w:eastAsia="Noto Naskh Arabic" w:hAnsi="Times New Roman"/>
          <w:sz w:val="26"/>
          <w:szCs w:val="26"/>
          <w:rtl/>
        </w:rPr>
        <w:t xml:space="preserve"> أن المحور (ب) في السيناريوهات — ما تقيسه السياسة وتموّله — ليس متغيراً نظرياً، بل له مقابل يمكن رصده في الوثائق: نسبة الأهداف الاقتصادية إلى أهداف القدرة في الاستراتيجيات الثقافية. وهذا يتيح تحويل المحور إلى مؤشر قابل للتتبع عبر الزمن والدول. </w:t>
      </w:r>
      <w:r>
        <w:rPr>
          <w:rFonts w:ascii="Times New Roman" w:cs="Noto Naskh Arabic" w:eastAsia="Noto Naskh Arabic" w:hAnsi="Times New Roman"/>
          <w:b/>
          <w:bCs/>
          <w:sz w:val="26"/>
          <w:szCs w:val="26"/>
          <w:rtl/>
        </w:rPr>
        <w:t xml:space="preserve">والثاني</w:t>
      </w:r>
      <w:r>
        <w:rPr>
          <w:rFonts w:ascii="Times New Roman" w:cs="Noto Naskh Arabic" w:eastAsia="Noto Naskh Arabic" w:hAnsi="Times New Roman"/>
          <w:sz w:val="26"/>
          <w:szCs w:val="26"/>
          <w:rtl/>
        </w:rPr>
        <w:t xml:space="preserve"> أن القياس على مستوى الوثيقة يحتاج إلى بروتوكول ترميز موحّد بمرمِّزَين مستقلين على الأقل، وعيّنة أكبر من الاستراتيجيات، قبل أن يُستخدم في أي مقارنة استدلالية.</w:t>
      </w:r>
    </w:p>
    <w:p>
      <w:pPr>
        <w:pStyle w:val="Heading2"/>
        <w:bidi/>
        <w:jc w:val="right"/>
      </w:pPr>
      <w:r>
        <w:rPr>
          <w:rFonts w:ascii="Times New Roman" w:cs="Noto Naskh Arabic" w:eastAsia="Noto Naskh Arabic" w:hAnsi="Times New Roman"/>
          <w:b/>
          <w:bCs/>
          <w:color w:val="1F4E79"/>
          <w:sz w:val="28"/>
          <w:szCs w:val="28"/>
          <w:rtl/>
        </w:rPr>
        <w:t xml:space="preserve">٩-٨ الأدبيات العربية في ضوء المقارنة</w:t>
      </w:r>
    </w:p>
    <w:p>
      <w:pPr>
        <w:bidi/>
        <w:spacing w:after="120" w:line="336"/>
        <w:jc w:val="both"/>
      </w:pPr>
      <w:r>
        <w:rPr>
          <w:rFonts w:ascii="Times New Roman" w:cs="Noto Naskh Arabic" w:eastAsia="Noto Naskh Arabic" w:hAnsi="Times New Roman"/>
          <w:sz w:val="26"/>
          <w:szCs w:val="26"/>
          <w:rtl/>
        </w:rPr>
        <w:t xml:space="preserve">يكشف مسح ما أُتيح من أوصاف أعداد الكتاب السنوي المحكَّم «استشراف» — بحسب موقع المجلة وإعلانات صدور أعدادها — أن المجلة صدر عددها الأول عام ٢٠١٦</w:t>
      </w:r>
      <w:r>
        <w:rPr>
          <w:rStyle w:val="FootnoteReference"/>
        </w:rPr>
        <w:footnoteReference w:id="98"/>
      </w:r>
      <w:r>
        <w:rPr>
          <w:rFonts w:ascii="Times New Roman" w:cs="Noto Naskh Arabic" w:eastAsia="Noto Naskh Arabic" w:hAnsi="Times New Roman"/>
          <w:sz w:val="26"/>
          <w:szCs w:val="26"/>
          <w:rtl/>
        </w:rPr>
        <w:t xml:space="preserve"> وبلغت عددها التاسع، وأن من موضوعات أعدادها المفحوصة الرؤى الاستشرافية والمخططات الإسرائيلية في عدد خاص (العدد الرابع)، والدراسات المستقبلية في القطاع الوقفي (العدد التاسع). ولم يظهر في أوصاف الأعداد المفحوصة عدد مخصص للثقافة أو للسياسة الثقافية. ويصف تعريف المجلة بنفسها حال الحقل العربي بأنه شهد إدماج الدراسات المستقبلية في بعض جوائز البحث العلمي وبعض الأقسام الجامعية، ونشوء مراكز للبحوث المستقبلية تتفاوت في نشاطها وجدّيتها وفاعليتها</w:t>
      </w:r>
      <w:r>
        <w:rPr>
          <w:rStyle w:val="FootnoteReference"/>
        </w:rPr>
        <w:footnoteReference w:id="99"/>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[تفسير الباحث]</w:t>
      </w:r>
      <w:r>
        <w:rPr>
          <w:rFonts w:ascii="Times New Roman" w:cs="Noto Naskh Arabic" w:eastAsia="Noto Naskh Arabic" w:hAnsi="Times New Roman"/>
          <w:sz w:val="26"/>
          <w:szCs w:val="26"/>
          <w:rtl/>
        </w:rPr>
        <w:t xml:space="preserve"> وتتسق هذه الصورة مع نتيجة المقارنة الدولية: فالاستشراف العربي المنشور في هذا المنبر المحكّم المتخصص لم يجعل الثقافة موضوعاً مستقلاً في الأعداد المفحوصة. ولا يعني ذلك غياب الاهتمام بالثقافة في الاستشراف العربي، فمقالات متفرقة قد تتناولها داخل أعداد عامة؛ لكنه يعني أن الثقافة لم تصبح بعد محوراً لعدد في هذا المنبر المتخصص.</w:t>
      </w:r>
    </w:p>
    <w:p>
      <w:pPr>
        <w:pStyle w:val="Heading1"/>
        <w:bidi/>
        <w:jc w:val="right"/>
      </w:pPr>
      <w:r>
        <w:rPr>
          <w:rFonts w:ascii="Times New Roman" w:cs="Noto Naskh Arabic" w:eastAsia="Noto Naskh Arabic" w:hAnsi="Times New Roman"/>
          <w:b/>
          <w:bCs/>
          <w:color w:val="1F4E79"/>
          <w:sz w:val="34"/>
          <w:szCs w:val="34"/>
          <w:rtl/>
        </w:rPr>
        <w:t xml:space="preserve">١٠. أفضل الممارسات: مؤسسات الاستشراف، والتدريب على السيناريوهات، والتعليم الجامعي</w:t>
      </w:r>
    </w:p>
    <w:p>
      <w:pPr>
        <w:bidi/>
        <w:spacing w:after="120" w:line="336"/>
        <w:jc w:val="both"/>
      </w:pPr>
      <w:r>
        <w:rPr>
          <w:rFonts w:ascii="Times New Roman" w:cs="Noto Naskh Arabic" w:eastAsia="Noto Naskh Arabic" w:hAnsi="Times New Roman"/>
          <w:sz w:val="26"/>
          <w:szCs w:val="26"/>
          <w:rtl/>
        </w:rPr>
        <w:t xml:space="preserve">إذا كانت السياسة الثقافية تفتقر إلى تقليد منهجي في الاستشراف، فالحل لا يبدأ من الصفر. فثمة تجارب مؤسسية وتعليمية راكمت عقوداً من الممارسة في حقول أخرى، ويمكن أن يُستخلص منها ما يصلح للنقل إلى الحقل الثقافي، وما يحتاج إلى تكييف، وما لا يصلح. ويعرض هذا القسم ثلاثة مستويات من الممارسة: مؤسسات الاستشراف الحكومية، وبرامج التدريب على بناء السيناريوهات، ونماذج التعليم الجامعي. ويختم كل مستوى بما يعنيه للسياسة الثقافية، ويختم القسم بشروط النقل إلى السياق الخليجي والعربي.</w:t>
      </w:r>
    </w:p>
    <w:p>
      <w:pPr>
        <w:bidi/>
        <w:spacing w:after="120" w:line="336"/>
        <w:jc w:val="both"/>
      </w:pPr>
      <w:r>
        <w:rPr>
          <w:rFonts w:ascii="Times New Roman" w:cs="Noto Naskh Arabic" w:eastAsia="Noto Naskh Arabic" w:hAnsi="Times New Roman"/>
          <w:sz w:val="26"/>
          <w:szCs w:val="26"/>
          <w:rtl/>
        </w:rPr>
        <w:t xml:space="preserve">ومعيار الاختيار في هذا القسم أن تكون الممارسة موثّقة في مصادرها الرسمية، وأن تكون قد استمرت مدة تسمح بالحكم عليها. ولا يعني الاختيار أن هذه الممارسات قد أثبتت أثرها في جودة السياسات؛ فقياس أثر الاستشراف في القرار مسألة خلافية في أدبياته، ولا تدّعي الورقة حسمها.</w:t>
      </w:r>
    </w:p>
    <w:p>
      <w:pPr>
        <w:pStyle w:val="Heading2"/>
        <w:bidi/>
        <w:jc w:val="right"/>
      </w:pPr>
      <w:r>
        <w:rPr>
          <w:rFonts w:ascii="Times New Roman" w:cs="Noto Naskh Arabic" w:eastAsia="Noto Naskh Arabic" w:hAnsi="Times New Roman"/>
          <w:b/>
          <w:bCs/>
          <w:color w:val="1F4E79"/>
          <w:sz w:val="28"/>
          <w:szCs w:val="28"/>
          <w:rtl/>
        </w:rPr>
        <w:t xml:space="preserve">١٠-١ مؤسسات الاستشراف الحكومية</w:t>
      </w:r>
    </w:p>
    <w:p>
      <w:pPr>
        <w:bidi/>
        <w:spacing w:after="120" w:line="336"/>
        <w:jc w:val="both"/>
      </w:pPr>
      <w:r>
        <w:rPr>
          <w:rFonts w:ascii="Times New Roman" w:cs="Noto Naskh Arabic" w:eastAsia="Noto Naskh Arabic" w:hAnsi="Times New Roman"/>
          <w:b/>
          <w:bCs/>
          <w:sz w:val="26"/>
          <w:szCs w:val="26"/>
          <w:rtl/>
        </w:rPr>
        <w:t xml:space="preserve">سنغافورة: الاستشراف في قلب دورة التخطيط.</w:t>
      </w:r>
      <w:r>
        <w:rPr>
          <w:rFonts w:ascii="Times New Roman" w:cs="Noto Naskh Arabic" w:eastAsia="Noto Naskh Arabic" w:hAnsi="Times New Roman"/>
          <w:sz w:val="26"/>
          <w:szCs w:val="26"/>
          <w:rtl/>
        </w:rPr>
        <w:t xml:space="preserve"> يعود استخدام الحكومة السنغافورية للاستشراف الاستراتيجي إلى أواخر الثمانينيات</w:t>
      </w:r>
      <w:r>
        <w:rPr>
          <w:rStyle w:val="FootnoteReference"/>
        </w:rPr>
        <w:footnoteReference w:id="100"/>
      </w:r>
      <w:r>
        <w:rPr>
          <w:rFonts w:ascii="Times New Roman" w:cs="Noto Naskh Arabic" w:eastAsia="Noto Naskh Arabic" w:hAnsi="Times New Roman"/>
          <w:sz w:val="26"/>
          <w:szCs w:val="26"/>
          <w:rtl/>
        </w:rPr>
        <w:t xml:space="preserve">. ثم أُنشئ مكتب لتخطيط السيناريوهات في شعبة الخدمة العامة عام ١٩٩٥، وأُعيدت تسميته عام ٢٠٠٣، ثم تأسس مركز المستقبلات الاستراتيجية عام ٢٠٠٩</w:t>
      </w:r>
      <w:r>
        <w:rPr>
          <w:rStyle w:val="FootnoteReference"/>
        </w:rPr>
        <w:footnoteReference w:id="101"/>
      </w:r>
      <w:r>
        <w:rPr>
          <w:rFonts w:ascii="Times New Roman" w:cs="Noto Naskh Arabic" w:eastAsia="Noto Naskh Arabic" w:hAnsi="Times New Roman"/>
          <w:sz w:val="26"/>
          <w:szCs w:val="26"/>
          <w:rtl/>
        </w:rPr>
        <w:t xml:space="preserve">. وانتقل المركز عام ٢٠١٥ إلى مكتب رئيس الوزراء، بما أدمج الاستشراف في دورة التخطيط الاستراتيجي للحكومة كلها</w:t>
      </w:r>
      <w:r>
        <w:rPr>
          <w:rStyle w:val="FootnoteReference"/>
        </w:rPr>
        <w:footnoteReference w:id="102"/>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ويعتمد المركز مجموعة أدوات خاصة سماها «تخطيط السيناريوهات المعزّز»، وهي مبنية على تخطيط السيناريوهات لكنها تستمد من مقاربات أخرى، منها نظرية التعقيد</w:t>
      </w:r>
      <w:r>
        <w:rPr>
          <w:rStyle w:val="FootnoteReference"/>
        </w:rPr>
        <w:footnoteReference w:id="103"/>
      </w:r>
      <w:r>
        <w:rPr>
          <w:rFonts w:ascii="Times New Roman" w:cs="Noto Naskh Arabic" w:eastAsia="Noto Naskh Arabic" w:hAnsi="Times New Roman"/>
          <w:sz w:val="26"/>
          <w:szCs w:val="26"/>
          <w:rtl/>
        </w:rPr>
        <w:t xml:space="preserve">. ويُكمل المركز السيناريوهات برصد «القضايا الاستراتيجية الناشئة» و«البطاقات الجامحة»، أي الأحداث منخفضة الاحتمال عالية الأثر</w:t>
      </w:r>
      <w:r>
        <w:rPr>
          <w:rStyle w:val="FootnoteReference"/>
        </w:rPr>
        <w:footnoteReference w:id="104"/>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وثلاث سمات في التجربة السنغافورية تهمّ هذه الورقة. </w:t>
      </w:r>
      <w:r>
        <w:rPr>
          <w:rFonts w:ascii="Times New Roman" w:cs="Noto Naskh Arabic" w:eastAsia="Noto Naskh Arabic" w:hAnsi="Times New Roman"/>
          <w:b/>
          <w:bCs/>
          <w:sz w:val="26"/>
          <w:szCs w:val="26"/>
          <w:rtl/>
        </w:rPr>
        <w:t xml:space="preserve">الأولى</w:t>
      </w:r>
      <w:r>
        <w:rPr>
          <w:rFonts w:ascii="Times New Roman" w:cs="Noto Naskh Arabic" w:eastAsia="Noto Naskh Arabic" w:hAnsi="Times New Roman"/>
          <w:sz w:val="26"/>
          <w:szCs w:val="26"/>
          <w:rtl/>
        </w:rPr>
        <w:t xml:space="preserve"> أن المركز ليس الوحيد؛ إذ أنشأت عدة جهات حكومية فرقاً استشرافية خاصة بها، فالاستشراف موزّع لا مركزي فقط. </w:t>
      </w:r>
      <w:r>
        <w:rPr>
          <w:rFonts w:ascii="Times New Roman" w:cs="Noto Naskh Arabic" w:eastAsia="Noto Naskh Arabic" w:hAnsi="Times New Roman"/>
          <w:b/>
          <w:bCs/>
          <w:sz w:val="26"/>
          <w:szCs w:val="26"/>
          <w:rtl/>
        </w:rPr>
        <w:t xml:space="preserve">والثانية</w:t>
      </w:r>
      <w:r>
        <w:rPr>
          <w:rFonts w:ascii="Times New Roman" w:cs="Noto Naskh Arabic" w:eastAsia="Noto Naskh Arabic" w:hAnsi="Times New Roman"/>
          <w:sz w:val="26"/>
          <w:szCs w:val="26"/>
          <w:rtl/>
        </w:rPr>
        <w:t xml:space="preserve"> أن بناء القدرة وظيفة أساسية للمركز لا ملحقة به، كما يأتي في الفقرة ١٠-٢. </w:t>
      </w:r>
      <w:r>
        <w:rPr>
          <w:rFonts w:ascii="Times New Roman" w:cs="Noto Naskh Arabic" w:eastAsia="Noto Naskh Arabic" w:hAnsi="Times New Roman"/>
          <w:b/>
          <w:bCs/>
          <w:sz w:val="26"/>
          <w:szCs w:val="26"/>
          <w:rtl/>
        </w:rPr>
        <w:t xml:space="preserve">والثالثة</w:t>
      </w:r>
      <w:r>
        <w:rPr>
          <w:rFonts w:ascii="Times New Roman" w:cs="Noto Naskh Arabic" w:eastAsia="Noto Naskh Arabic" w:hAnsi="Times New Roman"/>
          <w:sz w:val="26"/>
          <w:szCs w:val="26"/>
          <w:rtl/>
        </w:rPr>
        <w:t xml:space="preserve"> أن الاستشراف مربوط بدورة التخطيط والموازنة لا معزول عنها.</w:t>
      </w:r>
    </w:p>
    <w:p>
      <w:pPr>
        <w:bidi/>
        <w:spacing w:after="120" w:line="336"/>
        <w:jc w:val="both"/>
      </w:pPr>
      <w:r>
        <w:rPr>
          <w:rFonts w:ascii="Times New Roman" w:cs="Noto Naskh Arabic" w:eastAsia="Noto Naskh Arabic" w:hAnsi="Times New Roman"/>
          <w:b/>
          <w:bCs/>
          <w:sz w:val="26"/>
          <w:szCs w:val="26"/>
          <w:rtl/>
        </w:rPr>
        <w:t xml:space="preserve">فنلندا: الاستشراف بين الحكومة والبرلمان والجامعة.</w:t>
      </w:r>
      <w:r>
        <w:rPr>
          <w:rFonts w:ascii="Times New Roman" w:cs="Noto Naskh Arabic" w:eastAsia="Noto Naskh Arabic" w:hAnsi="Times New Roman"/>
          <w:sz w:val="26"/>
          <w:szCs w:val="26"/>
          <w:rtl/>
        </w:rPr>
        <w:t xml:space="preserve"> تقدّم فنلندا نموذجاً مختلفاً يتوزع فيه الاستشراف على ثلاث مؤسسات متكاملة. فقد أُنشئت لجنة المستقبل في البرلمان الفنلندي عام ١٩٩٣، وهي لجنة دائمة من سبعة عشر نائباً تعمل مركز تفكير في المستقبل وسياسات العلم والتقنية</w:t>
      </w:r>
      <w:r>
        <w:rPr>
          <w:rStyle w:val="FootnoteReference"/>
        </w:rPr>
        <w:footnoteReference w:id="105"/>
      </w:r>
      <w:r>
        <w:rPr>
          <w:rFonts w:ascii="Times New Roman" w:cs="Noto Naskh Arabic" w:eastAsia="Noto Naskh Arabic" w:hAnsi="Times New Roman"/>
          <w:sz w:val="26"/>
          <w:szCs w:val="26"/>
          <w:rtl/>
        </w:rPr>
        <w:t xml:space="preserve">. وتصدر الحكومة مرة على الأقل في كل ولاية «تقرير المستقبل» عن الآفاق بعيدة المدى وأهدافها، فتُعدّ اللجنة ردّ البرلمان عليه. وتأسس مركز أبحاث المستقبل الفنلندي في جامعة توركو عام ١٩٩٢</w:t>
      </w:r>
      <w:r>
        <w:rPr>
          <w:rStyle w:val="FootnoteReference"/>
        </w:rPr>
        <w:footnoteReference w:id="106"/>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وتشير الأدبيات إلى أن إنشاء اللجنة والمركز في الوقت نفسه تقريباً جاء بدافع واحد: بناء نظام استشراف وطني على خلفية الركود الذي أصاب فنلندا مطلع التسعينيات</w:t>
      </w:r>
      <w:r>
        <w:rPr>
          <w:rStyle w:val="FootnoteReference"/>
        </w:rPr>
        <w:footnoteReference w:id="107"/>
      </w:r>
      <w:r>
        <w:rPr>
          <w:rFonts w:ascii="Times New Roman" w:cs="Noto Naskh Arabic" w:eastAsia="Noto Naskh Arabic" w:hAnsi="Times New Roman"/>
          <w:sz w:val="26"/>
          <w:szCs w:val="26"/>
          <w:rtl/>
        </w:rPr>
        <w:t xml:space="preserve">. ويصف تاريخ الحقل في فنلندا خمس ركائز: جمعية لدراسات المستقبل منذ ١٩٨٠، والمركز الجامعي منذ ١٩٩٢، وشبكة استشراف وطنية توسعت من الوزارات إلى منظومة أوسع منذ ٢٠٠٥، والحوار بين الحكومة والبرلمان منذ ١٩٩٣، ولجنة المستقبل في البرلمان</w:t>
      </w:r>
      <w:r>
        <w:rPr>
          <w:rStyle w:val="FootnoteReference"/>
        </w:rPr>
        <w:footnoteReference w:id="108"/>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والدرس الفنلندي لهذه الورقة أن الاستشراف يصبح مؤسسة حين يُربط بثلاثة أطراف معاً: جهة تنتجه (الجامعة ومراكز البحث)، وجهة تطلبه وتلزم به (البرلمان)، وجهة تستعمله (الحكومة). وحين يغيب أحد الأطراف، يبقى الاستشراف تمريناً لا يمسّ القرار.</w:t>
      </w:r>
    </w:p>
    <w:p>
      <w:pPr>
        <w:bidi/>
        <w:spacing w:after="120" w:line="336"/>
        <w:jc w:val="both"/>
      </w:pPr>
      <w:r>
        <w:rPr>
          <w:rFonts w:ascii="Times New Roman" w:cs="Noto Naskh Arabic" w:eastAsia="Noto Naskh Arabic" w:hAnsi="Times New Roman"/>
          <w:b/>
          <w:bCs/>
          <w:sz w:val="26"/>
          <w:szCs w:val="26"/>
          <w:rtl/>
        </w:rPr>
        <w:t xml:space="preserve">ما يعنيه ذلك للسياسة الثقافية.</w:t>
      </w:r>
      <w:r>
        <w:rPr>
          <w:rFonts w:ascii="Times New Roman" w:cs="Noto Naskh Arabic" w:eastAsia="Noto Naskh Arabic" w:hAnsi="Times New Roman"/>
          <w:sz w:val="26"/>
          <w:szCs w:val="26"/>
          <w:rtl/>
        </w:rPr>
        <w:t xml:space="preserve"> لم يُعثر في المصادر المفحوصة على وحدة استشراف حكومية مخصصة للسياسة الثقافية وحدها في أي من التجربتين. والحجة التي تبرّر الاستشراف في هاتين التجربتين — أن التحديات عابرة للقطاعات — تبرّر ألا يُعزل استشراف الثقافة في وزارة الثقافة. فالمحركات التي بيّنت هذه الورقة أنها الأكثر تأثيراً في القيمة الفكرية تقع في حوكمة الذكاء الاصطناعي والمنصات والملكية الفكرية. والأقرب إلى المنطق أن يُدمج سؤال القيمة الثقافية في وحدات الاستشراف القائمة، مع خبرة ثقافية متخصصة داخلها، بدلاً من إنشاء وحدة ثقافية معزولة لا تملك أدوات التأثير في تلك المحركات.</w:t>
      </w:r>
    </w:p>
    <w:p>
      <w:pPr>
        <w:pStyle w:val="Heading2"/>
        <w:bidi/>
        <w:jc w:val="right"/>
      </w:pPr>
      <w:r>
        <w:rPr>
          <w:rFonts w:ascii="Times New Roman" w:cs="Noto Naskh Arabic" w:eastAsia="Noto Naskh Arabic" w:hAnsi="Times New Roman"/>
          <w:b/>
          <w:bCs/>
          <w:color w:val="1F4E79"/>
          <w:sz w:val="28"/>
          <w:szCs w:val="28"/>
          <w:rtl/>
        </w:rPr>
        <w:t xml:space="preserve">١٠-٢ التدريب على بناء السيناريوهات</w:t>
      </w:r>
    </w:p>
    <w:p>
      <w:pPr>
        <w:bidi/>
        <w:spacing w:after="120" w:line="336"/>
        <w:jc w:val="both"/>
      </w:pPr>
      <w:r>
        <w:rPr>
          <w:rFonts w:ascii="Times New Roman" w:cs="Noto Naskh Arabic" w:eastAsia="Noto Naskh Arabic" w:hAnsi="Times New Roman"/>
          <w:b/>
          <w:bCs/>
          <w:sz w:val="26"/>
          <w:szCs w:val="26"/>
          <w:rtl/>
        </w:rPr>
        <w:t xml:space="preserve">التدرّج من التعريف إلى التطبيق.</w:t>
      </w:r>
      <w:r>
        <w:rPr>
          <w:rFonts w:ascii="Times New Roman" w:cs="Noto Naskh Arabic" w:eastAsia="Noto Naskh Arabic" w:hAnsi="Times New Roman"/>
          <w:sz w:val="26"/>
          <w:szCs w:val="26"/>
          <w:rtl/>
        </w:rPr>
        <w:t xml:space="preserve"> ينظّم مركز المستقبلات الاستراتيجية في سنغافورة تدريبه، بالتعاون مع كلية الخدمة المدنية، في سلسلة دورات متدرجة. تبدأ بمقدمة تعرّف المشاركين بالعمل الاستشرافي في الحكومة، وتركّز على رصد علامات التغير وفهمها وإيصال ما يُستخلص منها. ثم تنتقل إلى دورة لكشف الافتراضات والتحيزات في تناول قضايا السياسة العامة، وبناء طيف من المستقبلات الممكنة. ثم تأتي ورشة تخطيط السيناريوهات، وتغطي المنهج كاملاً: من تحديد القضية المحورية، إلى تحليل القوى الدافعة، إلى بناء أطر السيناريو وكتابته، إلى ترجمة السيناريوهات إلى استراتيجيات</w:t>
      </w:r>
      <w:r>
        <w:rPr>
          <w:rStyle w:val="FootnoteReference"/>
        </w:rPr>
        <w:footnoteReference w:id="109"/>
      </w:r>
      <w:r>
        <w:rPr>
          <w:rFonts w:ascii="Times New Roman" w:cs="Noto Naskh Arabic" w:eastAsia="Noto Naskh Arabic" w:hAnsi="Times New Roman"/>
          <w:sz w:val="26"/>
          <w:szCs w:val="26"/>
          <w:rtl/>
        </w:rPr>
        <w:t xml:space="preserve">. ويحضر هذه الدورات قرابة ١٧٠ موظفاً سنوياً، ويُستكمل التدريب الرسمي بانغماس في السيناريوهات عبر الألعاب والمرئيات والورش، وبأدوات وطنية للسيناريوهات استخدمها ما يزيد على ثمانية آلاف موظف</w:t>
      </w:r>
      <w:r>
        <w:rPr>
          <w:rStyle w:val="FootnoteReference"/>
        </w:rPr>
        <w:footnoteReference w:id="110"/>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ويكشف هذا البناء ثلاثة مبادئ في التدريب. </w:t>
      </w:r>
      <w:r>
        <w:rPr>
          <w:rFonts w:ascii="Times New Roman" w:cs="Noto Naskh Arabic" w:eastAsia="Noto Naskh Arabic" w:hAnsi="Times New Roman"/>
          <w:b/>
          <w:bCs/>
          <w:sz w:val="26"/>
          <w:szCs w:val="26"/>
          <w:rtl/>
        </w:rPr>
        <w:t xml:space="preserve">الأول</w:t>
      </w:r>
      <w:r>
        <w:rPr>
          <w:rFonts w:ascii="Times New Roman" w:cs="Noto Naskh Arabic" w:eastAsia="Noto Naskh Arabic" w:hAnsi="Times New Roman"/>
          <w:sz w:val="26"/>
          <w:szCs w:val="26"/>
          <w:rtl/>
        </w:rPr>
        <w:t xml:space="preserve"> أن مهارة كشف الافتراضات تسبق مهارة بناء السيناريو؛ فمن لم يتدرب على مساءلة تصوراته يبني سيناريوهات تعيد إنتاجها. </w:t>
      </w:r>
      <w:r>
        <w:rPr>
          <w:rFonts w:ascii="Times New Roman" w:cs="Noto Naskh Arabic" w:eastAsia="Noto Naskh Arabic" w:hAnsi="Times New Roman"/>
          <w:b/>
          <w:bCs/>
          <w:sz w:val="26"/>
          <w:szCs w:val="26"/>
          <w:rtl/>
        </w:rPr>
        <w:t xml:space="preserve">والثاني</w:t>
      </w:r>
      <w:r>
        <w:rPr>
          <w:rFonts w:ascii="Times New Roman" w:cs="Noto Naskh Arabic" w:eastAsia="Noto Naskh Arabic" w:hAnsi="Times New Roman"/>
          <w:sz w:val="26"/>
          <w:szCs w:val="26"/>
          <w:rtl/>
        </w:rPr>
        <w:t xml:space="preserve"> أن السيناريو لا يكتمل بكتابته، بل بترجمته إلى استراتيجية. </w:t>
      </w:r>
      <w:r>
        <w:rPr>
          <w:rFonts w:ascii="Times New Roman" w:cs="Noto Naskh Arabic" w:eastAsia="Noto Naskh Arabic" w:hAnsi="Times New Roman"/>
          <w:b/>
          <w:bCs/>
          <w:sz w:val="26"/>
          <w:szCs w:val="26"/>
          <w:rtl/>
        </w:rPr>
        <w:t xml:space="preserve">والثالث</w:t>
      </w:r>
      <w:r>
        <w:rPr>
          <w:rFonts w:ascii="Times New Roman" w:cs="Noto Naskh Arabic" w:eastAsia="Noto Naskh Arabic" w:hAnsi="Times New Roman"/>
          <w:sz w:val="26"/>
          <w:szCs w:val="26"/>
          <w:rtl/>
        </w:rPr>
        <w:t xml:space="preserve"> أن التدريب الرسمي وحده لا يكفي؛ فالانتشار الواسع يأتي من أدوات وتجارب انغماسية يستعملها الموظفون في عملهم.</w:t>
      </w:r>
    </w:p>
    <w:p>
      <w:pPr>
        <w:bidi/>
        <w:spacing w:after="120" w:line="336"/>
        <w:jc w:val="both"/>
      </w:pPr>
      <w:r>
        <w:rPr>
          <w:rFonts w:ascii="Times New Roman" w:cs="Noto Naskh Arabic" w:eastAsia="Noto Naskh Arabic" w:hAnsi="Times New Roman"/>
          <w:b/>
          <w:bCs/>
          <w:sz w:val="26"/>
          <w:szCs w:val="26"/>
          <w:rtl/>
        </w:rPr>
        <w:t xml:space="preserve">أثر الثقافة في ورش السيناريو.</w:t>
      </w:r>
      <w:r>
        <w:rPr>
          <w:rFonts w:ascii="Times New Roman" w:cs="Noto Naskh Arabic" w:eastAsia="Noto Naskh Arabic" w:hAnsi="Times New Roman"/>
          <w:sz w:val="26"/>
          <w:szCs w:val="26"/>
          <w:rtl/>
        </w:rPr>
        <w:t xml:space="preserve"> تضيف أدبيات حديثة بُعداً يغيب عن أغلب برامج التدريب: أن الخلفية الثقافية للمشاركين تؤثر في ديناميكيات ورش السيناريو. فقد اقترح </w:t>
      </w:r>
      <w:r>
        <w:rPr>
          <w:rFonts w:ascii="Times New Roman" w:cs="Noto Naskh Arabic" w:eastAsia="Noto Naskh Arabic" w:hAnsi="Times New Roman"/>
          <w:sz w:val="26"/>
          <w:szCs w:val="26"/>
          <w:rtl w:val="false"/>
        </w:rPr>
        <w:t xml:space="preserve">Santana-Villegas</w:t>
      </w:r>
      <w:r>
        <w:rPr>
          <w:rFonts w:ascii="Times New Roman" w:cs="Noto Naskh Arabic" w:eastAsia="Noto Naskh Arabic" w:hAnsi="Times New Roman"/>
          <w:sz w:val="26"/>
          <w:szCs w:val="26"/>
          <w:rtl/>
        </w:rPr>
        <w:t xml:space="preserve"> و</w:t>
      </w:r>
      <w:r>
        <w:rPr>
          <w:rFonts w:ascii="Times New Roman" w:cs="Noto Naskh Arabic" w:eastAsia="Noto Naskh Arabic" w:hAnsi="Times New Roman"/>
          <w:sz w:val="26"/>
          <w:szCs w:val="26"/>
          <w:rtl w:val="false"/>
        </w:rPr>
        <w:t xml:space="preserve">Álvarez von Gustedt (in press</w:t>
      </w:r>
      <w:r>
        <w:rPr>
          <w:rFonts w:ascii="Times New Roman" w:cs="Noto Naskh Arabic" w:eastAsia="Noto Naskh Arabic" w:hAnsi="Times New Roman"/>
          <w:sz w:val="26"/>
          <w:szCs w:val="26"/>
          <w:rtl/>
        </w:rPr>
        <w:t xml:space="preserve">)</w:t>
      </w:r>
      <w:r>
        <w:rPr>
          <w:rStyle w:val="FootnoteReference"/>
        </w:rPr>
        <w:footnoteReference w:id="111"/>
      </w:r>
      <w:r>
        <w:rPr>
          <w:rFonts w:ascii="Times New Roman" w:cs="Noto Naskh Arabic" w:eastAsia="Noto Naskh Arabic" w:hAnsi="Times New Roman"/>
          <w:sz w:val="26"/>
          <w:szCs w:val="26"/>
          <w:rtl/>
        </w:rPr>
        <w:t xml:space="preserve"> مقترحات عملية للميسّرين، منها: إذا كان حضور ذوي السلطة يُنتج صمتاً أو مجاراة، تُستخدم مجموعات صغيرة ينقل فيها الأقران ما دار؛ وإذا دفع القلق من المستقبل المشاركين إلى الإغلاق السريع والامتثال للقوالب، تُستخدم بروتوكولات متعددة الخطوات توفر الأمان اللازم للاستكشاف؛ وإذا ظل المشاركون عند التأطير السطحي، تُدمج أدوات تعمل على البنية العميقة، كالتحليل السببي الطبقي والتخطيط الارتجاعي.</w:t>
      </w:r>
    </w:p>
    <w:p>
      <w:pPr>
        <w:bidi/>
        <w:spacing w:after="120" w:line="336"/>
        <w:jc w:val="both"/>
      </w:pPr>
      <w:r>
        <w:rPr>
          <w:rFonts w:ascii="Times New Roman" w:cs="Noto Naskh Arabic" w:eastAsia="Noto Naskh Arabic" w:hAnsi="Times New Roman"/>
          <w:sz w:val="26"/>
          <w:szCs w:val="26"/>
          <w:rtl/>
        </w:rPr>
        <w:t xml:space="preserve">وهذه المقترحات وثيقة الصلة بالسياق الخليجي، لا بوصفها حكماً على ثقافته، بل لأن أي ورشة سيناريو في مؤسسة ثقافية تجمع بالضرورة مستويات وظيفية مختلفة، وتتناول موضوعات تمسّ الهوية والقيم، وهي موضوعات يميل فيها المشاركون عادةً إلى الحذر. فتصميم الورشة يجب أن يحسب لهذين العاملين حسابهما.</w:t>
      </w:r>
    </w:p>
    <w:p>
      <w:pPr>
        <w:bidi/>
        <w:spacing w:after="120" w:line="336"/>
        <w:jc w:val="both"/>
      </w:pPr>
      <w:r>
        <w:rPr>
          <w:rFonts w:ascii="Times New Roman" w:cs="Noto Naskh Arabic" w:eastAsia="Noto Naskh Arabic" w:hAnsi="Times New Roman"/>
          <w:b/>
          <w:bCs/>
          <w:sz w:val="26"/>
          <w:szCs w:val="26"/>
          <w:rtl/>
        </w:rPr>
        <w:t xml:space="preserve">ما يعنيه ذلك للسياسة الثقافية.</w:t>
      </w:r>
      <w:r>
        <w:rPr>
          <w:rFonts w:ascii="Times New Roman" w:cs="Noto Naskh Arabic" w:eastAsia="Noto Naskh Arabic" w:hAnsi="Times New Roman"/>
          <w:sz w:val="26"/>
          <w:szCs w:val="26"/>
          <w:rtl/>
        </w:rPr>
        <w:t xml:space="preserve"> يقترح القسم برنامج تدريب ثلاثي المراحل لصنّاع السياسة الثقافية، يحاكي التدرّج السنغافوري ويضيف إليه ما تقتضيه الثقافة موضوعاً: مرحلة لكشف الافتراضات تتضمن تمريناً على «الفحص المضاد» لمؤشرات المؤسسة نفسها (هل يرتفع هذا المؤشر بالكمّ وحده؟)؛ ومرحلة لبناء السيناريوهات على محوري هذه الورقة؛ ومرحلة لترجمة السيناريوهات إلى اختبار متانة لسياسات المؤسسة القائمة. ويُقاس نجاح البرنامج بمعايير لاحقة لا رضائية: هل استُبدل مؤشر فعلاً؟ هل دخل سيناريو غير مريح في وثيقة تخطيط مكتوبة؟ فرضا المشاركين مؤشر مخزون آخر.</w:t>
      </w:r>
    </w:p>
    <w:p>
      <w:pPr>
        <w:pStyle w:val="Heading2"/>
        <w:bidi/>
        <w:jc w:val="right"/>
      </w:pPr>
      <w:r>
        <w:rPr>
          <w:rFonts w:ascii="Times New Roman" w:cs="Noto Naskh Arabic" w:eastAsia="Noto Naskh Arabic" w:hAnsi="Times New Roman"/>
          <w:b/>
          <w:bCs/>
          <w:color w:val="1F4E79"/>
          <w:sz w:val="28"/>
          <w:szCs w:val="28"/>
          <w:rtl/>
        </w:rPr>
        <w:t xml:space="preserve">١٠-٣ التعليم الجامعي</w:t>
      </w:r>
    </w:p>
    <w:p>
      <w:pPr>
        <w:bidi/>
        <w:spacing w:after="120" w:line="336"/>
        <w:jc w:val="both"/>
      </w:pPr>
      <w:r>
        <w:rPr>
          <w:rFonts w:ascii="Times New Roman" w:cs="Noto Naskh Arabic" w:eastAsia="Noto Naskh Arabic" w:hAnsi="Times New Roman"/>
          <w:b/>
          <w:bCs/>
          <w:sz w:val="26"/>
          <w:szCs w:val="26"/>
          <w:rtl/>
        </w:rPr>
        <w:t xml:space="preserve">برنامج الماجستير التطبيقي: نموذج هيوستن.</w:t>
      </w:r>
      <w:r>
        <w:rPr>
          <w:rFonts w:ascii="Times New Roman" w:cs="Noto Naskh Arabic" w:eastAsia="Noto Naskh Arabic" w:hAnsi="Times New Roman"/>
          <w:sz w:val="26"/>
          <w:szCs w:val="26"/>
          <w:rtl/>
        </w:rPr>
        <w:t xml:space="preserve"> يُعدّ برنامج الماجستير في الاستشراف بجامعة هيوستن أطول برامج الاستشراف الأكاديمية عمراً في العالم، بحسب وصف الجامعة نفسها. وتذكر الجامعة أنه أُسس عام ١٩٧٤ في فرع كلير ليك</w:t>
      </w:r>
      <w:r>
        <w:rPr>
          <w:rStyle w:val="FootnoteReference"/>
        </w:rPr>
        <w:footnoteReference w:id="112"/>
      </w:r>
      <w:r>
        <w:rPr>
          <w:rFonts w:ascii="Times New Roman" w:cs="Noto Naskh Arabic" w:eastAsia="Noto Naskh Arabic" w:hAnsi="Times New Roman"/>
          <w:sz w:val="26"/>
          <w:szCs w:val="26"/>
          <w:rtl/>
        </w:rPr>
        <w:t xml:space="preserve">، بينما يذكر كتاب أعضاء هيئة تدريسه أن البرنامج أُنشئ عام ١٩٧٥</w:t>
      </w:r>
      <w:r>
        <w:rPr>
          <w:rStyle w:val="FootnoteReference"/>
        </w:rPr>
        <w:footnoteReference w:id="113"/>
      </w:r>
      <w:r>
        <w:rPr>
          <w:rFonts w:ascii="Times New Roman" w:cs="Noto Naskh Arabic" w:eastAsia="Noto Naskh Arabic" w:hAnsi="Times New Roman"/>
          <w:sz w:val="26"/>
          <w:szCs w:val="26"/>
          <w:rtl/>
        </w:rPr>
        <w:t xml:space="preserve">؛ ويُثبت هذا الاختلاف كما هو. ويصف البرنامج نفسه بأنه يركز على التطبيق العملي لمناهج الاستشراف.</w:t>
      </w:r>
    </w:p>
    <w:p>
      <w:pPr>
        <w:bidi/>
        <w:spacing w:after="120" w:line="336"/>
        <w:jc w:val="both"/>
      </w:pPr>
      <w:r>
        <w:rPr>
          <w:rFonts w:ascii="Times New Roman" w:cs="Noto Naskh Arabic" w:eastAsia="Noto Naskh Arabic" w:hAnsi="Times New Roman"/>
          <w:sz w:val="26"/>
          <w:szCs w:val="26"/>
          <w:rtl/>
        </w:rPr>
        <w:t xml:space="preserve">ويكشف هيكل مقرراته فلسفته التعليمية. فقد تضمنت خطته (لمن التحقوا في خريف ٢٠١٨) سبعة مقررات إلزامية: مدخل إلى الاستشراف، وحلقة بحث في الاستشراف، وبحوث المستقبل، ومستقبلات العالم، والتفكير المنظومي، والتغير الاجتماعي، واستراتيجيات متقدمة للتخطيط المستقبلي؛ ثم مقررات تخصص في المنظورات البديلة للمستقبل وتصميم المستقبلات؛ ثم خيار بحثي بين مشروع تطبيقي أو تدريب ميداني أو رسالة</w:t>
      </w:r>
      <w:r>
        <w:rPr>
          <w:rStyle w:val="FootnoteReference"/>
        </w:rPr>
        <w:footnoteReference w:id="114"/>
      </w:r>
      <w:r>
        <w:rPr>
          <w:rFonts w:ascii="Times New Roman" w:cs="Noto Naskh Arabic" w:eastAsia="Noto Naskh Arabic" w:hAnsi="Times New Roman"/>
          <w:sz w:val="26"/>
          <w:szCs w:val="26"/>
          <w:rtl/>
        </w:rPr>
        <w:t xml:space="preserve">. ونشر أعضاء هيئة التدريس مقاربتهم في إعداد محترفي الاستشراف في كتاب</w:t>
      </w:r>
      <w:r>
        <w:rPr>
          <w:rStyle w:val="FootnoteReference"/>
        </w:rPr>
        <w:footnoteReference w:id="115"/>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sz w:val="26"/>
          <w:szCs w:val="26"/>
          <w:rtl/>
        </w:rPr>
        <w:t xml:space="preserve">ويقوم هذا النموذج على مبدأين: أن التفكير المنظومي والتغير الاجتماعي مقرران إلزاميان لا اختياريان، أي إن الاستشراف يُدرَّس فهماً للأنظمة لا تقنيات منفصلة؛ وأن التخرج يمر بتطبيق لدى جهة حقيقية.</w:t>
      </w:r>
    </w:p>
    <w:p>
      <w:pPr>
        <w:bidi/>
        <w:spacing w:after="120" w:line="336"/>
        <w:jc w:val="both"/>
      </w:pPr>
      <w:r>
        <w:rPr>
          <w:rFonts w:ascii="Times New Roman" w:cs="Noto Naskh Arabic" w:eastAsia="Noto Naskh Arabic" w:hAnsi="Times New Roman"/>
          <w:b/>
          <w:bCs/>
          <w:sz w:val="26"/>
          <w:szCs w:val="26"/>
          <w:rtl/>
        </w:rPr>
        <w:t xml:space="preserve">المركز البحثي الحاضن: نموذج توركو.</w:t>
      </w:r>
      <w:r>
        <w:rPr>
          <w:rFonts w:ascii="Times New Roman" w:cs="Noto Naskh Arabic" w:eastAsia="Noto Naskh Arabic" w:hAnsi="Times New Roman"/>
          <w:sz w:val="26"/>
          <w:szCs w:val="26"/>
          <w:rtl/>
        </w:rPr>
        <w:t xml:space="preserve"> يقدّم مركز أبحاث المستقبل الفنلندي في جامعة توركو برنامج ماجستير دولياً في دراسات المستقبل. ويصف أحد خريجيه أن البرنامج يستفيد كثيراً من المركز المسؤول عنه، الذي ظهرت خبرته في المشروعات الاستشرافية في كل مراحل البرنامج، ومن عمله المنتظم مع لجنة المستقبل في البرلمان</w:t>
      </w:r>
      <w:r>
        <w:rPr>
          <w:rStyle w:val="FootnoteReference"/>
        </w:rPr>
        <w:footnoteReference w:id="116"/>
      </w:r>
      <w:r>
        <w:rPr>
          <w:rFonts w:ascii="Times New Roman" w:cs="Noto Naskh Arabic" w:eastAsia="Noto Naskh Arabic" w:hAnsi="Times New Roman"/>
          <w:sz w:val="26"/>
          <w:szCs w:val="26"/>
          <w:rtl/>
        </w:rPr>
        <w:t xml:space="preserve">. وهذه شهادة فردية لا تقييم مؤسسي، لكنها تشير إلى سمة بنيوية تؤكدها مصادر أخرى: أن البرنامج التعليمي محمول على مركز بحثي يعمل في مشروعات فعلية، والمركز موصول بجهة قرار</w:t>
      </w:r>
      <w:r>
        <w:rPr>
          <w:rStyle w:val="FootnoteReference"/>
        </w:rPr>
        <w:footnoteReference w:id="117"/>
      </w:r>
      <w:r>
        <w:rPr>
          <w:rFonts w:ascii="Times New Roman" w:cs="Noto Naskh Arabic" w:eastAsia="Noto Naskh Arabic" w:hAnsi="Times New Roman"/>
          <w:sz w:val="26"/>
          <w:szCs w:val="26"/>
          <w:rtl/>
        </w:rPr>
        <w:t xml:space="preserve">.</w:t>
      </w:r>
    </w:p>
    <w:p>
      <w:pPr>
        <w:bidi/>
        <w:spacing w:after="120" w:line="336"/>
        <w:jc w:val="both"/>
      </w:pPr>
      <w:r>
        <w:rPr>
          <w:rFonts w:ascii="Times New Roman" w:cs="Noto Naskh Arabic" w:eastAsia="Noto Naskh Arabic" w:hAnsi="Times New Roman"/>
          <w:b/>
          <w:bCs/>
          <w:sz w:val="26"/>
          <w:szCs w:val="26"/>
          <w:rtl/>
        </w:rPr>
        <w:t xml:space="preserve">ما يعنيه ذلك للتعليم في السياسة الثقافية.</w:t>
      </w:r>
      <w:r>
        <w:rPr>
          <w:rFonts w:ascii="Times New Roman" w:cs="Noto Naskh Arabic" w:eastAsia="Noto Naskh Arabic" w:hAnsi="Times New Roman"/>
          <w:sz w:val="26"/>
          <w:szCs w:val="26"/>
          <w:rtl/>
        </w:rPr>
        <w:t xml:space="preserve"> يقترح القسم أن يُدمج الاستشراف في تعليم السياسة الثقافية على مستويين، لا أن يُنشأ برنامج مستقل منذ البداية. </w:t>
      </w:r>
      <w:r>
        <w:rPr>
          <w:rFonts w:ascii="Times New Roman" w:cs="Noto Naskh Arabic" w:eastAsia="Noto Naskh Arabic" w:hAnsi="Times New Roman"/>
          <w:b/>
          <w:bCs/>
          <w:sz w:val="26"/>
          <w:szCs w:val="26"/>
          <w:rtl/>
        </w:rPr>
        <w:t xml:space="preserve">المستوى الأول</w:t>
      </w:r>
      <w:r>
        <w:rPr>
          <w:rFonts w:ascii="Times New Roman" w:cs="Noto Naskh Arabic" w:eastAsia="Noto Naskh Arabic" w:hAnsi="Times New Roman"/>
          <w:sz w:val="26"/>
          <w:szCs w:val="26"/>
          <w:rtl/>
        </w:rPr>
        <w:t xml:space="preserve"> مقرر اختياري أو إلزامي في برامج الإدارة الثقافية والسياسات العامة، يجمع بين التفكير المنظومي وتخطيط السيناريوهات ومسألة قياس القيمة الثقافية، ويُختم بمشروع تطبيقي مع مؤسسة ثقافية فعلية. </w:t>
      </w:r>
      <w:r>
        <w:rPr>
          <w:rFonts w:ascii="Times New Roman" w:cs="Noto Naskh Arabic" w:eastAsia="Noto Naskh Arabic" w:hAnsi="Times New Roman"/>
          <w:b/>
          <w:bCs/>
          <w:sz w:val="26"/>
          <w:szCs w:val="26"/>
          <w:rtl/>
        </w:rPr>
        <w:t xml:space="preserve">والمستوى الثاني</w:t>
      </w:r>
      <w:r>
        <w:rPr>
          <w:rFonts w:ascii="Times New Roman" w:cs="Noto Naskh Arabic" w:eastAsia="Noto Naskh Arabic" w:hAnsi="Times New Roman"/>
          <w:sz w:val="26"/>
          <w:szCs w:val="26"/>
          <w:rtl/>
        </w:rPr>
        <w:t xml:space="preserve"> مركز بحثي صغير في الاستشراف الثقافي، يحمل المقرر ويغذيه بمشروعات، ويرتبط بجهة قرار ثقافية. ويُقيَّم الطلاب في هذا المقرر بمعيار مقصود تربوياً: المشروع الذي يعلن حدوده بدقة يُمنح درجة أعلى من الذي يبدو حاسماً بلا سند.</w:t>
      </w:r>
    </w:p>
    <w:p>
      <w:pPr>
        <w:pStyle w:val="Heading2"/>
        <w:bidi/>
        <w:jc w:val="right"/>
      </w:pPr>
      <w:r>
        <w:rPr>
          <w:rFonts w:ascii="Times New Roman" w:cs="Noto Naskh Arabic" w:eastAsia="Noto Naskh Arabic" w:hAnsi="Times New Roman"/>
          <w:b/>
          <w:bCs/>
          <w:color w:val="1F4E79"/>
          <w:sz w:val="28"/>
          <w:szCs w:val="28"/>
          <w:rtl/>
        </w:rPr>
        <w:t xml:space="preserve">١٠-٤ شروط النقل إلى السياق الخليجي والعربي</w:t>
      </w:r>
    </w:p>
    <w:p>
      <w:pPr>
        <w:bidi/>
        <w:spacing w:after="120" w:line="336"/>
        <w:jc w:val="both"/>
      </w:pPr>
      <w:r>
        <w:rPr>
          <w:rFonts w:ascii="Times New Roman" w:cs="Noto Naskh Arabic" w:eastAsia="Noto Naskh Arabic" w:hAnsi="Times New Roman"/>
          <w:sz w:val="26"/>
          <w:szCs w:val="26"/>
          <w:rtl/>
        </w:rPr>
        <w:t xml:space="preserve">لا تُنقل الممارسات السابقة كما هي، لثلاثة أسباب. </w:t>
      </w:r>
      <w:r>
        <w:rPr>
          <w:rFonts w:ascii="Times New Roman" w:cs="Noto Naskh Arabic" w:eastAsia="Noto Naskh Arabic" w:hAnsi="Times New Roman"/>
          <w:b/>
          <w:bCs/>
          <w:sz w:val="26"/>
          <w:szCs w:val="26"/>
          <w:rtl/>
        </w:rPr>
        <w:t xml:space="preserve">الأول</w:t>
      </w:r>
      <w:r>
        <w:rPr>
          <w:rFonts w:ascii="Times New Roman" w:cs="Noto Naskh Arabic" w:eastAsia="Noto Naskh Arabic" w:hAnsi="Times New Roman"/>
          <w:sz w:val="26"/>
          <w:szCs w:val="26"/>
          <w:rtl/>
        </w:rPr>
        <w:t xml:space="preserve"> أن الاستشراف نفسه موسَّط ثقافياً، كما بيّنت أدبيات أثر التقاليد الوطنية في عمليات الاستشراف</w:t>
      </w:r>
      <w:r>
        <w:rPr>
          <w:rStyle w:val="FootnoteReference"/>
        </w:rPr>
        <w:footnoteReference w:id="118"/>
      </w:r>
      <w:r>
        <w:rPr>
          <w:rFonts w:ascii="Times New Roman" w:cs="Noto Naskh Arabic" w:eastAsia="Noto Naskh Arabic" w:hAnsi="Times New Roman"/>
          <w:sz w:val="26"/>
          <w:szCs w:val="26"/>
          <w:rtl/>
        </w:rPr>
        <w:t xml:space="preserve">؛ فالنموذج الذي نجح في سياق برلماني إسكندنافي أو في خدمة مدنية سنغافورية ذات تقاليد تخطيط طويلة لا يُستنسخ دون تكييف. </w:t>
      </w:r>
      <w:r>
        <w:rPr>
          <w:rFonts w:ascii="Times New Roman" w:cs="Noto Naskh Arabic" w:eastAsia="Noto Naskh Arabic" w:hAnsi="Times New Roman"/>
          <w:b/>
          <w:bCs/>
          <w:sz w:val="26"/>
          <w:szCs w:val="26"/>
          <w:rtl/>
        </w:rPr>
        <w:t xml:space="preserve">والثاني</w:t>
      </w:r>
      <w:r>
        <w:rPr>
          <w:rFonts w:ascii="Times New Roman" w:cs="Noto Naskh Arabic" w:eastAsia="Noto Naskh Arabic" w:hAnsi="Times New Roman"/>
          <w:sz w:val="26"/>
          <w:szCs w:val="26"/>
          <w:rtl/>
        </w:rPr>
        <w:t xml:space="preserve"> أن السياق الخليجي يملك بنية استشرافية ناشئة لا فراغاً؛ ومن مظاهرها أن من بين الموارد التي تحيل إليها البوابة الرسمية لحكومة الإمارات في سياق استراتيجية الصناعات الثقافية والإبداعية تقريراً عن اتجاهات المستقبل في القطاع الثقافي والإبداعي صادراً عن مؤسسة دبي للمستقبل</w:t>
      </w:r>
      <w:r>
        <w:rPr>
          <w:rStyle w:val="FootnoteReference"/>
        </w:rPr>
        <w:footnoteReference w:id="119"/>
      </w:r>
      <w:r>
        <w:rPr>
          <w:rFonts w:ascii="Times New Roman" w:cs="Noto Naskh Arabic" w:eastAsia="Noto Naskh Arabic" w:hAnsi="Times New Roman"/>
          <w:sz w:val="26"/>
          <w:szCs w:val="26"/>
          <w:rtl/>
        </w:rPr>
        <w:t xml:space="preserve">. فالمسألة ربط ما هو قائم لا إنشاء من عدم. </w:t>
      </w:r>
      <w:r>
        <w:rPr>
          <w:rFonts w:ascii="Times New Roman" w:cs="Noto Naskh Arabic" w:eastAsia="Noto Naskh Arabic" w:hAnsi="Times New Roman"/>
          <w:b/>
          <w:bCs/>
          <w:sz w:val="26"/>
          <w:szCs w:val="26"/>
          <w:rtl/>
        </w:rPr>
        <w:t xml:space="preserve">والثالث</w:t>
      </w:r>
      <w:r>
        <w:rPr>
          <w:rFonts w:ascii="Times New Roman" w:cs="Noto Naskh Arabic" w:eastAsia="Noto Naskh Arabic" w:hAnsi="Times New Roman"/>
          <w:sz w:val="26"/>
          <w:szCs w:val="26"/>
          <w:rtl/>
        </w:rPr>
        <w:t xml:space="preserve"> أن الاستشراف العربي عرف توتراً تاريخياً بين التحليل والتطلع الأيديولوجي، كما يشير عنوان دراسة منشورة في الكتاب السنوي «استشراف»</w:t>
      </w:r>
      <w:r>
        <w:rPr>
          <w:rStyle w:val="FootnoteReference"/>
        </w:rPr>
        <w:footnoteReference w:id="120"/>
      </w:r>
      <w:r>
        <w:rPr>
          <w:rFonts w:ascii="Times New Roman" w:cs="Noto Naskh Arabic" w:eastAsia="Noto Naskh Arabic" w:hAnsi="Times New Roman"/>
          <w:sz w:val="26"/>
          <w:szCs w:val="26"/>
          <w:rtl/>
        </w:rPr>
        <w:t xml:space="preserve">؛ وأي مؤسسة استشراف ثقافي يجب أن تحتاط لهذا التوتر بقواعد منهجية صريحة.</w:t>
      </w:r>
    </w:p>
    <w:p>
      <w:pPr>
        <w:bidi/>
        <w:spacing w:after="120" w:line="336"/>
        <w:jc w:val="both"/>
      </w:pPr>
      <w:r>
        <w:rPr>
          <w:rFonts w:ascii="Times New Roman" w:cs="Noto Naskh Arabic" w:eastAsia="Noto Naskh Arabic" w:hAnsi="Times New Roman"/>
          <w:sz w:val="26"/>
          <w:szCs w:val="26"/>
          <w:rtl/>
        </w:rPr>
        <w:t xml:space="preserve">ويقتضي ذلك ثلاثة شروط للنقل. </w:t>
      </w:r>
      <w:r>
        <w:rPr>
          <w:rFonts w:ascii="Times New Roman" w:cs="Noto Naskh Arabic" w:eastAsia="Noto Naskh Arabic" w:hAnsi="Times New Roman"/>
          <w:b/>
          <w:bCs/>
          <w:sz w:val="26"/>
          <w:szCs w:val="26"/>
          <w:rtl/>
        </w:rPr>
        <w:t xml:space="preserve">شرط وحدة التحليل</w:t>
      </w:r>
      <w:r>
        <w:rPr>
          <w:rFonts w:ascii="Times New Roman" w:cs="Noto Naskh Arabic" w:eastAsia="Noto Naskh Arabic" w:hAnsi="Times New Roman"/>
          <w:sz w:val="26"/>
          <w:szCs w:val="26"/>
          <w:rtl/>
        </w:rPr>
        <w:t xml:space="preserve">: أن تُحدَّد من الداخل، فقد بيّنت دراسة القيم العالمية أن دول الإقليم الواحد تتقارب قيمياً</w:t>
      </w:r>
      <w:r>
        <w:rPr>
          <w:rStyle w:val="FootnoteReference"/>
        </w:rPr>
        <w:footnoteReference w:id="121"/>
      </w:r>
      <w:r>
        <w:rPr>
          <w:rFonts w:ascii="Times New Roman" w:cs="Noto Naskh Arabic" w:eastAsia="Noto Naskh Arabic" w:hAnsi="Times New Roman"/>
          <w:sz w:val="26"/>
          <w:szCs w:val="26"/>
          <w:rtl/>
        </w:rPr>
        <w:t xml:space="preserve">، فالفضاء الخليجي والعربي وحدة تحليل مشروعة لا مجرد تجميع لدول. </w:t>
      </w:r>
      <w:r>
        <w:rPr>
          <w:rFonts w:ascii="Times New Roman" w:cs="Noto Naskh Arabic" w:eastAsia="Noto Naskh Arabic" w:hAnsi="Times New Roman"/>
          <w:b/>
          <w:bCs/>
          <w:sz w:val="26"/>
          <w:szCs w:val="26"/>
          <w:rtl/>
        </w:rPr>
        <w:t xml:space="preserve">وشرط القياس</w:t>
      </w:r>
      <w:r>
        <w:rPr>
          <w:rFonts w:ascii="Times New Roman" w:cs="Noto Naskh Arabic" w:eastAsia="Noto Naskh Arabic" w:hAnsi="Times New Roman"/>
          <w:sz w:val="26"/>
          <w:szCs w:val="26"/>
          <w:rtl/>
        </w:rPr>
        <w:t xml:space="preserve">: أن تُبنى مؤشرات القيمة الفكرية قبل أن تُبنى مؤسسة الاستشراف أو معها، وإلا ورثت المؤسسة لاتماثل القياس الذي يشخّصه هذا البحث. ويتضح هذا الشرط في الحالة الإماراتية نفسها: فالاستراتيجية الوطنية للصناعات الثقافية والإبداعية (٢٠٢١–٢٠٣١) تستهدف رفع إسهام القطاع إلى ٥٪ من الناتج المحلي، ومضاعفة عدد المنشآت فيه، وخلق وظائف جديدة، ورفع متوسط دخل العاملين فيه</w:t>
      </w:r>
      <w:r>
        <w:rPr>
          <w:rStyle w:val="FootnoteReference"/>
        </w:rPr>
        <w:footnoteReference w:id="122"/>
      </w:r>
      <w:r>
        <w:rPr>
          <w:rFonts w:ascii="Times New Roman" w:cs="Noto Naskh Arabic" w:eastAsia="Noto Naskh Arabic" w:hAnsi="Times New Roman"/>
          <w:sz w:val="26"/>
          <w:szCs w:val="26"/>
          <w:rtl/>
        </w:rPr>
        <w:t xml:space="preserve">؛ وكلها أهداف اقتصادية مشروعة، لكن لا يقابلها في الوثيقة المختصرة المنشورة على البوابة مؤشر للقدرة الفكرية. </w:t>
      </w:r>
      <w:r>
        <w:rPr>
          <w:rFonts w:ascii="Times New Roman" w:cs="Noto Naskh Arabic" w:eastAsia="Noto Naskh Arabic" w:hAnsi="Times New Roman"/>
          <w:b/>
          <w:bCs/>
          <w:sz w:val="26"/>
          <w:szCs w:val="26"/>
          <w:rtl/>
        </w:rPr>
        <w:t xml:space="preserve">وشرط القاعدة المنهجية</w:t>
      </w:r>
      <w:r>
        <w:rPr>
          <w:rFonts w:ascii="Times New Roman" w:cs="Noto Naskh Arabic" w:eastAsia="Noto Naskh Arabic" w:hAnsi="Times New Roman"/>
          <w:sz w:val="26"/>
          <w:szCs w:val="26"/>
          <w:rtl/>
        </w:rPr>
        <w:t xml:space="preserve">: أن يُلزم كل منتَج استشرافي بإعلان حدوده، وبالفصل بين المرصود والمُفسَّر، وبعرض الحجة المضادة، لأن هذه القواعد هي ما يميّز الاستشراف من الدعاية للمستقبل المرغوب.</w:t>
      </w:r>
    </w:p>
    <w:p>
      <w:pPr>
        <w:pStyle w:val="Heading1"/>
        <w:bidi/>
        <w:jc w:val="right"/>
      </w:pPr>
      <w:r>
        <w:rPr>
          <w:rFonts w:ascii="Times New Roman" w:cs="Noto Naskh Arabic" w:eastAsia="Noto Naskh Arabic" w:hAnsi="Times New Roman"/>
          <w:b/>
          <w:bCs/>
          <w:color w:val="1F4E79"/>
          <w:sz w:val="34"/>
          <w:szCs w:val="34"/>
          <w:rtl/>
        </w:rPr>
        <w:t xml:space="preserve">١١. السياسات المتينة وخريطة التنفيذ</w:t>
      </w:r>
    </w:p>
    <w:p>
      <w:pPr>
        <w:bidi/>
        <w:spacing w:after="120" w:line="336"/>
        <w:jc w:val="both"/>
      </w:pPr>
      <w:r>
        <w:rPr>
          <w:rFonts w:ascii="Times New Roman" w:cs="Noto Naskh Arabic" w:eastAsia="Noto Naskh Arabic" w:hAnsi="Times New Roman"/>
          <w:sz w:val="26"/>
          <w:szCs w:val="26"/>
          <w:rtl/>
        </w:rPr>
        <w:t xml:space="preserve">يحوّل هذا القسم نتائج التحليل إلى بدائل سياساتية، ويختبرها أمام السيناريوهات الأربعة، ويقترح خريطة تنفيذ بمراحل وجهات مسؤولة ومؤشرات ومخاطر. والبدائل هنا خيارات مشتقة من النموذج، لا توصيات آمرة؛ فالنموذج يبيّن أين يكون الأثر أعمق، ولا يقرر ما ينبغي أن تفعله دولة بعينها، فذلك قرار سياسي تحكمه أولويات وموارد لا تدخل في التحليل.</w:t>
      </w:r>
    </w:p>
    <w:p>
      <w:pPr>
        <w:pStyle w:val="Heading2"/>
        <w:bidi/>
        <w:jc w:val="right"/>
      </w:pPr>
      <w:r>
        <w:rPr>
          <w:rFonts w:ascii="Times New Roman" w:cs="Noto Naskh Arabic" w:eastAsia="Noto Naskh Arabic" w:hAnsi="Times New Roman"/>
          <w:b/>
          <w:bCs/>
          <w:color w:val="1F4E79"/>
          <w:sz w:val="28"/>
          <w:szCs w:val="28"/>
          <w:rtl/>
        </w:rPr>
        <w:t xml:space="preserve">١١-١ قواعد الاشتقاق</w:t>
      </w:r>
    </w:p>
    <w:p>
      <w:pPr>
        <w:bidi/>
        <w:spacing w:after="120" w:line="336"/>
        <w:jc w:val="both"/>
      </w:pPr>
      <w:r>
        <w:rPr>
          <w:rFonts w:ascii="Times New Roman" w:cs="Noto Naskh Arabic" w:eastAsia="Noto Naskh Arabic" w:hAnsi="Times New Roman"/>
          <w:sz w:val="26"/>
          <w:szCs w:val="26"/>
          <w:rtl/>
        </w:rPr>
        <w:t xml:space="preserve">اشتُقت البدائل من ثلاث قواعد. </w:t>
      </w:r>
      <w:r>
        <w:rPr>
          <w:rFonts w:ascii="Times New Roman" w:cs="Noto Naskh Arabic" w:eastAsia="Noto Naskh Arabic" w:hAnsi="Times New Roman"/>
          <w:b/>
          <w:bCs/>
          <w:sz w:val="26"/>
          <w:szCs w:val="26"/>
          <w:rtl/>
        </w:rPr>
        <w:t xml:space="preserve">الأولى</w:t>
      </w:r>
      <w:r>
        <w:rPr>
          <w:rFonts w:ascii="Times New Roman" w:cs="Noto Naskh Arabic" w:eastAsia="Noto Naskh Arabic" w:hAnsi="Times New Roman"/>
          <w:sz w:val="26"/>
          <w:szCs w:val="26"/>
          <w:rtl/>
        </w:rPr>
        <w:t xml:space="preserve"> أن التدخل في الروافع أعمق أثراً من التدخل المباشر في القدرة الفكرية، لأن القدرة متغير تابع في مصفوفة التأثير المتبادل (القسم السابع) ومخزون في خريطة النظام (القسم السادس). </w:t>
      </w:r>
      <w:r>
        <w:rPr>
          <w:rFonts w:ascii="Times New Roman" w:cs="Noto Naskh Arabic" w:eastAsia="Noto Naskh Arabic" w:hAnsi="Times New Roman"/>
          <w:b/>
          <w:bCs/>
          <w:sz w:val="26"/>
          <w:szCs w:val="26"/>
          <w:rtl/>
        </w:rPr>
        <w:t xml:space="preserve">والثانية</w:t>
      </w:r>
      <w:r>
        <w:rPr>
          <w:rFonts w:ascii="Times New Roman" w:cs="Noto Naskh Arabic" w:eastAsia="Noto Naskh Arabic" w:hAnsi="Times New Roman"/>
          <w:sz w:val="26"/>
          <w:szCs w:val="26"/>
          <w:rtl/>
        </w:rPr>
        <w:t xml:space="preserve"> أن السياسة التي تبقى نافعة في كل السيناريوهات أولى من السياسة التي تنفع في أرجحها، لأن الورقة لا تعرف أي السيناريوهات سيتحقق. </w:t>
      </w:r>
      <w:r>
        <w:rPr>
          <w:rFonts w:ascii="Times New Roman" w:cs="Noto Naskh Arabic" w:eastAsia="Noto Naskh Arabic" w:hAnsi="Times New Roman"/>
          <w:b/>
          <w:bCs/>
          <w:sz w:val="26"/>
          <w:szCs w:val="26"/>
          <w:rtl/>
        </w:rPr>
        <w:t xml:space="preserve">والثالثة</w:t>
      </w:r>
      <w:r>
        <w:rPr>
          <w:rFonts w:ascii="Times New Roman" w:cs="Noto Naskh Arabic" w:eastAsia="Noto Naskh Arabic" w:hAnsi="Times New Roman"/>
          <w:sz w:val="26"/>
          <w:szCs w:val="26"/>
          <w:rtl/>
        </w:rPr>
        <w:t xml:space="preserve"> أن ما يكشف السيناريو الذي يتحقق يُقدَّم على ما يفترض معرفته؛ فالقياس شرط لاختيار ما يليه.</w:t>
      </w:r>
    </w:p>
    <w:p>
      <w:pPr>
        <w:pStyle w:val="Heading2"/>
        <w:bidi/>
        <w:jc w:val="right"/>
      </w:pPr>
      <w:r>
        <w:rPr>
          <w:rFonts w:ascii="Times New Roman" w:cs="Noto Naskh Arabic" w:eastAsia="Noto Naskh Arabic" w:hAnsi="Times New Roman"/>
          <w:b/>
          <w:bCs/>
          <w:color w:val="1F4E79"/>
          <w:sz w:val="28"/>
          <w:szCs w:val="28"/>
          <w:rtl/>
        </w:rPr>
        <w:t xml:space="preserve">١١-٢ البدائل الست</w:t>
      </w:r>
    </w:p>
    <w:p>
      <w:pPr>
        <w:bidi/>
        <w:spacing w:after="120" w:line="336"/>
        <w:jc w:val="both"/>
      </w:pPr>
      <w:r>
        <w:rPr>
          <w:rFonts w:ascii="Times New Roman" w:cs="Noto Naskh Arabic" w:eastAsia="Noto Naskh Arabic" w:hAnsi="Times New Roman"/>
          <w:b/>
          <w:bCs/>
          <w:sz w:val="26"/>
          <w:szCs w:val="26"/>
          <w:rtl/>
        </w:rPr>
        <w:t xml:space="preserve">س١: بناء سلسلة «حصة المؤلفين الجدد»</w:t>
      </w:r>
      <w:r>
        <w:rPr>
          <w:rFonts w:ascii="Times New Roman" w:cs="Noto Naskh Arabic" w:eastAsia="Noto Naskh Arabic" w:hAnsi="Times New Roman"/>
          <w:sz w:val="26"/>
          <w:szCs w:val="26"/>
          <w:rtl/>
        </w:rPr>
        <w:t xml:space="preserve"> من سجلات الإيداع القانوني، استرجاعياً للعقدين الماضيين، ثم سنوياً. وهي المعطى الفاصل بين التباعد الحقيقي وتباعد القياس (القسم الثامن).</w:t>
      </w:r>
    </w:p>
    <w:p>
      <w:pPr>
        <w:bidi/>
        <w:spacing w:after="120" w:line="336"/>
        <w:jc w:val="both"/>
      </w:pPr>
      <w:r>
        <w:rPr>
          <w:rFonts w:ascii="Times New Roman" w:cs="Noto Naskh Arabic" w:eastAsia="Noto Naskh Arabic" w:hAnsi="Times New Roman"/>
          <w:b/>
          <w:bCs/>
          <w:sz w:val="26"/>
          <w:szCs w:val="26"/>
          <w:rtl/>
        </w:rPr>
        <w:t xml:space="preserve">س٢: حماية استقلال القرار الفني</w:t>
      </w:r>
      <w:r>
        <w:rPr>
          <w:rFonts w:ascii="Times New Roman" w:cs="Noto Naskh Arabic" w:eastAsia="Noto Naskh Arabic" w:hAnsi="Times New Roman"/>
          <w:sz w:val="26"/>
          <w:szCs w:val="26"/>
          <w:rtl/>
        </w:rPr>
        <w:t xml:space="preserve"> بفصل قرار التمويل الفني عن الجهات السياسية والاقتصادية المانحة، عبر لجان تحكيم مستقلة بولايات محددة ومعايير معلنة. وهي الرافعة التي تحرّك موقع العتبة في النموذج.</w:t>
      </w:r>
    </w:p>
    <w:p>
      <w:pPr>
        <w:bidi/>
        <w:spacing w:after="120" w:line="336"/>
        <w:jc w:val="both"/>
      </w:pPr>
      <w:r>
        <w:rPr>
          <w:rFonts w:ascii="Times New Roman" w:cs="Noto Naskh Arabic" w:eastAsia="Noto Naskh Arabic" w:hAnsi="Times New Roman"/>
          <w:b/>
          <w:bCs/>
          <w:sz w:val="26"/>
          <w:szCs w:val="26"/>
          <w:rtl/>
        </w:rPr>
        <w:t xml:space="preserve">س٣: قواعد للتنوع في خوارزميات التوصية</w:t>
      </w:r>
      <w:r>
        <w:rPr>
          <w:rFonts w:ascii="Times New Roman" w:cs="Noto Naskh Arabic" w:eastAsia="Noto Naskh Arabic" w:hAnsi="Times New Roman"/>
          <w:sz w:val="26"/>
          <w:szCs w:val="26"/>
          <w:rtl/>
        </w:rPr>
        <w:t xml:space="preserve"> على المنصات العاملة في الدولة أو الإقليم، كإلزام بحصة من التوصيات للمحتوى المحلي أو الجديد.</w:t>
      </w:r>
    </w:p>
    <w:p>
      <w:pPr>
        <w:bidi/>
        <w:spacing w:after="120" w:line="336"/>
        <w:jc w:val="both"/>
      </w:pPr>
      <w:r>
        <w:rPr>
          <w:rFonts w:ascii="Times New Roman" w:cs="Noto Naskh Arabic" w:eastAsia="Noto Naskh Arabic" w:hAnsi="Times New Roman"/>
          <w:b/>
          <w:bCs/>
          <w:sz w:val="26"/>
          <w:szCs w:val="26"/>
          <w:rtl/>
        </w:rPr>
        <w:t xml:space="preserve">س٤: مشاركة عوائد تدريب الذكاء الاصطناعي مع المبدعين</w:t>
      </w:r>
      <w:r>
        <w:rPr>
          <w:rFonts w:ascii="Times New Roman" w:cs="Noto Naskh Arabic" w:eastAsia="Noto Naskh Arabic" w:hAnsi="Times New Roman"/>
          <w:sz w:val="26"/>
          <w:szCs w:val="26"/>
          <w:rtl/>
        </w:rPr>
        <w:t xml:space="preserve"> عبر ترخيص جماعي أو آلية تعويض، استجابةً للآلية الثالثة.</w:t>
      </w:r>
    </w:p>
    <w:p>
      <w:pPr>
        <w:bidi/>
        <w:spacing w:after="120" w:line="336"/>
        <w:jc w:val="both"/>
      </w:pPr>
      <w:r>
        <w:rPr>
          <w:rFonts w:ascii="Times New Roman" w:cs="Noto Naskh Arabic" w:eastAsia="Noto Naskh Arabic" w:hAnsi="Times New Roman"/>
          <w:b/>
          <w:bCs/>
          <w:sz w:val="26"/>
          <w:szCs w:val="26"/>
          <w:rtl/>
        </w:rPr>
        <w:t xml:space="preserve">س٥: توسيع التمويل المشروط بالعائد</w:t>
      </w:r>
      <w:r>
        <w:rPr>
          <w:rFonts w:ascii="Times New Roman" w:cs="Noto Naskh Arabic" w:eastAsia="Noto Naskh Arabic" w:hAnsi="Times New Roman"/>
          <w:sz w:val="26"/>
          <w:szCs w:val="26"/>
          <w:rtl/>
        </w:rPr>
        <w:t xml:space="preserve"> — وهو الاتجاه الذي تسير فيه الاستراتيجيات ذات الأهداف الاقتصادية — وأُدرج في الاختبار بديلاً مرجعياً.</w:t>
      </w:r>
    </w:p>
    <w:p>
      <w:pPr>
        <w:bidi/>
        <w:spacing w:after="120" w:line="336"/>
        <w:jc w:val="both"/>
      </w:pPr>
      <w:r>
        <w:rPr>
          <w:rFonts w:ascii="Times New Roman" w:cs="Noto Naskh Arabic" w:eastAsia="Noto Naskh Arabic" w:hAnsi="Times New Roman"/>
          <w:b/>
          <w:bCs/>
          <w:sz w:val="26"/>
          <w:szCs w:val="26"/>
          <w:rtl/>
        </w:rPr>
        <w:t xml:space="preserve">س٦ (جديدة): إلزام المنصات بالإفصاح عن مقاييس التنوع</w:t>
      </w:r>
      <w:r>
        <w:rPr>
          <w:rFonts w:ascii="Times New Roman" w:cs="Noto Naskh Arabic" w:eastAsia="Noto Naskh Arabic" w:hAnsi="Times New Roman"/>
          <w:sz w:val="26"/>
          <w:szCs w:val="26"/>
          <w:rtl/>
        </w:rPr>
        <w:t xml:space="preserve">، كتنوع الاستهلاك مقارنة بتنوع العرض، بصيغة مجمّعة لا تكشف بيانات الأفراد. وقد أضافها الدليل المضاد في القسم السادس: فإذا كانت مصلحة المنصات بعيدة المدى تلتقي مع التنوع</w:t>
      </w:r>
      <w:r>
        <w:rPr>
          <w:rStyle w:val="FootnoteReference"/>
        </w:rPr>
        <w:footnoteReference w:id="123"/>
      </w:r>
      <w:r>
        <w:rPr>
          <w:rFonts w:ascii="Times New Roman" w:cs="Noto Naskh Arabic" w:eastAsia="Noto Naskh Arabic" w:hAnsi="Times New Roman"/>
          <w:sz w:val="26"/>
          <w:szCs w:val="26"/>
          <w:rtl/>
        </w:rPr>
        <w:t xml:space="preserve">، فإن الإفصاح قد يحرّك المنصات نحو أفق تحسين أطول دون تنظيم مباشر للخوارزميات، ويسدّ في الوقت نفسه فجوة البيانات في بُعد التنوع الفاعل.</w:t>
      </w:r>
    </w:p>
    <w:p>
      <w:pPr>
        <w:pStyle w:val="Heading2"/>
        <w:bidi/>
        <w:jc w:val="right"/>
      </w:pPr>
      <w:r>
        <w:rPr>
          <w:rFonts w:ascii="Times New Roman" w:cs="Noto Naskh Arabic" w:eastAsia="Noto Naskh Arabic" w:hAnsi="Times New Roman"/>
          <w:b/>
          <w:bCs/>
          <w:color w:val="1F4E79"/>
          <w:sz w:val="28"/>
          <w:szCs w:val="28"/>
          <w:rtl/>
        </w:rPr>
        <w:t xml:space="preserve">١١-٣ اختبار المتانة</w:t>
      </w:r>
    </w:p>
    <w:p>
      <w:pPr>
        <w:bidi/>
        <w:spacing w:after="120" w:line="336"/>
        <w:jc w:val="both"/>
      </w:pPr>
      <w:r>
        <w:rPr>
          <w:rFonts w:ascii="Times New Roman" w:cs="Noto Naskh Arabic" w:eastAsia="Noto Naskh Arabic" w:hAnsi="Times New Roman"/>
          <w:sz w:val="26"/>
          <w:szCs w:val="26"/>
          <w:rtl/>
        </w:rPr>
        <w:t xml:space="preserve">يصنّف الجدول كل بديل في كل سيناريو: نافع (</w:t>
      </w:r>
      <w:r>
        <w:rPr>
          <w:rFonts w:ascii="Times New Roman" w:cs="Noto Naskh Arabic" w:eastAsia="Noto Naskh Arabic" w:hAnsi="Times New Roman"/>
          <w:sz w:val="26"/>
          <w:szCs w:val="26"/>
          <w:rtl w:val="false"/>
        </w:rPr>
        <w:t xml:space="preserve">+</w:t>
      </w:r>
      <w:r>
        <w:rPr>
          <w:rFonts w:ascii="Times New Roman" w:cs="Noto Naskh Arabic" w:eastAsia="Noto Naskh Arabic" w:hAnsi="Times New Roman"/>
          <w:sz w:val="26"/>
          <w:szCs w:val="26"/>
          <w:rtl/>
        </w:rPr>
        <w:t xml:space="preserve">)، أو محايد (٠)، أو ضار (</w:t>
      </w:r>
      <w:r>
        <w:rPr>
          <w:rFonts w:ascii="Times New Roman" w:cs="Noto Naskh Arabic" w:eastAsia="Noto Naskh Arabic" w:hAnsi="Times New Roman"/>
          <w:sz w:val="26"/>
          <w:szCs w:val="26"/>
          <w:rtl w:val="false"/>
        </w:rPr>
        <w:t xml:space="preserve">−</w:t>
      </w:r>
      <w:r>
        <w:rPr>
          <w:rFonts w:ascii="Times New Roman" w:cs="Noto Naskh Arabic" w:eastAsia="Noto Naskh Arabic" w:hAnsi="Times New Roman"/>
          <w:sz w:val="26"/>
          <w:szCs w:val="26"/>
          <w:rtl/>
        </w:rPr>
        <w:t xml:space="preserve">). والتصنيف </w:t>
      </w:r>
      <w:r>
        <w:rPr>
          <w:rFonts w:ascii="Times New Roman" w:cs="Noto Naskh Arabic" w:eastAsia="Noto Naskh Arabic" w:hAnsi="Times New Roman"/>
          <w:b/>
          <w:bCs/>
          <w:sz w:val="26"/>
          <w:szCs w:val="26"/>
          <w:rtl/>
        </w:rPr>
        <w:t xml:space="preserve">حكم الباحث</w:t>
      </w:r>
      <w:r>
        <w:rPr>
          <w:rFonts w:ascii="Times New Roman" w:cs="Noto Naskh Arabic" w:eastAsia="Noto Naskh Arabic" w:hAnsi="Times New Roman"/>
          <w:sz w:val="26"/>
          <w:szCs w:val="26"/>
          <w:rtl/>
        </w:rPr>
        <w:t xml:space="preserve">، لا تسنده المحاكاة إلا في س٢.</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24"/>
        <w:gridCol w:w="1682"/>
        <w:gridCol w:w="1082"/>
        <w:gridCol w:w="1082"/>
        <w:gridCol w:w="895"/>
        <w:gridCol w:w="1441"/>
      </w:tblGrid>
      <w:tr>
        <w:trPr>
          <w:cantSplit w:val="false"/>
          <w:tblHeader/>
        </w:trPr>
        <w:tc>
          <w:tcPr>
            <w:tcW w:type="dxa" w:w="31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البديل</w:t>
            </w:r>
          </w:p>
        </w:tc>
        <w:tc>
          <w:tcPr>
            <w:tcW w:type="dxa" w:w="16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١ سوق الانتباه</w:t>
            </w:r>
          </w:p>
        </w:tc>
        <w:tc>
          <w:tcPr>
            <w:tcW w:type="dxa" w:w="10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٢ التوازن</w:t>
            </w:r>
          </w:p>
        </w:tc>
        <w:tc>
          <w:tcPr>
            <w:tcW w:type="dxa" w:w="10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٣ الجزيرة</w:t>
            </w:r>
          </w:p>
        </w:tc>
        <w:tc>
          <w:tcPr>
            <w:tcW w:type="dxa" w:w="8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٤ العمى</w:t>
            </w:r>
          </w:p>
        </w:tc>
        <w:tc>
          <w:tcPr>
            <w:tcW w:type="dxa" w:w="14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الحكم</w:t>
            </w:r>
          </w:p>
        </w:tc>
      </w:tr>
      <w:tr>
        <w:trPr>
          <w:cantSplit w:val="false"/>
          <w:tblHeader w:val="false"/>
        </w:trPr>
        <w:tc>
          <w:tcPr>
            <w:tcW w:type="dxa" w:w="31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س١ سلسلة المؤلفين الجدد</w:t>
            </w:r>
          </w:p>
        </w:tc>
        <w:tc>
          <w:tcPr>
            <w:tcW w:type="dxa" w:w="16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8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4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متين</w:t>
            </w:r>
          </w:p>
        </w:tc>
      </w:tr>
      <w:tr>
        <w:trPr>
          <w:cantSplit w:val="false"/>
          <w:tblHeader w:val="false"/>
        </w:trPr>
        <w:tc>
          <w:tcPr>
            <w:tcW w:type="dxa" w:w="312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س٢ استقلال القرار الفني</w:t>
            </w:r>
          </w:p>
        </w:tc>
        <w:tc>
          <w:tcPr>
            <w:tcW w:type="dxa" w:w="16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89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44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متين</w:t>
            </w:r>
          </w:p>
        </w:tc>
      </w:tr>
      <w:tr>
        <w:trPr>
          <w:cantSplit w:val="false"/>
          <w:tblHeader w:val="false"/>
        </w:trPr>
        <w:tc>
          <w:tcPr>
            <w:tcW w:type="dxa" w:w="31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س٦ إفصاح المنصات عن التنوع</w:t>
            </w:r>
          </w:p>
        </w:tc>
        <w:tc>
          <w:tcPr>
            <w:tcW w:type="dxa" w:w="16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8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4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متين</w:t>
            </w:r>
          </w:p>
        </w:tc>
      </w:tr>
      <w:tr>
        <w:trPr>
          <w:cantSplit w:val="false"/>
          <w:tblHeader w:val="false"/>
        </w:trPr>
        <w:tc>
          <w:tcPr>
            <w:tcW w:type="dxa" w:w="312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س٣ قواعد التنوع في التوصية</w:t>
            </w:r>
          </w:p>
        </w:tc>
        <w:tc>
          <w:tcPr>
            <w:tcW w:type="dxa" w:w="16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10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89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144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متين جزئياً</w:t>
            </w:r>
          </w:p>
        </w:tc>
      </w:tr>
      <w:tr>
        <w:trPr>
          <w:cantSplit w:val="false"/>
          <w:tblHeader w:val="false"/>
        </w:trPr>
        <w:tc>
          <w:tcPr>
            <w:tcW w:type="dxa" w:w="31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س٤ مشاركة عوائد التدريب</w:t>
            </w:r>
          </w:p>
        </w:tc>
        <w:tc>
          <w:tcPr>
            <w:tcW w:type="dxa" w:w="16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89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144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متين جزئياً</w:t>
            </w:r>
          </w:p>
        </w:tc>
      </w:tr>
      <w:tr>
        <w:trPr>
          <w:cantSplit w:val="false"/>
          <w:tblHeader w:val="false"/>
        </w:trPr>
        <w:tc>
          <w:tcPr>
            <w:tcW w:type="dxa" w:w="312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س٥ التمويل المشروط بالعائد</w:t>
            </w:r>
          </w:p>
        </w:tc>
        <w:tc>
          <w:tcPr>
            <w:tcW w:type="dxa" w:w="16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٠</w:t>
            </w:r>
          </w:p>
        </w:tc>
        <w:tc>
          <w:tcPr>
            <w:tcW w:type="dxa" w:w="10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082"/>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89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val="false"/>
              </w:rPr>
              <w:t xml:space="preserve">−</w:t>
            </w:r>
          </w:p>
        </w:tc>
        <w:tc>
          <w:tcPr>
            <w:tcW w:type="dxa" w:w="144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ضار في ثلاثة</w:t>
            </w:r>
          </w:p>
        </w:tc>
      </w:tr>
    </w:tbl>
    <w:p>
      <w:pPr>
        <w:spacing w:after="120"/>
      </w:pPr>
    </w:p>
    <w:p>
      <w:pPr>
        <w:bidi/>
        <w:spacing w:after="120" w:line="336"/>
        <w:jc w:val="both"/>
      </w:pPr>
      <w:r>
        <w:rPr>
          <w:rFonts w:ascii="Times New Roman" w:cs="Noto Naskh Arabic" w:eastAsia="Noto Naskh Arabic" w:hAnsi="Times New Roman"/>
          <w:b/>
          <w:bCs/>
          <w:sz w:val="26"/>
          <w:szCs w:val="26"/>
          <w:rtl/>
        </w:rPr>
        <w:t xml:space="preserve">القراءة.</w:t>
      </w:r>
      <w:r>
        <w:rPr>
          <w:rFonts w:ascii="Times New Roman" w:cs="Noto Naskh Arabic" w:eastAsia="Noto Naskh Arabic" w:hAnsi="Times New Roman"/>
          <w:sz w:val="26"/>
          <w:szCs w:val="26"/>
          <w:rtl/>
        </w:rPr>
        <w:t xml:space="preserve"> ثلاث سياسات متينة في السيناريوهات الأربعة، اثنتان منها سياسات </w:t>
      </w:r>
      <w:r>
        <w:rPr>
          <w:rFonts w:ascii="Times New Roman" w:cs="Noto Naskh Arabic" w:eastAsia="Noto Naskh Arabic" w:hAnsi="Times New Roman"/>
          <w:b/>
          <w:bCs/>
          <w:sz w:val="26"/>
          <w:szCs w:val="26"/>
          <w:rtl/>
        </w:rPr>
        <w:t xml:space="preserve">رؤية</w:t>
      </w:r>
      <w:r>
        <w:rPr>
          <w:rFonts w:ascii="Times New Roman" w:cs="Noto Naskh Arabic" w:eastAsia="Noto Naskh Arabic" w:hAnsi="Times New Roman"/>
          <w:sz w:val="26"/>
          <w:szCs w:val="26"/>
          <w:rtl/>
        </w:rPr>
        <w:t xml:space="preserve"> (س١ وس٦) وواحدة سياسة </w:t>
      </w:r>
      <w:r>
        <w:rPr>
          <w:rFonts w:ascii="Times New Roman" w:cs="Noto Naskh Arabic" w:eastAsia="Noto Naskh Arabic" w:hAnsi="Times New Roman"/>
          <w:b/>
          <w:bCs/>
          <w:sz w:val="26"/>
          <w:szCs w:val="26"/>
          <w:rtl/>
        </w:rPr>
        <w:t xml:space="preserve">حوكمة</w:t>
      </w:r>
      <w:r>
        <w:rPr>
          <w:rFonts w:ascii="Times New Roman" w:cs="Noto Naskh Arabic" w:eastAsia="Noto Naskh Arabic" w:hAnsi="Times New Roman"/>
          <w:sz w:val="26"/>
          <w:szCs w:val="26"/>
          <w:rtl/>
        </w:rPr>
        <w:t xml:space="preserve"> (س٢). وهذا يوافق ما انتهى إليه القسمان الثالث والتاسع من أن الخلل الأول قياسي. أما س٣ وس٤ فتنفعان حيث تكون الوساطة بمنطق الانتباه، وتفقدان أثرهما حين تكون قواعد الوساطة قائمة أصلاً. وأما س٥ فلا تنفع في أي سيناريو وتضر في ثلاثة، لأنها تقوّي حلقة التسويغ العائدي وتُضعف الاستقلال.</w:t>
      </w:r>
    </w:p>
    <w:p>
      <w:pPr>
        <w:bidi/>
        <w:spacing w:after="120" w:line="336"/>
        <w:jc w:val="both"/>
      </w:pPr>
      <w:r>
        <w:rPr>
          <w:rFonts w:ascii="Times New Roman" w:cs="Noto Naskh Arabic" w:eastAsia="Noto Naskh Arabic" w:hAnsi="Times New Roman"/>
          <w:b/>
          <w:bCs/>
          <w:sz w:val="26"/>
          <w:szCs w:val="26"/>
          <w:rtl/>
        </w:rPr>
        <w:t xml:space="preserve">التحفظ على س٥.</w:t>
      </w:r>
      <w:r>
        <w:rPr>
          <w:rFonts w:ascii="Times New Roman" w:cs="Noto Naskh Arabic" w:eastAsia="Noto Naskh Arabic" w:hAnsi="Times New Roman"/>
          <w:sz w:val="26"/>
          <w:szCs w:val="26"/>
          <w:rtl/>
        </w:rPr>
        <w:t xml:space="preserve"> لا يعني تصنيفها ضارة أن الإنفاق العائدي على الصناعات الإبداعية ضار في ذاته؛ فقد يكون نافعاً لأهداف اقتصادية مشروعة. والحكم هنا مقصور على أثرها في القدرة الفكرية حين تحلّ محل التمويل غير المشروط، لا حين تُضاف إليه.</w:t>
      </w:r>
    </w:p>
    <w:p>
      <w:pPr>
        <w:pStyle w:val="Heading2"/>
        <w:bidi/>
        <w:jc w:val="right"/>
      </w:pPr>
      <w:r>
        <w:rPr>
          <w:rFonts w:ascii="Times New Roman" w:cs="Noto Naskh Arabic" w:eastAsia="Noto Naskh Arabic" w:hAnsi="Times New Roman"/>
          <w:b/>
          <w:bCs/>
          <w:color w:val="1F4E79"/>
          <w:sz w:val="28"/>
          <w:szCs w:val="28"/>
          <w:rtl/>
        </w:rPr>
        <w:t xml:space="preserve">١١-٤ خريطة التنفيذ</w:t>
      </w:r>
    </w:p>
    <w:p>
      <w:pPr>
        <w:bidi/>
        <w:spacing w:after="120" w:line="336"/>
        <w:jc w:val="both"/>
      </w:pPr>
      <w:r>
        <w:rPr>
          <w:rFonts w:ascii="Times New Roman" w:cs="Noto Naskh Arabic" w:eastAsia="Noto Naskh Arabic" w:hAnsi="Times New Roman"/>
          <w:sz w:val="26"/>
          <w:szCs w:val="26"/>
          <w:rtl/>
        </w:rPr>
        <w:t xml:space="preserve">تُرتّب البدائل في ثلاث موجات مبدؤها التمكين: كل موجة تُنتج ما تحتاجه التي تليها.</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10"/>
        <w:gridCol w:w="861"/>
        <w:gridCol w:w="1466"/>
        <w:gridCol w:w="3034"/>
        <w:gridCol w:w="3035"/>
      </w:tblGrid>
      <w:tr>
        <w:trPr>
          <w:cantSplit w:val="false"/>
          <w:tblHeader/>
        </w:trPr>
        <w:tc>
          <w:tcPr>
            <w:tcW w:type="dxa" w:w="9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الموجة</w:t>
            </w:r>
          </w:p>
        </w:tc>
        <w:tc>
          <w:tcPr>
            <w:tcW w:type="dxa" w:w="8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المدة</w:t>
            </w:r>
          </w:p>
        </w:tc>
        <w:tc>
          <w:tcPr>
            <w:tcW w:type="dxa" w:w="14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البدائل</w:t>
            </w:r>
          </w:p>
        </w:tc>
        <w:tc>
          <w:tcPr>
            <w:tcW w:type="dxa" w:w="30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الجهة المسؤولة المقترحة</w:t>
            </w:r>
          </w:p>
        </w:tc>
        <w:tc>
          <w:tcPr>
            <w:tcW w:type="dxa" w:w="30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bCs/>
                <w:color w:val="FFFFFF"/>
                <w:sz w:val="20"/>
                <w:szCs w:val="20"/>
                <w:rtl/>
              </w:rPr>
              <w:t xml:space="preserve">المُخرَج الذي يمكّن ما بعده</w:t>
            </w:r>
          </w:p>
        </w:tc>
      </w:tr>
      <w:tr>
        <w:trPr>
          <w:cantSplit w:val="false"/>
          <w:tblHeader w:val="false"/>
        </w:trPr>
        <w:tc>
          <w:tcPr>
            <w:tcW w:type="dxa" w:w="9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١ الرؤية</w:t>
            </w:r>
          </w:p>
        </w:tc>
        <w:tc>
          <w:tcPr>
            <w:tcW w:type="dxa" w:w="86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٢٠٢٧–٢٠٢٩</w:t>
            </w:r>
          </w:p>
        </w:tc>
        <w:tc>
          <w:tcPr>
            <w:tcW w:type="dxa" w:w="14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س١، س٦</w:t>
            </w:r>
          </w:p>
        </w:tc>
        <w:tc>
          <w:tcPr>
            <w:tcW w:type="dxa" w:w="30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المكتبة الوطنية أو جهة الإيداع، مع جهة الإحصاء الوطنية؛ وجهة تنظيم الاتصالات للإفصاح</w:t>
            </w:r>
          </w:p>
        </w:tc>
        <w:tc>
          <w:tcPr>
            <w:tcW w:type="dxa" w:w="30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سلسلة استرجاعية تحسم بين الفرضيتين، وبيانات أولى عن التنوع الفاعل</w:t>
            </w:r>
          </w:p>
        </w:tc>
      </w:tr>
      <w:tr>
        <w:trPr>
          <w:cantSplit w:val="false"/>
          <w:tblHeader w:val="false"/>
        </w:trPr>
        <w:tc>
          <w:tcPr>
            <w:tcW w:type="dxa" w:w="91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 الحوكمة</w:t>
            </w:r>
          </w:p>
        </w:tc>
        <w:tc>
          <w:tcPr>
            <w:tcW w:type="dxa" w:w="861"/>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٢٠٢٩–٢٠٣٢</w:t>
            </w:r>
          </w:p>
        </w:tc>
        <w:tc>
          <w:tcPr>
            <w:tcW w:type="dxa" w:w="1466"/>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س٢</w:t>
            </w:r>
          </w:p>
        </w:tc>
        <w:tc>
          <w:tcPr>
            <w:tcW w:type="dxa" w:w="3034"/>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وزارة الثقافة والجهات المانحة</w:t>
            </w:r>
          </w:p>
        </w:tc>
        <w:tc>
          <w:tcPr>
            <w:tcW w:type="dxa" w:w="3035"/>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تمويل محمي يرفع العتبة</w:t>
            </w:r>
          </w:p>
        </w:tc>
      </w:tr>
      <w:tr>
        <w:trPr>
          <w:cantSplit w:val="false"/>
          <w:tblHeader w:val="false"/>
        </w:trPr>
        <w:tc>
          <w:tcPr>
            <w:tcW w:type="dxa" w:w="9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٣ الوساطة والعوائد</w:t>
            </w:r>
          </w:p>
        </w:tc>
        <w:tc>
          <w:tcPr>
            <w:tcW w:type="dxa" w:w="86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٢٠٣٠–٢٠٣٥</w:t>
            </w:r>
          </w:p>
        </w:tc>
        <w:tc>
          <w:tcPr>
            <w:tcW w:type="dxa" w:w="14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س٣، س٤ بحسب ما تكشفه الموجة ١</w:t>
            </w:r>
          </w:p>
        </w:tc>
        <w:tc>
          <w:tcPr>
            <w:tcW w:type="dxa" w:w="30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جهات التنظيم الرقمي والملكية الفكرية، بتنسيق إقليمي خليجي</w:t>
            </w:r>
          </w:p>
        </w:tc>
        <w:tc>
          <w:tcPr>
            <w:tcW w:type="dxa" w:w="30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bidi/>
              <w:spacing w:after="0" w:line="276"/>
              <w:jc w:val="right"/>
            </w:pPr>
            <w:r>
              <w:rPr>
                <w:rFonts w:ascii="Times New Roman" w:cs="Noto Naskh Arabic" w:eastAsia="Noto Naskh Arabic" w:hAnsi="Times New Roman"/>
                <w:b w:val="false"/>
                <w:sz w:val="20"/>
                <w:szCs w:val="20"/>
                <w:rtl/>
              </w:rPr>
              <w:t xml:space="preserve">قواعد تكسر حلقتي الانتباه والذكاء الاصطناعي</w:t>
            </w:r>
          </w:p>
        </w:tc>
      </w:tr>
    </w:tbl>
    <w:p>
      <w:pPr>
        <w:spacing w:after="120"/>
      </w:pPr>
    </w:p>
    <w:p>
      <w:pPr>
        <w:bidi/>
        <w:spacing w:after="120" w:line="336"/>
        <w:jc w:val="both"/>
      </w:pPr>
      <w:r>
        <w:rPr>
          <w:rFonts w:ascii="Times New Roman" w:cs="Noto Naskh Arabic" w:eastAsia="Noto Naskh Arabic" w:hAnsi="Times New Roman"/>
          <w:sz w:val="26"/>
          <w:szCs w:val="26"/>
          <w:rtl/>
        </w:rPr>
        <w:t xml:space="preserve">ويتوقف دخول الموجة الثالثة على نتيجة الأولى. فإذا أظهرت السلسلة الاسترجاعية ثباتاً في حصة المؤلفين الجدد (تباعد قياس)، فالأولوية لدمج المؤشر في معايير التقييم، ويُخفَّف الاستعجال في تنظيم الوساطة. وإذا أظهرت هبوطاً (تباعد حقيقي)، فالموجة الثالثة عاجلة.</w:t>
      </w:r>
    </w:p>
    <w:p>
      <w:pPr>
        <w:pStyle w:val="Heading2"/>
        <w:bidi/>
        <w:jc w:val="right"/>
      </w:pPr>
      <w:r>
        <w:rPr>
          <w:rFonts w:ascii="Times New Roman" w:cs="Noto Naskh Arabic" w:eastAsia="Noto Naskh Arabic" w:hAnsi="Times New Roman"/>
          <w:b/>
          <w:bCs/>
          <w:color w:val="1F4E79"/>
          <w:sz w:val="28"/>
          <w:szCs w:val="28"/>
          <w:rtl/>
        </w:rPr>
        <w:t xml:space="preserve">١١-٥ المؤشرات ومعايير النجاح</w:t>
      </w:r>
    </w:p>
    <w:p>
      <w:pPr>
        <w:bidi/>
        <w:spacing w:after="120" w:line="336"/>
        <w:jc w:val="both"/>
      </w:pPr>
      <w:r>
        <w:rPr>
          <w:rFonts w:ascii="Times New Roman" w:cs="Noto Naskh Arabic" w:eastAsia="Noto Naskh Arabic" w:hAnsi="Times New Roman"/>
          <w:sz w:val="26"/>
          <w:szCs w:val="26"/>
          <w:rtl/>
        </w:rPr>
        <w:t xml:space="preserve">تُقاس السياسات بمؤشرات لاحقة لا مخزنية:</w:t>
      </w:r>
    </w:p>
    <w:p>
      <w:pPr>
        <w:pStyle w:val="ListParagraph"/>
        <w:numPr>
          <w:ilvl w:val="0"/>
          <w:numId w:val="3"/>
        </w:numPr>
        <w:bidi/>
        <w:spacing w:after="80" w:line="336"/>
        <w:jc w:val="both"/>
      </w:pPr>
      <w:r>
        <w:rPr>
          <w:rFonts w:ascii="Times New Roman" w:cs="Noto Naskh Arabic" w:eastAsia="Noto Naskh Arabic" w:hAnsi="Times New Roman"/>
          <w:sz w:val="26"/>
          <w:szCs w:val="26"/>
          <w:rtl/>
        </w:rPr>
        <w:t xml:space="preserve">هل بُنيت السلسلة الاسترجاعية ونُشرت؟ وكم سنة تغطي؟</w:t>
      </w:r>
    </w:p>
    <w:p>
      <w:pPr>
        <w:pStyle w:val="ListParagraph"/>
        <w:numPr>
          <w:ilvl w:val="0"/>
          <w:numId w:val="3"/>
        </w:numPr>
        <w:bidi/>
        <w:spacing w:after="80" w:line="336"/>
        <w:jc w:val="both"/>
      </w:pPr>
      <w:r>
        <w:rPr>
          <w:rFonts w:ascii="Times New Roman" w:cs="Noto Naskh Arabic" w:eastAsia="Noto Naskh Arabic" w:hAnsi="Times New Roman"/>
          <w:sz w:val="26"/>
          <w:szCs w:val="26"/>
          <w:rtl/>
        </w:rPr>
        <w:t xml:space="preserve">هل دخل مؤشر للقدرة الفكرية في وثيقة تقييم رسمية لبرنامج ثقافي واحد على الأقل؟</w:t>
      </w:r>
    </w:p>
    <w:p>
      <w:pPr>
        <w:pStyle w:val="ListParagraph"/>
        <w:numPr>
          <w:ilvl w:val="0"/>
          <w:numId w:val="3"/>
        </w:numPr>
        <w:bidi/>
        <w:spacing w:after="80" w:line="336"/>
        <w:jc w:val="both"/>
      </w:pPr>
      <w:r>
        <w:rPr>
          <w:rFonts w:ascii="Times New Roman" w:cs="Noto Naskh Arabic" w:eastAsia="Noto Naskh Arabic" w:hAnsi="Times New Roman"/>
          <w:sz w:val="26"/>
          <w:szCs w:val="26"/>
          <w:rtl/>
        </w:rPr>
        <w:t xml:space="preserve">هل نُشرت مقاييس تنوع من منصة واحدة على الأقل؟</w:t>
      </w:r>
    </w:p>
    <w:p>
      <w:pPr>
        <w:pStyle w:val="ListParagraph"/>
        <w:numPr>
          <w:ilvl w:val="0"/>
          <w:numId w:val="3"/>
        </w:numPr>
        <w:bidi/>
        <w:spacing w:after="80" w:line="336"/>
        <w:jc w:val="both"/>
      </w:pPr>
      <w:r>
        <w:rPr>
          <w:rFonts w:ascii="Times New Roman" w:cs="Noto Naskh Arabic" w:eastAsia="Noto Naskh Arabic" w:hAnsi="Times New Roman"/>
          <w:sz w:val="26"/>
          <w:szCs w:val="26"/>
          <w:rtl/>
        </w:rPr>
        <w:t xml:space="preserve">هل تغيّرت حصة التمويل غير المشروط بالعائد في موازنة الثقافة؟</w:t>
      </w:r>
    </w:p>
    <w:p>
      <w:pPr>
        <w:bidi/>
        <w:spacing w:after="120" w:line="336"/>
        <w:jc w:val="both"/>
      </w:pPr>
      <w:r>
        <w:rPr>
          <w:rFonts w:ascii="Times New Roman" w:cs="Noto Naskh Arabic" w:eastAsia="Noto Naskh Arabic" w:hAnsi="Times New Roman"/>
          <w:sz w:val="26"/>
          <w:szCs w:val="26"/>
          <w:rtl/>
        </w:rPr>
        <w:t xml:space="preserve">وتُستبعد صراحةً مؤشرات المخزون: عدد البرامج، وحجم الإنفاق، وعدد الفعاليات.</w:t>
      </w:r>
    </w:p>
    <w:p>
      <w:pPr>
        <w:pStyle w:val="Heading2"/>
        <w:bidi/>
        <w:jc w:val="right"/>
      </w:pPr>
      <w:r>
        <w:rPr>
          <w:rFonts w:ascii="Times New Roman" w:cs="Noto Naskh Arabic" w:eastAsia="Noto Naskh Arabic" w:hAnsi="Times New Roman"/>
          <w:b/>
          <w:bCs/>
          <w:color w:val="1F4E79"/>
          <w:sz w:val="28"/>
          <w:szCs w:val="28"/>
          <w:rtl/>
        </w:rPr>
        <w:t xml:space="preserve">١١-٦ مخاطر التنفيذ</w:t>
      </w:r>
    </w:p>
    <w:p>
      <w:pPr>
        <w:bidi/>
        <w:spacing w:after="120" w:line="336"/>
        <w:jc w:val="both"/>
      </w:pPr>
      <w:r>
        <w:rPr>
          <w:rFonts w:ascii="Times New Roman" w:cs="Noto Naskh Arabic" w:eastAsia="Noto Naskh Arabic" w:hAnsi="Times New Roman"/>
          <w:b/>
          <w:bCs/>
          <w:sz w:val="26"/>
          <w:szCs w:val="26"/>
          <w:rtl/>
        </w:rPr>
        <w:t xml:space="preserve">الخطر الأول: تحوّل المؤشر الجديد إلى هدف.</w:t>
      </w:r>
      <w:r>
        <w:rPr>
          <w:rFonts w:ascii="Times New Roman" w:cs="Noto Naskh Arabic" w:eastAsia="Noto Naskh Arabic" w:hAnsi="Times New Roman"/>
          <w:sz w:val="26"/>
          <w:szCs w:val="26"/>
          <w:rtl/>
        </w:rPr>
        <w:t xml:space="preserve"> فإذا صارت «حصة المؤلفين الجدد» معياراً للتمويل، قد تُنتَج أعمال جديدة شكلية لرفع المؤشر. والوقاية أن يبقى المؤشر أداة تشخيص لا معيار مكافأة، وأن يُقرأ مع غيره نمطاً لا رقماً.</w:t>
      </w:r>
    </w:p>
    <w:p>
      <w:pPr>
        <w:bidi/>
        <w:spacing w:after="120" w:line="336"/>
        <w:jc w:val="both"/>
      </w:pPr>
      <w:r>
        <w:rPr>
          <w:rFonts w:ascii="Times New Roman" w:cs="Noto Naskh Arabic" w:eastAsia="Noto Naskh Arabic" w:hAnsi="Times New Roman"/>
          <w:b/>
          <w:bCs/>
          <w:sz w:val="26"/>
          <w:szCs w:val="26"/>
          <w:rtl/>
        </w:rPr>
        <w:t xml:space="preserve">الخطر الثاني: استقلال شكلي.</w:t>
      </w:r>
      <w:r>
        <w:rPr>
          <w:rFonts w:ascii="Times New Roman" w:cs="Noto Naskh Arabic" w:eastAsia="Noto Naskh Arabic" w:hAnsi="Times New Roman"/>
          <w:sz w:val="26"/>
          <w:szCs w:val="26"/>
          <w:rtl/>
        </w:rPr>
        <w:t xml:space="preserve"> قد تُنشأ لجان تحكيم «مستقلة» تبقى تابعة فعلياً. والوقاية أن تُقاس الاستقلالية بقرائن فعلية: آلية لتسوية النزاع، ونشر معايير القرار، وتنوع خلفيات المحكّمين.</w:t>
      </w:r>
    </w:p>
    <w:p>
      <w:pPr>
        <w:bidi/>
        <w:spacing w:after="120" w:line="336"/>
        <w:jc w:val="both"/>
      </w:pPr>
      <w:r>
        <w:rPr>
          <w:rFonts w:ascii="Times New Roman" w:cs="Noto Naskh Arabic" w:eastAsia="Noto Naskh Arabic" w:hAnsi="Times New Roman"/>
          <w:b/>
          <w:bCs/>
          <w:sz w:val="26"/>
          <w:szCs w:val="26"/>
          <w:rtl/>
        </w:rPr>
        <w:t xml:space="preserve">الخطر الثالث: كلفة الإفصاح على المنصات.</w:t>
      </w:r>
      <w:r>
        <w:rPr>
          <w:rFonts w:ascii="Times New Roman" w:cs="Noto Naskh Arabic" w:eastAsia="Noto Naskh Arabic" w:hAnsi="Times New Roman"/>
          <w:sz w:val="26"/>
          <w:szCs w:val="26"/>
          <w:rtl/>
        </w:rPr>
        <w:t xml:space="preserve"> قد ترفض المنصات العابرة للحدود الإفصاح، أو تفصح بمقاييس غير قابلة للمقارنة. والوقاية في التنسيق الإقليمي وفي تعريف موحد للمقاييس.</w:t>
      </w:r>
    </w:p>
    <w:p>
      <w:pPr>
        <w:bidi/>
        <w:spacing w:after="120" w:line="336"/>
        <w:jc w:val="both"/>
      </w:pPr>
      <w:r>
        <w:rPr>
          <w:rFonts w:ascii="Times New Roman" w:cs="Noto Naskh Arabic" w:eastAsia="Noto Naskh Arabic" w:hAnsi="Times New Roman"/>
          <w:b/>
          <w:bCs/>
          <w:sz w:val="26"/>
          <w:szCs w:val="26"/>
          <w:rtl/>
        </w:rPr>
        <w:t xml:space="preserve">الخطر الرابع: أن تُقرأ الورقة دعوةً ضد الاقتصاد الإبداعي.</w:t>
      </w:r>
      <w:r>
        <w:rPr>
          <w:rFonts w:ascii="Times New Roman" w:cs="Noto Naskh Arabic" w:eastAsia="Noto Naskh Arabic" w:hAnsi="Times New Roman"/>
          <w:sz w:val="26"/>
          <w:szCs w:val="26"/>
          <w:rtl/>
        </w:rPr>
        <w:t xml:space="preserve"> وهي ليست كذلك؛ فالقسم السادس يعرض آليات التلازم، والدليل المضاد يشير إلى أن السوق قد يكافئ التنوع. والغاية ليست كبح العائد، بل جعل القدرة الفكرية مرئية بالقدر الذي يرى به العائد.</w:t>
      </w:r>
    </w:p>
    <w:p>
      <w:pPr>
        <w:pStyle w:val="Heading1"/>
        <w:bidi/>
        <w:jc w:val="right"/>
      </w:pPr>
      <w:r>
        <w:rPr>
          <w:rFonts w:ascii="Times New Roman" w:cs="Noto Naskh Arabic" w:eastAsia="Noto Naskh Arabic" w:hAnsi="Times New Roman"/>
          <w:b/>
          <w:bCs/>
          <w:color w:val="1F4E79"/>
          <w:sz w:val="34"/>
          <w:szCs w:val="34"/>
          <w:rtl/>
        </w:rPr>
        <w:t xml:space="preserve">١٢. المناقشة والخاتمة</w:t>
      </w:r>
    </w:p>
    <w:p>
      <w:pPr>
        <w:pStyle w:val="Heading2"/>
        <w:bidi/>
        <w:jc w:val="right"/>
      </w:pPr>
      <w:r>
        <w:rPr>
          <w:rFonts w:ascii="Times New Roman" w:cs="Noto Naskh Arabic" w:eastAsia="Noto Naskh Arabic" w:hAnsi="Times New Roman"/>
          <w:b/>
          <w:bCs/>
          <w:color w:val="1F4E79"/>
          <w:sz w:val="28"/>
          <w:szCs w:val="28"/>
          <w:rtl/>
        </w:rPr>
        <w:t xml:space="preserve">١٢-١ ما انتهت إليه الورقة</w:t>
      </w:r>
    </w:p>
    <w:p>
      <w:pPr>
        <w:bidi/>
        <w:spacing w:after="120" w:line="336"/>
        <w:jc w:val="both"/>
      </w:pPr>
      <w:r>
        <w:rPr>
          <w:rFonts w:ascii="Times New Roman" w:cs="Noto Naskh Arabic" w:eastAsia="Noto Naskh Arabic" w:hAnsi="Times New Roman"/>
          <w:sz w:val="26"/>
          <w:szCs w:val="26"/>
          <w:rtl/>
        </w:rPr>
        <w:t xml:space="preserve">سألت الورقة عن المسارات التي يمكن أن تسلكها العلاقة بين القيمة الاقتصادية والقيمة الفكرية للثقافة حتى ٢٠٥٠، وعن العتبات التي تحدد انتقالها من التلازم إلى التباعد، وعن السياسات التي تبقى نافعة أياً كان المسار. وانتهت إلى ست نتائج، تتفاوت في قوة سندها، وتُعرض هنا بحسب ذلك.</w:t>
      </w:r>
    </w:p>
    <w:p>
      <w:pPr>
        <w:bidi/>
        <w:spacing w:after="120" w:line="336"/>
        <w:jc w:val="both"/>
      </w:pPr>
      <w:r>
        <w:rPr>
          <w:rFonts w:ascii="Times New Roman" w:cs="Noto Naskh Arabic" w:eastAsia="Noto Naskh Arabic" w:hAnsi="Times New Roman"/>
          <w:b/>
          <w:bCs/>
          <w:sz w:val="26"/>
          <w:szCs w:val="26"/>
          <w:rtl/>
        </w:rPr>
        <w:t xml:space="preserve">النتيجة الأولى (مرصودة): القياس غير متماثل.</w:t>
      </w:r>
      <w:r>
        <w:rPr>
          <w:rFonts w:ascii="Times New Roman" w:cs="Noto Naskh Arabic" w:eastAsia="Noto Naskh Arabic" w:hAnsi="Times New Roman"/>
          <w:sz w:val="26"/>
          <w:szCs w:val="26"/>
          <w:rtl/>
        </w:rPr>
        <w:t xml:space="preserve"> المؤشرات الدولية المنشورة عن الثقافة اقتصادية أو إنفاقية أو تجارية في أغلبها، ولم يكن بين أحد عشر مؤشراً مسنداً جمعتها الورقة مؤشر واحد لقدرة النظام على التجدد والمساءلة. والمؤشر الأبرز على نمو «الاقتصاد الإبداعي» يقع معظمه خارج النواة الثقافية.</w:t>
      </w:r>
    </w:p>
    <w:p>
      <w:pPr>
        <w:bidi/>
        <w:spacing w:after="120" w:line="336"/>
        <w:jc w:val="both"/>
      </w:pPr>
      <w:r>
        <w:rPr>
          <w:rFonts w:ascii="Times New Roman" w:cs="Noto Naskh Arabic" w:eastAsia="Noto Naskh Arabic" w:hAnsi="Times New Roman"/>
          <w:b/>
          <w:bCs/>
          <w:sz w:val="26"/>
          <w:szCs w:val="26"/>
          <w:rtl/>
        </w:rPr>
        <w:t xml:space="preserve">النتيجة الثانية (مرصودة على حالات قليلة): اللاتماثل مكتوب في الوثائق أيضاً.</w:t>
      </w:r>
      <w:r>
        <w:rPr>
          <w:rFonts w:ascii="Times New Roman" w:cs="Noto Naskh Arabic" w:eastAsia="Noto Naskh Arabic" w:hAnsi="Times New Roman"/>
          <w:sz w:val="26"/>
          <w:szCs w:val="26"/>
          <w:rtl/>
        </w:rPr>
        <w:t xml:space="preserve"> تتفاوت الاستراتيجيات الثقافية في ما تجعله هدفاً معلناً، وقد يحضر فيها بُعد القدرة الفكرية مختلطاً بأهداف اقتصادية لا قائماً بذاته. لكن الفروق بين الحالات الثلاث المحللة ليست دالة إحصائياً، وقد تعكس نوع الوثيقة لا الدولة.</w:t>
      </w:r>
    </w:p>
    <w:p>
      <w:pPr>
        <w:bidi/>
        <w:spacing w:after="120" w:line="336"/>
        <w:jc w:val="both"/>
      </w:pPr>
      <w:r>
        <w:rPr>
          <w:rFonts w:ascii="Times New Roman" w:cs="Noto Naskh Arabic" w:eastAsia="Noto Naskh Arabic" w:hAnsi="Times New Roman"/>
          <w:b/>
          <w:bCs/>
          <w:sz w:val="26"/>
          <w:szCs w:val="26"/>
          <w:rtl/>
        </w:rPr>
        <w:t xml:space="preserve">النتيجة الثالثة (اختبار تاريخي): الثقافة تتحرك في طبقات.</w:t>
      </w:r>
      <w:r>
        <w:rPr>
          <w:rFonts w:ascii="Times New Roman" w:cs="Noto Naskh Arabic" w:eastAsia="Noto Naskh Arabic" w:hAnsi="Times New Roman"/>
          <w:sz w:val="26"/>
          <w:szCs w:val="26"/>
          <w:rtl/>
        </w:rPr>
        <w:t xml:space="preserve"> توقع التنميط الذي طرحته اليونسكو سنة ١٩٩٠ لم يتحقق في طبقة القيم، التي تباعدت عالمياً وتقاربت إقليمياً، بينما تُظهر طبقة الوساطة والسوق تركّزاً. فلا يصح أن يُستدل بتركّز السوق على تجانس المعنى.</w:t>
      </w:r>
    </w:p>
    <w:p>
      <w:pPr>
        <w:bidi/>
        <w:spacing w:after="120" w:line="336"/>
        <w:jc w:val="both"/>
      </w:pPr>
      <w:r>
        <w:rPr>
          <w:rFonts w:ascii="Times New Roman" w:cs="Noto Naskh Arabic" w:eastAsia="Noto Naskh Arabic" w:hAnsi="Times New Roman"/>
          <w:b/>
          <w:bCs/>
          <w:sz w:val="26"/>
          <w:szCs w:val="26"/>
          <w:rtl/>
        </w:rPr>
        <w:t xml:space="preserve">النتيجة الرابعة (دليل تجريبي من دراسة واحدة): السوق قد يكافئ التنوع.</w:t>
      </w:r>
      <w:r>
        <w:rPr>
          <w:rFonts w:ascii="Times New Roman" w:cs="Noto Naskh Arabic" w:eastAsia="Noto Naskh Arabic" w:hAnsi="Times New Roman"/>
          <w:sz w:val="26"/>
          <w:szCs w:val="26"/>
          <w:rtl/>
        </w:rPr>
        <w:t xml:space="preserve"> تخفض التوصية الخوارزمية تنوع الاستهلاك، لكن التنوع نفسه يرتبط بمصلحة المنصة بعيدة المدى. فالتباعد بين العائد والتنوع ليس قانوناً، بل نتيجة لأفق التحسين الذي تعتمده الخوارزمية.</w:t>
      </w:r>
    </w:p>
    <w:p>
      <w:pPr>
        <w:bidi/>
        <w:spacing w:after="120" w:line="336"/>
        <w:jc w:val="both"/>
      </w:pPr>
      <w:r>
        <w:rPr>
          <w:rFonts w:ascii="Times New Roman" w:cs="Noto Naskh Arabic" w:eastAsia="Noto Naskh Arabic" w:hAnsi="Times New Roman"/>
          <w:b/>
          <w:bCs/>
          <w:sz w:val="26"/>
          <w:szCs w:val="26"/>
          <w:rtl/>
        </w:rPr>
        <w:t xml:space="preserve">النتيجة الخامسة (نظرية مسنودة بالمحاكاة): للعلاقة عتبة انطفاء يحرّكها الاستقلال وقواعد الوساطة.</w:t>
      </w:r>
      <w:r>
        <w:rPr>
          <w:rFonts w:ascii="Times New Roman" w:cs="Noto Naskh Arabic" w:eastAsia="Noto Naskh Arabic" w:hAnsi="Times New Roman"/>
          <w:sz w:val="26"/>
          <w:szCs w:val="26"/>
          <w:rtl/>
        </w:rPr>
        <w:t xml:space="preserve"> وبنيتها مطابقة رياضياً لنموذج </w:t>
      </w:r>
      <w:r>
        <w:rPr>
          <w:rFonts w:ascii="Times New Roman" w:cs="Noto Naskh Arabic" w:eastAsia="Noto Naskh Arabic" w:hAnsi="Times New Roman"/>
          <w:sz w:val="26"/>
          <w:szCs w:val="26"/>
          <w:rtl w:val="false"/>
        </w:rPr>
        <w:t xml:space="preserve">Levins</w:t>
      </w:r>
      <w:r>
        <w:rPr>
          <w:rFonts w:ascii="Times New Roman" w:cs="Noto Naskh Arabic" w:eastAsia="Noto Naskh Arabic" w:hAnsi="Times New Roman"/>
          <w:sz w:val="26"/>
          <w:szCs w:val="26"/>
          <w:rtl/>
        </w:rPr>
        <w:t xml:space="preserve"> في علم البيئة، فوجود العتبة متين، وموقعها غير محدد بلا بيانات. وحماية استقلال القرار الفني، وتحسين الوساطة لأفق أطول، كلاهما يدفع العتبة بعيداً.</w:t>
      </w:r>
    </w:p>
    <w:p>
      <w:pPr>
        <w:bidi/>
        <w:spacing w:after="120" w:line="336"/>
        <w:jc w:val="both"/>
      </w:pPr>
      <w:r>
        <w:rPr>
          <w:rFonts w:ascii="Times New Roman" w:cs="Noto Naskh Arabic" w:eastAsia="Noto Naskh Arabic" w:hAnsi="Times New Roman"/>
          <w:b/>
          <w:bCs/>
          <w:sz w:val="26"/>
          <w:szCs w:val="26"/>
          <w:rtl/>
        </w:rPr>
        <w:t xml:space="preserve">النتيجة السادسة (منهجية): السؤال قابل للحسم.</w:t>
      </w:r>
      <w:r>
        <w:rPr>
          <w:rFonts w:ascii="Times New Roman" w:cs="Noto Naskh Arabic" w:eastAsia="Noto Naskh Arabic" w:hAnsi="Times New Roman"/>
          <w:sz w:val="26"/>
          <w:szCs w:val="26"/>
          <w:rtl/>
        </w:rPr>
        <w:t xml:space="preserve"> المعطى الذي يميّز التباعد الحقيقي من تباعد القياس هو سلسلة حصة الأعمال الجديدة من مؤلفين جدد، والسلسلة قابلة للبناء استرجاعياً، ويكفي لحسم السؤال ما بين ست سنوات وست وعشرين بحسب سرعة التراجع وضوضاء البيانات.</w:t>
      </w:r>
    </w:p>
    <w:p>
      <w:pPr>
        <w:pStyle w:val="Heading2"/>
        <w:bidi/>
        <w:jc w:val="right"/>
      </w:pPr>
      <w:r>
        <w:rPr>
          <w:rFonts w:ascii="Times New Roman" w:cs="Noto Naskh Arabic" w:eastAsia="Noto Naskh Arabic" w:hAnsi="Times New Roman"/>
          <w:b/>
          <w:bCs/>
          <w:color w:val="1F4E79"/>
          <w:sz w:val="28"/>
          <w:szCs w:val="28"/>
          <w:rtl/>
        </w:rPr>
        <w:t xml:space="preserve">١٢-٢ الإسهام</w:t>
      </w:r>
    </w:p>
    <w:p>
      <w:pPr>
        <w:bidi/>
        <w:spacing w:after="120" w:line="336"/>
        <w:jc w:val="both"/>
      </w:pPr>
      <w:r>
        <w:rPr>
          <w:rFonts w:ascii="Times New Roman" w:cs="Noto Naskh Arabic" w:eastAsia="Noto Naskh Arabic" w:hAnsi="Times New Roman"/>
          <w:sz w:val="26"/>
          <w:szCs w:val="26"/>
          <w:rtl/>
        </w:rPr>
        <w:t xml:space="preserve">تقدّم الورقة إسهاماً من ثلاثة مستويات، مع إعلان ما سبقها في كل منها. </w:t>
      </w:r>
      <w:r>
        <w:rPr>
          <w:rFonts w:ascii="Times New Roman" w:cs="Noto Naskh Arabic" w:eastAsia="Noto Naskh Arabic" w:hAnsi="Times New Roman"/>
          <w:b/>
          <w:bCs/>
          <w:sz w:val="26"/>
          <w:szCs w:val="26"/>
          <w:rtl/>
        </w:rPr>
        <w:t xml:space="preserve">مفاهيمياً</w:t>
      </w:r>
      <w:r>
        <w:rPr>
          <w:rFonts w:ascii="Times New Roman" w:cs="Noto Naskh Arabic" w:eastAsia="Noto Naskh Arabic" w:hAnsi="Times New Roman"/>
          <w:sz w:val="26"/>
          <w:szCs w:val="26"/>
          <w:rtl/>
        </w:rPr>
        <w:t xml:space="preserve">، تنقل سؤال القيمة من السلعة إلى النظام، وتطوّر مفهوم «الحيوية الثقافية» ببُعدي الاستقلال والتنوع الفاعل، وتصوغ فكرة «المزاحمة» المعروفة في الاقتصاد الثقافي صياغة ديناميكية استشرافية، وتقترح التمييز بين التباعد الحقيقي وتباعد القياس. </w:t>
      </w:r>
      <w:r>
        <w:rPr>
          <w:rFonts w:ascii="Times New Roman" w:cs="Noto Naskh Arabic" w:eastAsia="Noto Naskh Arabic" w:hAnsi="Times New Roman"/>
          <w:b/>
          <w:bCs/>
          <w:sz w:val="26"/>
          <w:szCs w:val="26"/>
          <w:rtl/>
        </w:rPr>
        <w:t xml:space="preserve">منهجياً</w:t>
      </w:r>
      <w:r>
        <w:rPr>
          <w:rFonts w:ascii="Times New Roman" w:cs="Noto Naskh Arabic" w:eastAsia="Noto Naskh Arabic" w:hAnsi="Times New Roman"/>
          <w:sz w:val="26"/>
          <w:szCs w:val="26"/>
          <w:rtl/>
        </w:rPr>
        <w:t xml:space="preserve">، تطبّق أدوات الاستشراف على حقل السياسة الثقافية بوصفه حقل سياسة لا سياقاً، وتختبر توقعاً استشرافياً ثقافياً قديماً على ما وقع، وتربط نموذجها بنظير رياضي مدروس. </w:t>
      </w:r>
      <w:r>
        <w:rPr>
          <w:rFonts w:ascii="Times New Roman" w:cs="Noto Naskh Arabic" w:eastAsia="Noto Naskh Arabic" w:hAnsi="Times New Roman"/>
          <w:b/>
          <w:bCs/>
          <w:sz w:val="26"/>
          <w:szCs w:val="26"/>
          <w:rtl/>
        </w:rPr>
        <w:t xml:space="preserve">تطبيقياً</w:t>
      </w:r>
      <w:r>
        <w:rPr>
          <w:rFonts w:ascii="Times New Roman" w:cs="Noto Naskh Arabic" w:eastAsia="Noto Naskh Arabic" w:hAnsi="Times New Roman"/>
          <w:sz w:val="26"/>
          <w:szCs w:val="26"/>
          <w:rtl/>
        </w:rPr>
        <w:t xml:space="preserve">، تحدد ثلاث سياسات متينة في السيناريوهات كلها، اثنتان منها سياسات رؤية، ومؤشراً فاصلاً قابلاً للبناء من بيانات موجودة.</w:t>
      </w:r>
    </w:p>
    <w:p>
      <w:pPr>
        <w:pStyle w:val="Heading2"/>
        <w:bidi/>
        <w:jc w:val="right"/>
      </w:pPr>
      <w:r>
        <w:rPr>
          <w:rFonts w:ascii="Times New Roman" w:cs="Noto Naskh Arabic" w:eastAsia="Noto Naskh Arabic" w:hAnsi="Times New Roman"/>
          <w:b/>
          <w:bCs/>
          <w:color w:val="1F4E79"/>
          <w:sz w:val="28"/>
          <w:szCs w:val="28"/>
          <w:rtl/>
        </w:rPr>
        <w:t xml:space="preserve">١٢-٣ الحدود</w:t>
      </w:r>
    </w:p>
    <w:p>
      <w:pPr>
        <w:bidi/>
        <w:spacing w:after="120" w:line="336"/>
        <w:jc w:val="both"/>
      </w:pPr>
      <w:r>
        <w:rPr>
          <w:rFonts w:ascii="Times New Roman" w:cs="Noto Naskh Arabic" w:eastAsia="Noto Naskh Arabic" w:hAnsi="Times New Roman"/>
          <w:sz w:val="26"/>
          <w:szCs w:val="26"/>
          <w:rtl/>
        </w:rPr>
        <w:t xml:space="preserve">تبقى للورقة ستة حدود لا تخفيها. فهي تعتمد أدلة ثانوية دون عمل ميداني. ومراجعتها استرجاع نطاقي منظم من مصادر مفتوحة، لا مراجعة نطاقية مكتملة. ودرجات مصفوفة التأثير المتبادل واختبار المتانة حكمٌ للباحث، ومحورا السيناريو يطابقان مخططاً سابقاً للباحث نفسه، فلا يُعدّان تأكيداً مستقلاً. والنموذج يحمل في معادلته الافتراض الذي يختبره، ومعاملاته غير معايَرة. والمقارنة الدولية تقوم على ثلاث حالات بترميز مرمّز واحد. والدليل التجريبي الأقوى على العلاقة بين العائد والتنوع يأتي من منصة واحدة في مجال واحد.</w:t>
      </w:r>
    </w:p>
    <w:p>
      <w:pPr>
        <w:bidi/>
        <w:spacing w:after="120" w:line="336"/>
        <w:jc w:val="both"/>
      </w:pPr>
      <w:r>
        <w:rPr>
          <w:rFonts w:ascii="Times New Roman" w:cs="Noto Naskh Arabic" w:eastAsia="Noto Naskh Arabic" w:hAnsi="Times New Roman"/>
          <w:sz w:val="26"/>
          <w:szCs w:val="26"/>
          <w:rtl/>
        </w:rPr>
        <w:t xml:space="preserve">ومن حدودها أيضاً أثر موقع الباحث. فالباحث صاحب عمل سابق في استشراف الثقافة تضمن سيناريو يُخفي فيه النجاح الظاهري تآكلاً داخلياً، والميل إلى العثور على الفجوة نفسها مرة أخرى طبيعي. ولهذا صيغت الفرضية ف٢ صيغة وجودية ضعيفة، وأُدرج الدليل المضاد في صلب التحليل لا في هامشه، ونُشرت في المتن تعديلات الفرضيات التي نقضتها المحاكاة.</w:t>
      </w:r>
    </w:p>
    <w:p>
      <w:pPr>
        <w:pStyle w:val="Heading2"/>
        <w:bidi/>
        <w:jc w:val="right"/>
      </w:pPr>
      <w:r>
        <w:rPr>
          <w:rFonts w:ascii="Times New Roman" w:cs="Noto Naskh Arabic" w:eastAsia="Noto Naskh Arabic" w:hAnsi="Times New Roman"/>
          <w:b/>
          <w:bCs/>
          <w:color w:val="1F4E79"/>
          <w:sz w:val="28"/>
          <w:szCs w:val="28"/>
          <w:rtl/>
        </w:rPr>
        <w:t xml:space="preserve">١٢-٤ أجندة البحث</w:t>
      </w:r>
    </w:p>
    <w:p>
      <w:pPr>
        <w:bidi/>
        <w:spacing w:after="120" w:line="336"/>
        <w:jc w:val="both"/>
      </w:pPr>
      <w:r>
        <w:rPr>
          <w:rFonts w:ascii="Times New Roman" w:cs="Noto Naskh Arabic" w:eastAsia="Noto Naskh Arabic" w:hAnsi="Times New Roman"/>
          <w:sz w:val="26"/>
          <w:szCs w:val="26"/>
          <w:rtl/>
        </w:rPr>
        <w:t xml:space="preserve">تحدد الورقة خمسة أعمال لاحقة، مرتبة بحسب قربها من التنفيذ:</w:t>
      </w:r>
    </w:p>
    <w:p>
      <w:pPr>
        <w:pStyle w:val="ListParagraph"/>
        <w:numPr>
          <w:ilvl w:val="0"/>
          <w:numId w:val="6"/>
        </w:numPr>
        <w:bidi/>
        <w:spacing w:after="80" w:line="336"/>
        <w:jc w:val="both"/>
      </w:pPr>
      <w:r>
        <w:rPr>
          <w:rFonts w:ascii="Times New Roman" w:cs="Noto Naskh Arabic" w:eastAsia="Noto Naskh Arabic" w:hAnsi="Times New Roman"/>
          <w:b/>
          <w:bCs/>
          <w:sz w:val="26"/>
          <w:szCs w:val="26"/>
          <w:rtl/>
        </w:rPr>
        <w:t xml:space="preserve">بناء السلسلة الاسترجاعية لحصة المؤلفين الجدد</w:t>
      </w:r>
      <w:r>
        <w:rPr>
          <w:rFonts w:ascii="Times New Roman" w:cs="Noto Naskh Arabic" w:eastAsia="Noto Naskh Arabic" w:hAnsi="Times New Roman"/>
          <w:sz w:val="26"/>
          <w:szCs w:val="26"/>
          <w:rtl/>
        </w:rPr>
        <w:t xml:space="preserve"> في دولة واحدة على الأقل، وهو أقرب الأعمال إلى التنفيذ وأشدها أثراً في حسم السؤال المركزي.</w:t>
      </w:r>
    </w:p>
    <w:p>
      <w:pPr>
        <w:pStyle w:val="ListParagraph"/>
        <w:numPr>
          <w:ilvl w:val="0"/>
          <w:numId w:val="6"/>
        </w:numPr>
        <w:bidi/>
        <w:spacing w:after="80" w:line="336"/>
        <w:jc w:val="both"/>
      </w:pPr>
      <w:r>
        <w:rPr>
          <w:rFonts w:ascii="Times New Roman" w:cs="Noto Naskh Arabic" w:eastAsia="Noto Naskh Arabic" w:hAnsi="Times New Roman"/>
          <w:b/>
          <w:bCs/>
          <w:sz w:val="26"/>
          <w:szCs w:val="26"/>
          <w:rtl/>
        </w:rPr>
        <w:t xml:space="preserve">عرض مصفوفة التأثير المتبادل على ثلاثة خبراء مستقلين على الأقل</w:t>
      </w:r>
      <w:r>
        <w:rPr>
          <w:rFonts w:ascii="Times New Roman" w:cs="Noto Naskh Arabic" w:eastAsia="Noto Naskh Arabic" w:hAnsi="Times New Roman"/>
          <w:sz w:val="26"/>
          <w:szCs w:val="26"/>
          <w:rtl/>
        </w:rPr>
        <w:t xml:space="preserve">، لحسم استقلال محوري السيناريو عن حكم الباحث.</w:t>
      </w:r>
    </w:p>
    <w:p>
      <w:pPr>
        <w:pStyle w:val="ListParagraph"/>
        <w:numPr>
          <w:ilvl w:val="0"/>
          <w:numId w:val="6"/>
        </w:numPr>
        <w:bidi/>
        <w:spacing w:after="80" w:line="336"/>
        <w:jc w:val="both"/>
      </w:pPr>
      <w:r>
        <w:rPr>
          <w:rFonts w:ascii="Times New Roman" w:cs="Noto Naskh Arabic" w:eastAsia="Noto Naskh Arabic" w:hAnsi="Times New Roman"/>
          <w:b/>
          <w:bCs/>
          <w:sz w:val="26"/>
          <w:szCs w:val="26"/>
          <w:rtl/>
        </w:rPr>
        <w:t xml:space="preserve">توسيع تحليل الوثائق الاستراتيجية</w:t>
      </w:r>
      <w:r>
        <w:rPr>
          <w:rFonts w:ascii="Times New Roman" w:cs="Noto Naskh Arabic" w:eastAsia="Noto Naskh Arabic" w:hAnsi="Times New Roman"/>
          <w:sz w:val="26"/>
          <w:szCs w:val="26"/>
          <w:rtl/>
        </w:rPr>
        <w:t xml:space="preserve"> إلى عينة أكبر بمرمِّزَين مستقلين، لتحويل المحور (ب) إلى مؤشر قابل للتتبع.</w:t>
      </w:r>
    </w:p>
    <w:p>
      <w:pPr>
        <w:pStyle w:val="ListParagraph"/>
        <w:numPr>
          <w:ilvl w:val="0"/>
          <w:numId w:val="6"/>
        </w:numPr>
        <w:bidi/>
        <w:spacing w:after="80" w:line="336"/>
        <w:jc w:val="both"/>
      </w:pPr>
      <w:r>
        <w:rPr>
          <w:rFonts w:ascii="Times New Roman" w:cs="Noto Naskh Arabic" w:eastAsia="Noto Naskh Arabic" w:hAnsi="Times New Roman"/>
          <w:b/>
          <w:bCs/>
          <w:sz w:val="26"/>
          <w:szCs w:val="26"/>
          <w:rtl/>
        </w:rPr>
        <w:t xml:space="preserve">اختبار دليل التنوع والعائد على منصات أخرى</w:t>
      </w:r>
      <w:r>
        <w:rPr>
          <w:rFonts w:ascii="Times New Roman" w:cs="Noto Naskh Arabic" w:eastAsia="Noto Naskh Arabic" w:hAnsi="Times New Roman"/>
          <w:sz w:val="26"/>
          <w:szCs w:val="26"/>
          <w:rtl/>
        </w:rPr>
        <w:t xml:space="preserve"> وفي المحتوى العربي تحديداً، إذ لم تجد الورقة دراسة عن تنوع الاستهلاك في المحتوى الثقافي العربي على المنصات.</w:t>
      </w:r>
    </w:p>
    <w:p>
      <w:pPr>
        <w:pStyle w:val="ListParagraph"/>
        <w:numPr>
          <w:ilvl w:val="0"/>
          <w:numId w:val="6"/>
        </w:numPr>
        <w:bidi/>
        <w:spacing w:after="80" w:line="336"/>
        <w:jc w:val="both"/>
      </w:pPr>
      <w:r>
        <w:rPr>
          <w:rFonts w:ascii="Times New Roman" w:cs="Noto Naskh Arabic" w:eastAsia="Noto Naskh Arabic" w:hAnsi="Times New Roman"/>
          <w:b/>
          <w:bCs/>
          <w:sz w:val="26"/>
          <w:szCs w:val="26"/>
          <w:rtl/>
        </w:rPr>
        <w:t xml:space="preserve">معايرة النموذج وتوسيعه</w:t>
      </w:r>
      <w:r>
        <w:rPr>
          <w:rFonts w:ascii="Times New Roman" w:cs="Noto Naskh Arabic" w:eastAsia="Noto Naskh Arabic" w:hAnsi="Times New Roman"/>
          <w:sz w:val="26"/>
          <w:szCs w:val="26"/>
          <w:rtl/>
        </w:rPr>
        <w:t xml:space="preserve"> حين تتوفر السلسلة الاسترجاعية، لتقدير موقع العتبة في نظام فعلي، وإدخال قناة يرتد بها تآكل القدرة الفكرية على العائد الاقتصادي.</w:t>
      </w:r>
    </w:p>
    <w:p>
      <w:pPr>
        <w:pStyle w:val="Heading2"/>
        <w:bidi/>
        <w:jc w:val="right"/>
      </w:pPr>
      <w:r>
        <w:rPr>
          <w:rFonts w:ascii="Times New Roman" w:cs="Noto Naskh Arabic" w:eastAsia="Noto Naskh Arabic" w:hAnsi="Times New Roman"/>
          <w:b/>
          <w:bCs/>
          <w:color w:val="1F4E79"/>
          <w:sz w:val="28"/>
          <w:szCs w:val="28"/>
          <w:rtl/>
        </w:rPr>
        <w:t xml:space="preserve">١٢-٥ خاتمة</w:t>
      </w:r>
    </w:p>
    <w:p>
      <w:pPr>
        <w:bidi/>
        <w:spacing w:after="120" w:line="336"/>
        <w:jc w:val="both"/>
      </w:pPr>
      <w:r>
        <w:rPr>
          <w:rFonts w:ascii="Times New Roman" w:cs="Noto Naskh Arabic" w:eastAsia="Noto Naskh Arabic" w:hAnsi="Times New Roman"/>
          <w:sz w:val="26"/>
          <w:szCs w:val="26"/>
          <w:rtl/>
        </w:rPr>
        <w:t xml:space="preserve">بدأت الورقة من مفارقة: سياسة تُبرَّر بما تصنعه الثقافة، وتُقاس بما تدرّه. وانتهت إلى أن هذه المفارقة ليست قدراً، ولا هي بالضرورة دليل على أن السوق يأكل المعنى. فقد يتلازم العائد والتنوع حين تُحسَّن الوساطة لأفق بعيد، وقد يكون ما يبدو تراجعاً في القيمة الفكرية غياباً لها عن الجدول لا عن الواقع. لكن هذين الاحتمالين المطمئنين لا يُعرفان إلا بالقياس. وما دامت السياسة الثقافية ترى العائد بأحد عشر مؤشراً ولا ترى القدرة بمؤشر واحد، فإنها لا تملك أن تعرف أي الاحتمالين تعيش فيه.</w:t>
      </w:r>
    </w:p>
    <w:p>
      <w:pPr>
        <w:bidi/>
        <w:spacing w:after="120" w:line="336"/>
        <w:jc w:val="both"/>
      </w:pPr>
      <w:r>
        <w:rPr>
          <w:rFonts w:ascii="Times New Roman" w:cs="Noto Naskh Arabic" w:eastAsia="Noto Naskh Arabic" w:hAnsi="Times New Roman"/>
          <w:sz w:val="26"/>
          <w:szCs w:val="26"/>
          <w:rtl/>
        </w:rPr>
        <w:t xml:space="preserve">ولذلك فإن أول ما تقترحه الورقة أن تبدأ السياسة الثقافية بإصلاح ما تقيسه، قبل أن تزيد ما تنفقه أو تغيّر ما تنظّمه.</w:t>
      </w:r>
    </w:p>
    <w:p>
      <w:r>
        <w:br w:type="page"/>
      </w:r>
    </w:p>
    <w:p>
      <w:pPr>
        <w:pStyle w:val="Heading1"/>
        <w:bidi/>
        <w:jc w:val="right"/>
      </w:pPr>
      <w:r>
        <w:rPr>
          <w:rFonts w:ascii="Times New Roman" w:cs="Noto Naskh Arabic" w:eastAsia="Noto Naskh Arabic" w:hAnsi="Times New Roman"/>
          <w:b/>
          <w:bCs/>
          <w:color w:val="1F4E79"/>
          <w:sz w:val="34"/>
          <w:szCs w:val="34"/>
          <w:rtl/>
        </w:rPr>
        <w:t xml:space="preserve">المراجع</w:t>
      </w:r>
    </w:p>
    <w:p>
      <w:pPr>
        <w:pStyle w:val="Heading2"/>
        <w:bidi/>
        <w:jc w:val="right"/>
      </w:pPr>
      <w:r>
        <w:rPr>
          <w:rFonts w:ascii="Times New Roman" w:cs="Noto Naskh Arabic" w:eastAsia="Noto Naskh Arabic" w:hAnsi="Times New Roman"/>
          <w:b/>
          <w:bCs/>
          <w:color w:val="1F4E79"/>
          <w:sz w:val="28"/>
          <w:szCs w:val="28"/>
          <w:rtl/>
        </w:rPr>
        <w:t xml:space="preserve">أولاً: المراجع العربية</w:t>
      </w:r>
    </w:p>
    <w:p>
      <w:pPr>
        <w:bidi/>
        <w:spacing w:after="120" w:line="276"/>
        <w:ind w:left="567" w:hanging="567"/>
        <w:jc w:val="right"/>
      </w:pPr>
      <w:r>
        <w:rPr>
          <w:rFonts w:ascii="Times New Roman" w:cs="Noto Naskh Arabic" w:eastAsia="Noto Naskh Arabic" w:hAnsi="Times New Roman"/>
          <w:sz w:val="22"/>
          <w:szCs w:val="22"/>
          <w:rtl/>
        </w:rPr>
        <w:t xml:space="preserve">استشراف. (د.ت.). </w:t>
      </w:r>
      <w:r>
        <w:rPr>
          <w:rFonts w:ascii="Times New Roman" w:cs="Noto Naskh Arabic" w:eastAsia="Noto Naskh Arabic" w:hAnsi="Times New Roman"/>
          <w:i w:val="false"/>
          <w:sz w:val="22"/>
          <w:szCs w:val="22"/>
          <w:rtl/>
        </w:rPr>
        <w:t xml:space="preserve">عن المجلة</w:t>
      </w:r>
      <w:r>
        <w:rPr>
          <w:rFonts w:ascii="Times New Roman" w:cs="Noto Naskh Arabic" w:eastAsia="Noto Naskh Arabic" w:hAnsi="Times New Roman"/>
          <w:sz w:val="22"/>
          <w:szCs w:val="22"/>
          <w:rtl/>
        </w:rPr>
        <w:t xml:space="preserve">. المركز العربي للأبحاث ودراسة السياسات. </w:t>
      </w:r>
      <w:r>
        <w:rPr>
          <w:rFonts w:ascii="Times New Roman" w:cs="Noto Naskh Arabic" w:eastAsia="Noto Naskh Arabic" w:hAnsi="Times New Roman"/>
          <w:sz w:val="22"/>
          <w:szCs w:val="22"/>
          <w:rtl w:val="false"/>
        </w:rPr>
        <w:t xml:space="preserve">https://istishraf.dohainstitute.org/ar/Pages/AboutUs.aspx</w:t>
      </w:r>
    </w:p>
    <w:p>
      <w:pPr>
        <w:bidi/>
        <w:spacing w:after="120" w:line="276"/>
        <w:ind w:left="567" w:hanging="567"/>
        <w:jc w:val="right"/>
      </w:pPr>
      <w:r>
        <w:rPr>
          <w:rFonts w:ascii="Times New Roman" w:cs="Noto Naskh Arabic" w:eastAsia="Noto Naskh Arabic" w:hAnsi="Times New Roman"/>
          <w:sz w:val="22"/>
          <w:szCs w:val="22"/>
          <w:rtl/>
        </w:rPr>
        <w:t xml:space="preserve">حكومة دولة الإمارات. (د.ت.). </w:t>
      </w:r>
      <w:r>
        <w:rPr>
          <w:rFonts w:ascii="Times New Roman" w:cs="Noto Naskh Arabic" w:eastAsia="Noto Naskh Arabic" w:hAnsi="Times New Roman"/>
          <w:i w:val="false"/>
          <w:sz w:val="22"/>
          <w:szCs w:val="22"/>
          <w:rtl/>
        </w:rPr>
        <w:t xml:space="preserve">الاستراتيجية الوطنية للصناعات الثقافية والإبداعية</w:t>
      </w:r>
      <w:r>
        <w:rPr>
          <w:rFonts w:ascii="Times New Roman" w:cs="Noto Naskh Arabic" w:eastAsia="Noto Naskh Arabic" w:hAnsi="Times New Roman"/>
          <w:sz w:val="22"/>
          <w:szCs w:val="22"/>
          <w:rtl/>
        </w:rPr>
        <w:t xml:space="preserve">. البوابة الرسمية لحكومة دولة الإمارات. </w:t>
      </w:r>
      <w:r>
        <w:rPr>
          <w:rFonts w:ascii="Times New Roman" w:cs="Noto Naskh Arabic" w:eastAsia="Noto Naskh Arabic" w:hAnsi="Times New Roman"/>
          <w:sz w:val="22"/>
          <w:szCs w:val="22"/>
          <w:rtl w:val="false"/>
        </w:rPr>
        <w:t xml:space="preserve">https://u.ae/en/about-the-uae/strategies-initiatives-and-awards/strategies-plans-and-visions/finance-and-economy/national-strategy-for-the-cultural-and-creative-industries</w:t>
      </w:r>
    </w:p>
    <w:p>
      <w:pPr>
        <w:bidi/>
        <w:spacing w:after="120" w:line="276"/>
        <w:ind w:left="567" w:hanging="567"/>
        <w:jc w:val="right"/>
      </w:pPr>
      <w:r>
        <w:rPr>
          <w:rFonts w:ascii="Times New Roman" w:cs="Noto Naskh Arabic" w:eastAsia="Noto Naskh Arabic" w:hAnsi="Times New Roman"/>
          <w:sz w:val="22"/>
          <w:szCs w:val="22"/>
          <w:rtl/>
        </w:rPr>
        <w:t xml:space="preserve">الطويل، ناصر محمد علي. (٢٠١٦). تأثير الأبعاد المنهجية على الحصيلة العلمية والمجتمعية للدراسات المستقبلية العربية. </w:t>
      </w:r>
      <w:r>
        <w:rPr>
          <w:rFonts w:ascii="Times New Roman" w:cs="Noto Naskh Arabic" w:eastAsia="Noto Naskh Arabic" w:hAnsi="Times New Roman"/>
          <w:i w:val="false"/>
          <w:sz w:val="22"/>
          <w:szCs w:val="22"/>
          <w:rtl/>
        </w:rPr>
        <w:t xml:space="preserve">استشراف للدراسات المستقبلية</w:t>
      </w:r>
      <w:r>
        <w:rPr>
          <w:rFonts w:ascii="Times New Roman" w:cs="Noto Naskh Arabic" w:eastAsia="Noto Naskh Arabic" w:hAnsi="Times New Roman"/>
          <w:sz w:val="22"/>
          <w:szCs w:val="22"/>
          <w:rtl/>
        </w:rPr>
        <w:t xml:space="preserve">، (١). </w:t>
      </w:r>
      <w:r>
        <w:rPr>
          <w:rFonts w:ascii="Times New Roman" w:cs="Noto Naskh Arabic" w:eastAsia="Noto Naskh Arabic" w:hAnsi="Times New Roman"/>
          <w:sz w:val="22"/>
          <w:szCs w:val="22"/>
          <w:rtl w:val="false"/>
        </w:rPr>
        <w:t xml:space="preserve">https://istishraf.dohainstitute.org/ar/issue001/Pages/IssueHome.aspx</w:t>
      </w:r>
    </w:p>
    <w:p>
      <w:pPr>
        <w:bidi/>
        <w:spacing w:after="120" w:line="276"/>
        <w:ind w:left="567" w:hanging="567"/>
        <w:jc w:val="right"/>
      </w:pPr>
      <w:r>
        <w:rPr>
          <w:rFonts w:ascii="Times New Roman" w:cs="Noto Naskh Arabic" w:eastAsia="Noto Naskh Arabic" w:hAnsi="Times New Roman"/>
          <w:sz w:val="22"/>
          <w:szCs w:val="22"/>
          <w:rtl/>
        </w:rPr>
        <w:t xml:space="preserve">علاوة، فوزي. (٢٠١٦). مساهمة في صياغة مفهوم الصناعات الثقافية. </w:t>
      </w:r>
      <w:r>
        <w:rPr>
          <w:rFonts w:ascii="Times New Roman" w:cs="Noto Naskh Arabic" w:eastAsia="Noto Naskh Arabic" w:hAnsi="Times New Roman"/>
          <w:i w:val="false"/>
          <w:sz w:val="22"/>
          <w:szCs w:val="22"/>
          <w:rtl/>
        </w:rPr>
        <w:t xml:space="preserve">مجلة الدراسات والبحوث الاجتماعية</w:t>
      </w:r>
      <w:r>
        <w:rPr>
          <w:rFonts w:ascii="Times New Roman" w:cs="Noto Naskh Arabic" w:eastAsia="Noto Naskh Arabic" w:hAnsi="Times New Roman"/>
          <w:sz w:val="22"/>
          <w:szCs w:val="22"/>
          <w:rtl/>
        </w:rPr>
        <w:t xml:space="preserve">، (١٧)، ٢٠٣–٢١٦. </w:t>
      </w:r>
      <w:r>
        <w:rPr>
          <w:rFonts w:ascii="Times New Roman" w:cs="Noto Naskh Arabic" w:eastAsia="Noto Naskh Arabic" w:hAnsi="Times New Roman"/>
          <w:sz w:val="22"/>
          <w:szCs w:val="22"/>
          <w:rtl w:val="false"/>
        </w:rPr>
        <w:t xml:space="preserve">https://search.emarefa.net/detail/BIM-850512</w:t>
      </w:r>
    </w:p>
    <w:p>
      <w:pPr>
        <w:bidi/>
        <w:spacing w:after="120" w:line="276"/>
        <w:ind w:left="567" w:hanging="567"/>
        <w:jc w:val="right"/>
      </w:pPr>
      <w:r>
        <w:rPr>
          <w:rFonts w:ascii="Times New Roman" w:cs="Noto Naskh Arabic" w:eastAsia="Noto Naskh Arabic" w:hAnsi="Times New Roman"/>
          <w:sz w:val="22"/>
          <w:szCs w:val="22"/>
          <w:rtl/>
        </w:rPr>
        <w:t xml:space="preserve">الكيلاني، شمس الدين. (٢٠١٦). مشروع استشراف «مستقبل الأمة العربية»: بين استشراف المستقبل والتطلّع الأيديولوجي. </w:t>
      </w:r>
      <w:r>
        <w:rPr>
          <w:rFonts w:ascii="Times New Roman" w:cs="Noto Naskh Arabic" w:eastAsia="Noto Naskh Arabic" w:hAnsi="Times New Roman"/>
          <w:i w:val="false"/>
          <w:sz w:val="22"/>
          <w:szCs w:val="22"/>
          <w:rtl/>
        </w:rPr>
        <w:t xml:space="preserve">استشراف للدراسات المستقبلية</w:t>
      </w:r>
      <w:r>
        <w:rPr>
          <w:rFonts w:ascii="Times New Roman" w:cs="Noto Naskh Arabic" w:eastAsia="Noto Naskh Arabic" w:hAnsi="Times New Roman"/>
          <w:sz w:val="22"/>
          <w:szCs w:val="22"/>
          <w:rtl/>
        </w:rPr>
        <w:t xml:space="preserve">، (١)، ١٩٣–. </w:t>
      </w:r>
      <w:r>
        <w:rPr>
          <w:rFonts w:ascii="Times New Roman" w:cs="Noto Naskh Arabic" w:eastAsia="Noto Naskh Arabic" w:hAnsi="Times New Roman"/>
          <w:sz w:val="22"/>
          <w:szCs w:val="22"/>
          <w:rtl w:val="false"/>
        </w:rPr>
        <w:t xml:space="preserve">https://ojs.acrps.ai/index.php/istishraf/en/article/download/issue001-art08/14862/7137</w:t>
      </w:r>
    </w:p>
    <w:p>
      <w:pPr>
        <w:bidi/>
        <w:spacing w:after="120" w:line="276"/>
        <w:ind w:left="567" w:hanging="567"/>
        <w:jc w:val="right"/>
      </w:pPr>
      <w:r>
        <w:rPr>
          <w:rFonts w:ascii="Times New Roman" w:cs="Noto Naskh Arabic" w:eastAsia="Noto Naskh Arabic" w:hAnsi="Times New Roman"/>
          <w:sz w:val="22"/>
          <w:szCs w:val="22"/>
          <w:rtl/>
        </w:rPr>
        <w:t xml:space="preserve">المركز العربي للأبحاث ودراسة السياسات. (٢٠١٦). </w:t>
      </w:r>
      <w:r>
        <w:rPr>
          <w:rFonts w:ascii="Times New Roman" w:cs="Noto Naskh Arabic" w:eastAsia="Noto Naskh Arabic" w:hAnsi="Times New Roman"/>
          <w:i w:val="false"/>
          <w:sz w:val="22"/>
          <w:szCs w:val="22"/>
          <w:rtl/>
        </w:rPr>
        <w:t xml:space="preserve">المركز العربي يُصدر العدد الأول من الكتاب السنوي «استشراف» للدراسات المستقبلية</w:t>
      </w:r>
      <w:r>
        <w:rPr>
          <w:rFonts w:ascii="Times New Roman" w:cs="Noto Naskh Arabic" w:eastAsia="Noto Naskh Arabic" w:hAnsi="Times New Roman"/>
          <w:sz w:val="22"/>
          <w:szCs w:val="22"/>
          <w:rtl/>
        </w:rPr>
        <w:t xml:space="preserve"> [خبر صحفي]. </w:t>
      </w:r>
      <w:r>
        <w:rPr>
          <w:rFonts w:ascii="Times New Roman" w:cs="Noto Naskh Arabic" w:eastAsia="Noto Naskh Arabic" w:hAnsi="Times New Roman"/>
          <w:sz w:val="22"/>
          <w:szCs w:val="22"/>
          <w:rtl w:val="false"/>
        </w:rPr>
        <w:t xml:space="preserve">https://www.dohainstitute.org/ar/News/Pages/art665.aspx</w:t>
      </w:r>
    </w:p>
    <w:p>
      <w:pPr>
        <w:bidi/>
        <w:spacing w:after="120" w:line="276"/>
        <w:ind w:left="567" w:hanging="567"/>
        <w:jc w:val="right"/>
      </w:pPr>
      <w:r>
        <w:rPr>
          <w:rFonts w:ascii="Times New Roman" w:cs="Noto Naskh Arabic" w:eastAsia="Noto Naskh Arabic" w:hAnsi="Times New Roman"/>
          <w:sz w:val="22"/>
          <w:szCs w:val="22"/>
          <w:rtl/>
        </w:rPr>
        <w:t xml:space="preserve">وزارة الثقافة السعودية. (د.ت.). </w:t>
      </w:r>
      <w:r>
        <w:rPr>
          <w:rFonts w:ascii="Times New Roman" w:cs="Noto Naskh Arabic" w:eastAsia="Noto Naskh Arabic" w:hAnsi="Times New Roman"/>
          <w:i w:val="false"/>
          <w:sz w:val="22"/>
          <w:szCs w:val="22"/>
          <w:rtl/>
        </w:rPr>
        <w:t xml:space="preserve">مختبر السياسات الثقافية</w:t>
      </w:r>
      <w:r>
        <w:rPr>
          <w:rFonts w:ascii="Times New Roman" w:cs="Noto Naskh Arabic" w:eastAsia="Noto Naskh Arabic" w:hAnsi="Times New Roman"/>
          <w:sz w:val="22"/>
          <w:szCs w:val="22"/>
          <w:rtl/>
        </w:rPr>
        <w:t xml:space="preserve">. </w:t>
      </w:r>
      <w:r>
        <w:rPr>
          <w:rFonts w:ascii="Times New Roman" w:cs="Noto Naskh Arabic" w:eastAsia="Noto Naskh Arabic" w:hAnsi="Times New Roman"/>
          <w:sz w:val="22"/>
          <w:szCs w:val="22"/>
          <w:rtl w:val="false"/>
        </w:rPr>
        <w:t xml:space="preserve">https://engage.moc.gov.sa/cpl</w:t>
      </w:r>
      <w:r>
        <w:rPr>
          <w:rFonts w:ascii="Times New Roman" w:cs="Noto Naskh Arabic" w:eastAsia="Noto Naskh Arabic" w:hAnsi="Times New Roman"/>
          <w:sz w:val="22"/>
          <w:szCs w:val="22"/>
          <w:rtl/>
        </w:rPr>
        <w:t xml:space="preserve">/</w:t>
      </w:r>
    </w:p>
    <w:p>
      <w:pPr>
        <w:pStyle w:val="Heading2"/>
        <w:bidi/>
        <w:jc w:val="right"/>
      </w:pPr>
      <w:r>
        <w:rPr>
          <w:rFonts w:ascii="Times New Roman" w:cs="Noto Naskh Arabic" w:eastAsia="Noto Naskh Arabic" w:hAnsi="Times New Roman"/>
          <w:b/>
          <w:bCs/>
          <w:color w:val="1F4E79"/>
          <w:sz w:val="28"/>
          <w:szCs w:val="28"/>
          <w:rtl/>
        </w:rPr>
        <w:t xml:space="preserve">ثانياً: المراجع الأجنبية</w:t>
      </w:r>
    </w:p>
    <w:p>
      <w:pPr>
        <w:bidi w:val="false"/>
        <w:spacing w:after="120" w:line="276"/>
        <w:ind w:left="567" w:hanging="567"/>
        <w:jc w:val="left"/>
      </w:pPr>
      <w:r>
        <w:rPr>
          <w:rFonts w:ascii="Times New Roman" w:cs="Noto Naskh Arabic" w:eastAsia="Noto Naskh Arabic" w:hAnsi="Times New Roman"/>
          <w:sz w:val="22"/>
          <w:szCs w:val="22"/>
          <w:rtl w:val="false"/>
        </w:rPr>
        <w:t xml:space="preserve">Andersen, P. D., &amp; Rasmussen, L. B. (2014). The impact of national traditions and cultures on national foresight processes. </w:t>
      </w:r>
      <w:r>
        <w:rPr>
          <w:rFonts w:ascii="Times New Roman" w:cs="Noto Naskh Arabic" w:eastAsia="Noto Naskh Arabic" w:hAnsi="Times New Roman"/>
          <w:i/>
          <w:sz w:val="22"/>
          <w:szCs w:val="22"/>
          <w:rtl w:val="false"/>
        </w:rPr>
        <w:t xml:space="preserve">Futures, 59</w:t>
      </w:r>
      <w:r>
        <w:rPr>
          <w:rFonts w:ascii="Times New Roman" w:cs="Noto Naskh Arabic" w:eastAsia="Noto Naskh Arabic" w:hAnsi="Times New Roman"/>
          <w:sz w:val="22"/>
          <w:szCs w:val="22"/>
          <w:rtl w:val="false"/>
        </w:rPr>
        <w:t xml:space="preserve">, 5–17. https://doi.org/10.1016/j.futures.2014.01.013</w:t>
      </w:r>
    </w:p>
    <w:p>
      <w:pPr>
        <w:bidi w:val="false"/>
        <w:spacing w:after="120" w:line="276"/>
        <w:ind w:left="567" w:hanging="567"/>
        <w:jc w:val="left"/>
      </w:pPr>
      <w:r>
        <w:rPr>
          <w:rFonts w:ascii="Times New Roman" w:cs="Noto Naskh Arabic" w:eastAsia="Noto Naskh Arabic" w:hAnsi="Times New Roman"/>
          <w:sz w:val="22"/>
          <w:szCs w:val="22"/>
          <w:rtl w:val="false"/>
        </w:rPr>
        <w:t xml:space="preserve">Anderson, A., Maystre, L., Anderson, I., Mehrotra, R., &amp; Lalmas, M. (2020). Algorithmic effects on the diversity of consumption on Spotify. In </w:t>
      </w:r>
      <w:r>
        <w:rPr>
          <w:rFonts w:ascii="Times New Roman" w:cs="Noto Naskh Arabic" w:eastAsia="Noto Naskh Arabic" w:hAnsi="Times New Roman"/>
          <w:i/>
          <w:sz w:val="22"/>
          <w:szCs w:val="22"/>
          <w:rtl w:val="false"/>
        </w:rPr>
        <w:t xml:space="preserve">Proceedings of The Web Conference 2020 (WWW '20)</w:t>
      </w:r>
      <w:r>
        <w:rPr>
          <w:rFonts w:ascii="Times New Roman" w:cs="Noto Naskh Arabic" w:eastAsia="Noto Naskh Arabic" w:hAnsi="Times New Roman"/>
          <w:sz w:val="22"/>
          <w:szCs w:val="22"/>
          <w:rtl w:val="false"/>
        </w:rPr>
        <w:t xml:space="preserve"> (pp. 2155–2165). Association for Computing Machinery. https://doi.org/10.1145/3366423.3380281</w:t>
      </w:r>
    </w:p>
    <w:p>
      <w:pPr>
        <w:bidi w:val="false"/>
        <w:spacing w:after="120" w:line="276"/>
        <w:ind w:left="567" w:hanging="567"/>
        <w:jc w:val="left"/>
      </w:pPr>
      <w:r>
        <w:rPr>
          <w:rFonts w:ascii="Times New Roman" w:cs="Noto Naskh Arabic" w:eastAsia="Noto Naskh Arabic" w:hAnsi="Times New Roman"/>
          <w:sz w:val="22"/>
          <w:szCs w:val="22"/>
          <w:rtl w:val="false"/>
        </w:rPr>
        <w:t xml:space="preserve">Belfiore, E. (2012). "Defensive instrumentalism" and the legacy of New Labour's cultural policies. </w:t>
      </w:r>
      <w:r>
        <w:rPr>
          <w:rFonts w:ascii="Times New Roman" w:cs="Noto Naskh Arabic" w:eastAsia="Noto Naskh Arabic" w:hAnsi="Times New Roman"/>
          <w:i/>
          <w:sz w:val="22"/>
          <w:szCs w:val="22"/>
          <w:rtl w:val="false"/>
        </w:rPr>
        <w:t xml:space="preserve">Cultural Trends, 21</w:t>
      </w:r>
      <w:r>
        <w:rPr>
          <w:rFonts w:ascii="Times New Roman" w:cs="Noto Naskh Arabic" w:eastAsia="Noto Naskh Arabic" w:hAnsi="Times New Roman"/>
          <w:sz w:val="22"/>
          <w:szCs w:val="22"/>
          <w:rtl w:val="false"/>
        </w:rPr>
        <w:t xml:space="preserve">(2), 103–111. https://doi.org/10.1080/09548963.2012.674750</w:t>
      </w:r>
    </w:p>
    <w:p>
      <w:pPr>
        <w:bidi w:val="false"/>
        <w:spacing w:after="120" w:line="276"/>
        <w:ind w:left="567" w:hanging="567"/>
        <w:jc w:val="left"/>
      </w:pPr>
      <w:r>
        <w:rPr>
          <w:rFonts w:ascii="Times New Roman" w:cs="Noto Naskh Arabic" w:eastAsia="Noto Naskh Arabic" w:hAnsi="Times New Roman"/>
          <w:sz w:val="22"/>
          <w:szCs w:val="22"/>
          <w:rtl w:val="false"/>
        </w:rPr>
        <w:t xml:space="preserve">Bennett, O. (1995). Cultural policy in the United Kingdom: Collapsing rationales and the end of a tradition. </w:t>
      </w:r>
      <w:r>
        <w:rPr>
          <w:rFonts w:ascii="Times New Roman" w:cs="Noto Naskh Arabic" w:eastAsia="Noto Naskh Arabic" w:hAnsi="Times New Roman"/>
          <w:i/>
          <w:sz w:val="22"/>
          <w:szCs w:val="22"/>
          <w:rtl w:val="false"/>
        </w:rPr>
        <w:t xml:space="preserve">International Journal of Cultural Policy, 1</w:t>
      </w:r>
      <w:r>
        <w:rPr>
          <w:rFonts w:ascii="Times New Roman" w:cs="Noto Naskh Arabic" w:eastAsia="Noto Naskh Arabic" w:hAnsi="Times New Roman"/>
          <w:sz w:val="22"/>
          <w:szCs w:val="22"/>
          <w:rtl w:val="false"/>
        </w:rPr>
        <w:t xml:space="preserve">(2), 199–216. https://doi.org/10.1080/10286639509357982</w:t>
      </w:r>
    </w:p>
    <w:p>
      <w:pPr>
        <w:bidi w:val="false"/>
        <w:spacing w:after="120" w:line="276"/>
        <w:ind w:left="567" w:hanging="567"/>
        <w:jc w:val="left"/>
      </w:pPr>
      <w:r>
        <w:rPr>
          <w:rFonts w:ascii="Times New Roman" w:cs="Noto Naskh Arabic" w:eastAsia="Noto Naskh Arabic" w:hAnsi="Times New Roman"/>
          <w:sz w:val="22"/>
          <w:szCs w:val="22"/>
          <w:rtl w:val="false"/>
        </w:rPr>
        <w:t xml:space="preserve">Bishop, P. C., &amp; Hines, A. (2012). </w:t>
      </w:r>
      <w:r>
        <w:rPr>
          <w:rFonts w:ascii="Times New Roman" w:cs="Noto Naskh Arabic" w:eastAsia="Noto Naskh Arabic" w:hAnsi="Times New Roman"/>
          <w:i/>
          <w:sz w:val="22"/>
          <w:szCs w:val="22"/>
          <w:rtl w:val="false"/>
        </w:rPr>
        <w:t xml:space="preserve">Teaching about the future</w:t>
      </w:r>
      <w:r>
        <w:rPr>
          <w:rFonts w:ascii="Times New Roman" w:cs="Noto Naskh Arabic" w:eastAsia="Noto Naskh Arabic" w:hAnsi="Times New Roman"/>
          <w:sz w:val="22"/>
          <w:szCs w:val="22"/>
          <w:rtl w:val="false"/>
        </w:rPr>
        <w:t xml:space="preserve">. Palgrave Macmillan. https://doi.org/10.1057/9781137020703</w:t>
      </w:r>
    </w:p>
    <w:p>
      <w:pPr>
        <w:bidi w:val="false"/>
        <w:spacing w:after="120" w:line="276"/>
        <w:ind w:left="567" w:hanging="567"/>
        <w:jc w:val="left"/>
      </w:pPr>
      <w:r>
        <w:rPr>
          <w:rFonts w:ascii="Times New Roman" w:cs="Noto Naskh Arabic" w:eastAsia="Noto Naskh Arabic" w:hAnsi="Times New Roman"/>
          <w:sz w:val="22"/>
          <w:szCs w:val="22"/>
          <w:rtl w:val="false"/>
        </w:rPr>
        <w:t xml:space="preserve">Centre for Strategic Futures. (2013). </w:t>
      </w:r>
      <w:r>
        <w:rPr>
          <w:rFonts w:ascii="Times New Roman" w:cs="Noto Naskh Arabic" w:eastAsia="Noto Naskh Arabic" w:hAnsi="Times New Roman"/>
          <w:i/>
          <w:sz w:val="22"/>
          <w:szCs w:val="22"/>
          <w:rtl w:val="false"/>
        </w:rPr>
        <w:t xml:space="preserve">Foresight 2012</w:t>
      </w:r>
      <w:r>
        <w:rPr>
          <w:rFonts w:ascii="Times New Roman" w:cs="Noto Naskh Arabic" w:eastAsia="Noto Naskh Arabic" w:hAnsi="Times New Roman"/>
          <w:sz w:val="22"/>
          <w:szCs w:val="22"/>
          <w:rtl w:val="false"/>
        </w:rPr>
        <w:t xml:space="preserve">. Public Service Division, Prime Minister's Office, Singapore. https://www.strategygroup.gov.sg/images/publicationimages/foresight-2012.pdf</w:t>
      </w:r>
    </w:p>
    <w:p>
      <w:pPr>
        <w:bidi w:val="false"/>
        <w:spacing w:after="120" w:line="276"/>
        <w:ind w:left="567" w:hanging="567"/>
        <w:jc w:val="left"/>
      </w:pPr>
      <w:r>
        <w:rPr>
          <w:rFonts w:ascii="Times New Roman" w:cs="Noto Naskh Arabic" w:eastAsia="Noto Naskh Arabic" w:hAnsi="Times New Roman"/>
          <w:sz w:val="22"/>
          <w:szCs w:val="22"/>
          <w:rtl w:val="false"/>
        </w:rPr>
        <w:t xml:space="preserve">Centre for Strategic Futures. (2019a). </w:t>
      </w:r>
      <w:r>
        <w:rPr>
          <w:rFonts w:ascii="Times New Roman" w:cs="Noto Naskh Arabic" w:eastAsia="Noto Naskh Arabic" w:hAnsi="Times New Roman"/>
          <w:i/>
          <w:sz w:val="22"/>
          <w:szCs w:val="22"/>
          <w:rtl w:val="false"/>
        </w:rPr>
        <w:t xml:space="preserve">Foresight</w:t>
      </w:r>
      <w:r>
        <w:rPr>
          <w:rFonts w:ascii="Times New Roman" w:cs="Noto Naskh Arabic" w:eastAsia="Noto Naskh Arabic" w:hAnsi="Times New Roman"/>
          <w:sz w:val="22"/>
          <w:szCs w:val="22"/>
          <w:rtl w:val="false"/>
        </w:rPr>
        <w:t xml:space="preserve">. Strategy Group, Prime Minister's Office, Singapore. https://strategygroup.gov.sg/images/publicationimages/csf_foresight_2019.pdf</w:t>
      </w:r>
    </w:p>
    <w:p>
      <w:pPr>
        <w:bidi w:val="false"/>
        <w:spacing w:after="120" w:line="276"/>
        <w:ind w:left="567" w:hanging="567"/>
        <w:jc w:val="left"/>
      </w:pPr>
      <w:r>
        <w:rPr>
          <w:rFonts w:ascii="Times New Roman" w:cs="Noto Naskh Arabic" w:eastAsia="Noto Naskh Arabic" w:hAnsi="Times New Roman"/>
          <w:sz w:val="22"/>
          <w:szCs w:val="22"/>
          <w:rtl w:val="false"/>
        </w:rPr>
        <w:t xml:space="preserve">Centre for Strategic Futures. (2019b, May). </w:t>
      </w:r>
      <w:r>
        <w:rPr>
          <w:rFonts w:ascii="Times New Roman" w:cs="Noto Naskh Arabic" w:eastAsia="Noto Naskh Arabic" w:hAnsi="Times New Roman"/>
          <w:i/>
          <w:sz w:val="22"/>
          <w:szCs w:val="22"/>
          <w:rtl w:val="false"/>
        </w:rPr>
        <w:t xml:space="preserve">Foresight for governance in Singapore</w:t>
      </w:r>
      <w:r>
        <w:rPr>
          <w:rFonts w:ascii="Times New Roman" w:cs="Noto Naskh Arabic" w:eastAsia="Noto Naskh Arabic" w:hAnsi="Times New Roman"/>
          <w:sz w:val="22"/>
          <w:szCs w:val="22"/>
          <w:rtl w:val="false"/>
        </w:rPr>
        <w:t xml:space="preserve"> [Presentation slides]. Department of the Prime Minister and Cabinet, New Zealand. https://dpmc.govt.nz/sites/default/files/2019-05/CSF%20Sharing%20May%202019.pdf</w:t>
      </w:r>
    </w:p>
    <w:p>
      <w:pPr>
        <w:bidi w:val="false"/>
        <w:spacing w:after="120" w:line="276"/>
        <w:ind w:left="567" w:hanging="567"/>
        <w:jc w:val="left"/>
      </w:pPr>
      <w:r>
        <w:rPr>
          <w:rFonts w:ascii="Times New Roman" w:cs="Noto Naskh Arabic" w:eastAsia="Noto Naskh Arabic" w:hAnsi="Times New Roman"/>
          <w:sz w:val="22"/>
          <w:szCs w:val="22"/>
          <w:rtl w:val="false"/>
        </w:rPr>
        <w:t xml:space="preserve">Centre for Strategic Futures. (n.d.). </w:t>
      </w:r>
      <w:r>
        <w:rPr>
          <w:rFonts w:ascii="Times New Roman" w:cs="Noto Naskh Arabic" w:eastAsia="Noto Naskh Arabic" w:hAnsi="Times New Roman"/>
          <w:i/>
          <w:sz w:val="22"/>
          <w:szCs w:val="22"/>
          <w:rtl w:val="false"/>
        </w:rPr>
        <w:t xml:space="preserve">Capability development</w:t>
      </w:r>
      <w:r>
        <w:rPr>
          <w:rFonts w:ascii="Times New Roman" w:cs="Noto Naskh Arabic" w:eastAsia="Noto Naskh Arabic" w:hAnsi="Times New Roman"/>
          <w:sz w:val="22"/>
          <w:szCs w:val="22"/>
          <w:rtl w:val="false"/>
        </w:rPr>
        <w:t xml:space="preserve">. Retrieved October 11, 2026, from https://www.csf.gov.sg/our-work/cap-dev/</w:t>
      </w:r>
    </w:p>
    <w:p>
      <w:pPr>
        <w:bidi w:val="false"/>
        <w:spacing w:after="120" w:line="276"/>
        <w:ind w:left="567" w:hanging="567"/>
        <w:jc w:val="left"/>
      </w:pPr>
      <w:r>
        <w:rPr>
          <w:rFonts w:ascii="Times New Roman" w:cs="Noto Naskh Arabic" w:eastAsia="Noto Naskh Arabic" w:hAnsi="Times New Roman"/>
          <w:sz w:val="22"/>
          <w:szCs w:val="22"/>
          <w:rtl w:val="false"/>
        </w:rPr>
        <w:t xml:space="preserve">CISAC. (2024). </w:t>
      </w:r>
      <w:r>
        <w:rPr>
          <w:rFonts w:ascii="Times New Roman" w:cs="Noto Naskh Arabic" w:eastAsia="Noto Naskh Arabic" w:hAnsi="Times New Roman"/>
          <w:i/>
          <w:sz w:val="22"/>
          <w:szCs w:val="22"/>
          <w:rtl w:val="false"/>
        </w:rPr>
        <w:t xml:space="preserve">Study on the economic impact of generative AI in the music and audiovisual industries</w:t>
      </w:r>
      <w:r>
        <w:rPr>
          <w:rFonts w:ascii="Times New Roman" w:cs="Noto Naskh Arabic" w:eastAsia="Noto Naskh Arabic" w:hAnsi="Times New Roman"/>
          <w:sz w:val="22"/>
          <w:szCs w:val="22"/>
          <w:rtl w:val="false"/>
        </w:rPr>
        <w:t xml:space="preserve"> [Study conducted by PMP Strategy]. International Confederation of Societies of Authors and Composers. https://www.cisac.org/Newsroom/news-releases/global-economic-study-shows-human-creators-future-risk-generative-ai</w:t>
      </w:r>
    </w:p>
    <w:p>
      <w:pPr>
        <w:bidi w:val="false"/>
        <w:spacing w:after="120" w:line="276"/>
        <w:ind w:left="567" w:hanging="567"/>
        <w:jc w:val="left"/>
      </w:pPr>
      <w:r>
        <w:rPr>
          <w:rFonts w:ascii="Times New Roman" w:cs="Noto Naskh Arabic" w:eastAsia="Noto Naskh Arabic" w:hAnsi="Times New Roman"/>
          <w:sz w:val="22"/>
          <w:szCs w:val="22"/>
          <w:rtl w:val="false"/>
        </w:rPr>
        <w:t xml:space="preserve">Compendium of Cultural Policies &amp; Trends. (2019). </w:t>
      </w:r>
      <w:r>
        <w:rPr>
          <w:rFonts w:ascii="Times New Roman" w:cs="Noto Naskh Arabic" w:eastAsia="Noto Naskh Arabic" w:hAnsi="Times New Roman"/>
          <w:i/>
          <w:sz w:val="22"/>
          <w:szCs w:val="22"/>
          <w:rtl w:val="false"/>
        </w:rPr>
        <w:t xml:space="preserve">Report of the Compendium Assembly 2019, Paris</w:t>
      </w:r>
      <w:r>
        <w:rPr>
          <w:rFonts w:ascii="Times New Roman" w:cs="Noto Naskh Arabic" w:eastAsia="Noto Naskh Arabic" w:hAnsi="Times New Roman"/>
          <w:sz w:val="22"/>
          <w:szCs w:val="22"/>
          <w:rtl w:val="false"/>
        </w:rPr>
        <w:t xml:space="preserve">. https://www.culturalpolicies.net/wp-content/uploads/2019/10/Report-Compendium-Assembly-2019-Paris.pdf</w:t>
      </w:r>
    </w:p>
    <w:p>
      <w:pPr>
        <w:bidi w:val="false"/>
        <w:spacing w:after="120" w:line="276"/>
        <w:ind w:left="567" w:hanging="567"/>
        <w:jc w:val="left"/>
      </w:pPr>
      <w:r>
        <w:rPr>
          <w:rFonts w:ascii="Times New Roman" w:cs="Noto Naskh Arabic" w:eastAsia="Noto Naskh Arabic" w:hAnsi="Times New Roman"/>
          <w:sz w:val="22"/>
          <w:szCs w:val="22"/>
          <w:rtl w:val="false"/>
        </w:rPr>
        <w:t xml:space="preserve">Crossick, G., &amp; Kaszynska, P. (2016). </w:t>
      </w:r>
      <w:r>
        <w:rPr>
          <w:rFonts w:ascii="Times New Roman" w:cs="Noto Naskh Arabic" w:eastAsia="Noto Naskh Arabic" w:hAnsi="Times New Roman"/>
          <w:i/>
          <w:sz w:val="22"/>
          <w:szCs w:val="22"/>
          <w:rtl w:val="false"/>
        </w:rPr>
        <w:t xml:space="preserve">Understanding the value of arts &amp; culture: The AHRC Cultural Value Project</w:t>
      </w:r>
      <w:r>
        <w:rPr>
          <w:rFonts w:ascii="Times New Roman" w:cs="Noto Naskh Arabic" w:eastAsia="Noto Naskh Arabic" w:hAnsi="Times New Roman"/>
          <w:sz w:val="22"/>
          <w:szCs w:val="22"/>
          <w:rtl w:val="false"/>
        </w:rPr>
        <w:t xml:space="preserve">. Arts and Humanities Research Council. https://ualresearchonline.arts.ac.uk/id/eprint/15973/</w:t>
      </w:r>
    </w:p>
    <w:p>
      <w:pPr>
        <w:bidi w:val="false"/>
        <w:spacing w:after="120" w:line="276"/>
        <w:ind w:left="567" w:hanging="567"/>
        <w:jc w:val="left"/>
      </w:pPr>
      <w:r>
        <w:rPr>
          <w:rFonts w:ascii="Times New Roman" w:cs="Noto Naskh Arabic" w:eastAsia="Noto Naskh Arabic" w:hAnsi="Times New Roman"/>
          <w:sz w:val="22"/>
          <w:szCs w:val="22"/>
          <w:rtl w:val="false"/>
        </w:rPr>
        <w:t xml:space="preserve">Dubai Future Foundation &amp; Dubai Culture and Arts Authority. (2020). </w:t>
      </w:r>
      <w:r>
        <w:rPr>
          <w:rFonts w:ascii="Times New Roman" w:cs="Noto Naskh Arabic" w:eastAsia="Noto Naskh Arabic" w:hAnsi="Times New Roman"/>
          <w:i/>
          <w:sz w:val="22"/>
          <w:szCs w:val="22"/>
          <w:rtl w:val="false"/>
        </w:rPr>
        <w:t xml:space="preserve">Future trends: Culture and the creative sector</w:t>
      </w:r>
      <w:r>
        <w:rPr>
          <w:rFonts w:ascii="Times New Roman" w:cs="Noto Naskh Arabic" w:eastAsia="Noto Naskh Arabic" w:hAnsi="Times New Roman"/>
          <w:sz w:val="22"/>
          <w:szCs w:val="22"/>
          <w:rtl w:val="false"/>
        </w:rPr>
        <w:t xml:space="preserve">. Dubai Future Foundation. https://www.dubaifuture.ae/dubai-future-foundation/dubai-future-foundation-and-dubai-culture-forecast-the-future-of-culture-and-the-creative-sector-in-the-uae/</w:t>
      </w:r>
    </w:p>
    <w:p>
      <w:pPr>
        <w:bidi w:val="false"/>
        <w:spacing w:after="120" w:line="276"/>
        <w:ind w:left="567" w:hanging="567"/>
        <w:jc w:val="left"/>
      </w:pPr>
      <w:r>
        <w:rPr>
          <w:rFonts w:ascii="Times New Roman" w:cs="Noto Naskh Arabic" w:eastAsia="Noto Naskh Arabic" w:hAnsi="Times New Roman"/>
          <w:sz w:val="22"/>
          <w:szCs w:val="22"/>
          <w:rtl w:val="false"/>
        </w:rPr>
        <w:t xml:space="preserve">Duffy, B. E., Poell, T., &amp; Nieborg, D. B. (2019). Platform practices in the cultural industries: Creativity, labor, and citizenship. </w:t>
      </w:r>
      <w:r>
        <w:rPr>
          <w:rFonts w:ascii="Times New Roman" w:cs="Noto Naskh Arabic" w:eastAsia="Noto Naskh Arabic" w:hAnsi="Times New Roman"/>
          <w:i/>
          <w:sz w:val="22"/>
          <w:szCs w:val="22"/>
          <w:rtl w:val="false"/>
        </w:rPr>
        <w:t xml:space="preserve">Social Media + Society, 5</w:t>
      </w:r>
      <w:r>
        <w:rPr>
          <w:rFonts w:ascii="Times New Roman" w:cs="Noto Naskh Arabic" w:eastAsia="Noto Naskh Arabic" w:hAnsi="Times New Roman"/>
          <w:sz w:val="22"/>
          <w:szCs w:val="22"/>
          <w:rtl w:val="false"/>
        </w:rPr>
        <w:t xml:space="preserve">(4). https://doi.org/10.1177/2056305119879672</w:t>
      </w:r>
    </w:p>
    <w:p>
      <w:pPr>
        <w:bidi w:val="false"/>
        <w:spacing w:after="120" w:line="276"/>
        <w:ind w:left="567" w:hanging="567"/>
        <w:jc w:val="left"/>
      </w:pPr>
      <w:r>
        <w:rPr>
          <w:rFonts w:ascii="Times New Roman" w:cs="Noto Naskh Arabic" w:eastAsia="Noto Naskh Arabic" w:hAnsi="Times New Roman"/>
          <w:sz w:val="22"/>
          <w:szCs w:val="22"/>
          <w:rtl w:val="false"/>
        </w:rPr>
        <w:t xml:space="preserve">Eduskunta. (n.d.). </w:t>
      </w:r>
      <w:r>
        <w:rPr>
          <w:rFonts w:ascii="Times New Roman" w:cs="Noto Naskh Arabic" w:eastAsia="Noto Naskh Arabic" w:hAnsi="Times New Roman"/>
          <w:i/>
          <w:sz w:val="22"/>
          <w:szCs w:val="22"/>
          <w:rtl w:val="false"/>
        </w:rPr>
        <w:t xml:space="preserve">Committee for the Future</w:t>
      </w:r>
      <w:r>
        <w:rPr>
          <w:rFonts w:ascii="Times New Roman" w:cs="Noto Naskh Arabic" w:eastAsia="Noto Naskh Arabic" w:hAnsi="Times New Roman"/>
          <w:sz w:val="22"/>
          <w:szCs w:val="22"/>
          <w:rtl w:val="false"/>
        </w:rPr>
        <w:t xml:space="preserve">. Parliament of Finland. Retrieved October 11, 2026, from https://www.eduskunta.fi/EN/valiokunnat/tulevaisuusvaliokunta</w:t>
      </w:r>
    </w:p>
    <w:p>
      <w:pPr>
        <w:bidi w:val="false"/>
        <w:spacing w:after="120" w:line="276"/>
        <w:ind w:left="567" w:hanging="567"/>
        <w:jc w:val="left"/>
      </w:pPr>
      <w:r>
        <w:rPr>
          <w:rFonts w:ascii="Times New Roman" w:cs="Noto Naskh Arabic" w:eastAsia="Noto Naskh Arabic" w:hAnsi="Times New Roman"/>
          <w:sz w:val="22"/>
          <w:szCs w:val="22"/>
          <w:rtl w:val="false"/>
        </w:rPr>
        <w:t xml:space="preserve">EPTA. (2012). </w:t>
      </w:r>
      <w:r>
        <w:rPr>
          <w:rFonts w:ascii="Times New Roman" w:cs="Noto Naskh Arabic" w:eastAsia="Noto Naskh Arabic" w:hAnsi="Times New Roman"/>
          <w:i/>
          <w:sz w:val="22"/>
          <w:szCs w:val="22"/>
          <w:rtl w:val="false"/>
        </w:rPr>
        <w:t xml:space="preserve">Finland: Committee for the Future</w:t>
      </w:r>
      <w:r>
        <w:rPr>
          <w:rFonts w:ascii="Times New Roman" w:cs="Noto Naskh Arabic" w:eastAsia="Noto Naskh Arabic" w:hAnsi="Times New Roman"/>
          <w:sz w:val="22"/>
          <w:szCs w:val="22"/>
          <w:rtl w:val="false"/>
        </w:rPr>
        <w:t xml:space="preserve"> [Country report, version 20 October 2012]. European Parliamentary Technology Assessment network. https://eptanetwork.org/static-html/comparative-table/countryreport/finland.html</w:t>
      </w:r>
    </w:p>
    <w:p>
      <w:pPr>
        <w:bidi w:val="false"/>
        <w:spacing w:after="120" w:line="276"/>
        <w:ind w:left="567" w:hanging="567"/>
        <w:jc w:val="left"/>
      </w:pPr>
      <w:r>
        <w:rPr>
          <w:rFonts w:ascii="Times New Roman" w:cs="Noto Naskh Arabic" w:eastAsia="Noto Naskh Arabic" w:hAnsi="Times New Roman"/>
          <w:sz w:val="22"/>
          <w:szCs w:val="22"/>
          <w:rtl w:val="false"/>
        </w:rPr>
        <w:t xml:space="preserve">The future of cultural policy [Editorial]. (2025). </w:t>
      </w:r>
      <w:r>
        <w:rPr>
          <w:rFonts w:ascii="Times New Roman" w:cs="Noto Naskh Arabic" w:eastAsia="Noto Naskh Arabic" w:hAnsi="Times New Roman"/>
          <w:i/>
          <w:sz w:val="22"/>
          <w:szCs w:val="22"/>
          <w:rtl w:val="false"/>
        </w:rPr>
        <w:t xml:space="preserve">Nordisk kulturpolitisk tidsskrift, 28</w:t>
      </w:r>
      <w:r>
        <w:rPr>
          <w:rFonts w:ascii="Times New Roman" w:cs="Noto Naskh Arabic" w:eastAsia="Noto Naskh Arabic" w:hAnsi="Times New Roman"/>
          <w:sz w:val="22"/>
          <w:szCs w:val="22"/>
          <w:rtl w:val="false"/>
        </w:rPr>
        <w:t xml:space="preserve">(2). https://doi.org/10.18261/nkt.28.2.1</w:t>
      </w:r>
    </w:p>
    <w:p>
      <w:pPr>
        <w:bidi w:val="false"/>
        <w:spacing w:after="120" w:line="276"/>
        <w:ind w:left="567" w:hanging="567"/>
        <w:jc w:val="left"/>
      </w:pPr>
      <w:r>
        <w:rPr>
          <w:rFonts w:ascii="Times New Roman" w:cs="Noto Naskh Arabic" w:eastAsia="Noto Naskh Arabic" w:hAnsi="Times New Roman"/>
          <w:sz w:val="22"/>
          <w:szCs w:val="22"/>
          <w:rtl w:val="false"/>
        </w:rPr>
        <w:t xml:space="preserve">Government Office for Science. (2024). </w:t>
      </w:r>
      <w:r>
        <w:rPr>
          <w:rFonts w:ascii="Times New Roman" w:cs="Noto Naskh Arabic" w:eastAsia="Noto Naskh Arabic" w:hAnsi="Times New Roman"/>
          <w:i/>
          <w:sz w:val="22"/>
          <w:szCs w:val="22"/>
          <w:rtl w:val="false"/>
        </w:rPr>
        <w:t xml:space="preserve">The futures toolkit: Tools for strategic futures for policymakers and analysts</w:t>
      </w:r>
      <w:r>
        <w:rPr>
          <w:rFonts w:ascii="Times New Roman" w:cs="Noto Naskh Arabic" w:eastAsia="Noto Naskh Arabic" w:hAnsi="Times New Roman"/>
          <w:sz w:val="22"/>
          <w:szCs w:val="22"/>
          <w:rtl w:val="false"/>
        </w:rPr>
        <w:t xml:space="preserve">. UK Government.</w:t>
      </w:r>
    </w:p>
    <w:p>
      <w:pPr>
        <w:bidi w:val="false"/>
        <w:spacing w:after="120" w:line="276"/>
        <w:ind w:left="567" w:hanging="567"/>
        <w:jc w:val="left"/>
      </w:pPr>
      <w:r>
        <w:rPr>
          <w:rFonts w:ascii="Times New Roman" w:cs="Noto Naskh Arabic" w:eastAsia="Noto Naskh Arabic" w:hAnsi="Times New Roman"/>
          <w:sz w:val="22"/>
          <w:szCs w:val="22"/>
          <w:rtl w:val="false"/>
        </w:rPr>
        <w:t xml:space="preserve">Gray, C. (2008). Instrumental policies: Causes, consequences, museums and galleries. </w:t>
      </w:r>
      <w:r>
        <w:rPr>
          <w:rFonts w:ascii="Times New Roman" w:cs="Noto Naskh Arabic" w:eastAsia="Noto Naskh Arabic" w:hAnsi="Times New Roman"/>
          <w:i/>
          <w:sz w:val="22"/>
          <w:szCs w:val="22"/>
          <w:rtl w:val="false"/>
        </w:rPr>
        <w:t xml:space="preserve">Cultural Trends, 17</w:t>
      </w:r>
      <w:r>
        <w:rPr>
          <w:rFonts w:ascii="Times New Roman" w:cs="Noto Naskh Arabic" w:eastAsia="Noto Naskh Arabic" w:hAnsi="Times New Roman"/>
          <w:sz w:val="22"/>
          <w:szCs w:val="22"/>
          <w:rtl w:val="false"/>
        </w:rPr>
        <w:t xml:space="preserve">(4), 209–222. https://doi.org/10.1080/09548960802615349</w:t>
      </w:r>
    </w:p>
    <w:p>
      <w:pPr>
        <w:bidi w:val="false"/>
        <w:spacing w:after="120" w:line="276"/>
        <w:ind w:left="567" w:hanging="567"/>
        <w:jc w:val="left"/>
      </w:pPr>
      <w:r>
        <w:rPr>
          <w:rFonts w:ascii="Times New Roman" w:cs="Noto Naskh Arabic" w:eastAsia="Noto Naskh Arabic" w:hAnsi="Times New Roman"/>
          <w:sz w:val="22"/>
          <w:szCs w:val="22"/>
          <w:rtl w:val="false"/>
        </w:rPr>
        <w:t xml:space="preserve">Habegger, B. (2010). Strategic foresight in public policy: Reviewing the experiences of the UK, Singapore, and the Netherlands. </w:t>
      </w:r>
      <w:r>
        <w:rPr>
          <w:rFonts w:ascii="Times New Roman" w:cs="Noto Naskh Arabic" w:eastAsia="Noto Naskh Arabic" w:hAnsi="Times New Roman"/>
          <w:i/>
          <w:sz w:val="22"/>
          <w:szCs w:val="22"/>
          <w:rtl w:val="false"/>
        </w:rPr>
        <w:t xml:space="preserve">Futures, 42</w:t>
      </w:r>
      <w:r>
        <w:rPr>
          <w:rFonts w:ascii="Times New Roman" w:cs="Noto Naskh Arabic" w:eastAsia="Noto Naskh Arabic" w:hAnsi="Times New Roman"/>
          <w:sz w:val="22"/>
          <w:szCs w:val="22"/>
          <w:rtl w:val="false"/>
        </w:rPr>
        <w:t xml:space="preserve">(1), 49–58. https://doi.org/10.1016/j.futures.2009.08.002</w:t>
      </w:r>
    </w:p>
    <w:p>
      <w:pPr>
        <w:bidi w:val="false"/>
        <w:spacing w:after="120" w:line="276"/>
        <w:ind w:left="567" w:hanging="567"/>
        <w:jc w:val="left"/>
      </w:pPr>
      <w:r>
        <w:rPr>
          <w:rFonts w:ascii="Times New Roman" w:cs="Noto Naskh Arabic" w:eastAsia="Noto Naskh Arabic" w:hAnsi="Times New Roman"/>
          <w:sz w:val="22"/>
          <w:szCs w:val="22"/>
          <w:rtl w:val="false"/>
        </w:rPr>
        <w:t xml:space="preserve">Hesmondhalgh, D., &amp; Pratt, A. C. (2005). Cultural industries and cultural policy. </w:t>
      </w:r>
      <w:r>
        <w:rPr>
          <w:rFonts w:ascii="Times New Roman" w:cs="Noto Naskh Arabic" w:eastAsia="Noto Naskh Arabic" w:hAnsi="Times New Roman"/>
          <w:i/>
          <w:sz w:val="22"/>
          <w:szCs w:val="22"/>
          <w:rtl w:val="false"/>
        </w:rPr>
        <w:t xml:space="preserve">International Journal of Cultural Policy, 11</w:t>
      </w:r>
      <w:r>
        <w:rPr>
          <w:rFonts w:ascii="Times New Roman" w:cs="Noto Naskh Arabic" w:eastAsia="Noto Naskh Arabic" w:hAnsi="Times New Roman"/>
          <w:sz w:val="22"/>
          <w:szCs w:val="22"/>
          <w:rtl w:val="false"/>
        </w:rPr>
        <w:t xml:space="preserve">(1), 1–13. https://doi.org/10.1080/10286630500067598</w:t>
      </w:r>
    </w:p>
    <w:p>
      <w:pPr>
        <w:bidi w:val="false"/>
        <w:spacing w:after="120" w:line="276"/>
        <w:ind w:left="567" w:hanging="567"/>
        <w:jc w:val="left"/>
      </w:pPr>
      <w:r>
        <w:rPr>
          <w:rFonts w:ascii="Times New Roman" w:cs="Noto Naskh Arabic" w:eastAsia="Noto Naskh Arabic" w:hAnsi="Times New Roman"/>
          <w:sz w:val="22"/>
          <w:szCs w:val="22"/>
          <w:rtl w:val="false"/>
        </w:rPr>
        <w:t xml:space="preserve">Hutter, M., &amp; Throsby, D. (Eds.). (2008). </w:t>
      </w:r>
      <w:r>
        <w:rPr>
          <w:rFonts w:ascii="Times New Roman" w:cs="Noto Naskh Arabic" w:eastAsia="Noto Naskh Arabic" w:hAnsi="Times New Roman"/>
          <w:i/>
          <w:sz w:val="22"/>
          <w:szCs w:val="22"/>
          <w:rtl w:val="false"/>
        </w:rPr>
        <w:t xml:space="preserve">Beyond price: Value in culture, economics, and the arts</w:t>
      </w:r>
      <w:r>
        <w:rPr>
          <w:rFonts w:ascii="Times New Roman" w:cs="Noto Naskh Arabic" w:eastAsia="Noto Naskh Arabic" w:hAnsi="Times New Roman"/>
          <w:sz w:val="22"/>
          <w:szCs w:val="22"/>
          <w:rtl w:val="false"/>
        </w:rPr>
        <w:t xml:space="preserve">. Cambridge University Press.</w:t>
      </w:r>
    </w:p>
    <w:p>
      <w:pPr>
        <w:bidi w:val="false"/>
        <w:spacing w:after="120" w:line="276"/>
        <w:ind w:left="567" w:hanging="567"/>
        <w:jc w:val="left"/>
      </w:pPr>
      <w:r>
        <w:rPr>
          <w:rFonts w:ascii="Times New Roman" w:cs="Noto Naskh Arabic" w:eastAsia="Noto Naskh Arabic" w:hAnsi="Times New Roman"/>
          <w:sz w:val="22"/>
          <w:szCs w:val="22"/>
          <w:rtl w:val="false"/>
        </w:rPr>
        <w:t xml:space="preserve">Hylland, O. M. (2025). Past and current futures: Cultural policy attempts to look ahead. </w:t>
      </w:r>
      <w:r>
        <w:rPr>
          <w:rFonts w:ascii="Times New Roman" w:cs="Noto Naskh Arabic" w:eastAsia="Noto Naskh Arabic" w:hAnsi="Times New Roman"/>
          <w:i/>
          <w:sz w:val="22"/>
          <w:szCs w:val="22"/>
          <w:rtl w:val="false"/>
        </w:rPr>
        <w:t xml:space="preserve">Nordisk kulturpolitisk tidsskrift, 28</w:t>
      </w:r>
      <w:r>
        <w:rPr>
          <w:rFonts w:ascii="Times New Roman" w:cs="Noto Naskh Arabic" w:eastAsia="Noto Naskh Arabic" w:hAnsi="Times New Roman"/>
          <w:sz w:val="22"/>
          <w:szCs w:val="22"/>
          <w:rtl w:val="false"/>
        </w:rPr>
        <w:t xml:space="preserve">(2). https://doi.org/10.18261/nkt.28.2.4</w:t>
      </w:r>
    </w:p>
    <w:p>
      <w:pPr>
        <w:bidi w:val="false"/>
        <w:spacing w:after="120" w:line="276"/>
        <w:ind w:left="567" w:hanging="567"/>
        <w:jc w:val="left"/>
      </w:pPr>
      <w:r>
        <w:rPr>
          <w:rFonts w:ascii="Times New Roman" w:cs="Noto Naskh Arabic" w:eastAsia="Noto Naskh Arabic" w:hAnsi="Times New Roman"/>
          <w:sz w:val="22"/>
          <w:szCs w:val="22"/>
          <w:rtl w:val="false"/>
        </w:rPr>
        <w:t xml:space="preserve">International Journal of Cultural Policy. (n.d.). </w:t>
      </w:r>
      <w:r>
        <w:rPr>
          <w:rFonts w:ascii="Times New Roman" w:cs="Noto Naskh Arabic" w:eastAsia="Noto Naskh Arabic" w:hAnsi="Times New Roman"/>
          <w:i/>
          <w:sz w:val="22"/>
          <w:szCs w:val="22"/>
          <w:rtl w:val="false"/>
        </w:rPr>
        <w:t xml:space="preserve">Aims and scope</w:t>
      </w:r>
      <w:r>
        <w:rPr>
          <w:rFonts w:ascii="Times New Roman" w:cs="Noto Naskh Arabic" w:eastAsia="Noto Naskh Arabic" w:hAnsi="Times New Roman"/>
          <w:sz w:val="22"/>
          <w:szCs w:val="22"/>
          <w:rtl w:val="false"/>
        </w:rPr>
        <w:t xml:space="preserve">. Taylor &amp; Francis. Retrieved October 11, 2026, from https://www.tandfonline.com/action/journalInformation?show=aimsScope&amp;journalCode=gcul20</w:t>
      </w:r>
    </w:p>
    <w:p>
      <w:pPr>
        <w:bidi w:val="false"/>
        <w:spacing w:after="120" w:line="276"/>
        <w:ind w:left="567" w:hanging="567"/>
        <w:jc w:val="left"/>
      </w:pPr>
      <w:r>
        <w:rPr>
          <w:rFonts w:ascii="Times New Roman" w:cs="Noto Naskh Arabic" w:eastAsia="Noto Naskh Arabic" w:hAnsi="Times New Roman"/>
          <w:sz w:val="22"/>
          <w:szCs w:val="22"/>
          <w:rtl w:val="false"/>
        </w:rPr>
        <w:t xml:space="preserve">Jackson, J. C., &amp; Medvedev, D. (2024). Worldwide divergence of values. </w:t>
      </w:r>
      <w:r>
        <w:rPr>
          <w:rFonts w:ascii="Times New Roman" w:cs="Noto Naskh Arabic" w:eastAsia="Noto Naskh Arabic" w:hAnsi="Times New Roman"/>
          <w:i/>
          <w:sz w:val="22"/>
          <w:szCs w:val="22"/>
          <w:rtl w:val="false"/>
        </w:rPr>
        <w:t xml:space="preserve">Nature Communications, 15</w:t>
      </w:r>
      <w:r>
        <w:rPr>
          <w:rFonts w:ascii="Times New Roman" w:cs="Noto Naskh Arabic" w:eastAsia="Noto Naskh Arabic" w:hAnsi="Times New Roman"/>
          <w:sz w:val="22"/>
          <w:szCs w:val="22"/>
          <w:rtl w:val="false"/>
        </w:rPr>
        <w:t xml:space="preserve">, Article 2650. https://doi.org/10.1038/s41467-024-46581-5</w:t>
      </w:r>
    </w:p>
    <w:p>
      <w:pPr>
        <w:bidi w:val="false"/>
        <w:spacing w:after="120" w:line="276"/>
        <w:ind w:left="567" w:hanging="567"/>
        <w:jc w:val="left"/>
      </w:pPr>
      <w:r>
        <w:rPr>
          <w:rFonts w:ascii="Times New Roman" w:cs="Noto Naskh Arabic" w:eastAsia="Noto Naskh Arabic" w:hAnsi="Times New Roman"/>
          <w:sz w:val="22"/>
          <w:szCs w:val="22"/>
          <w:rtl w:val="false"/>
        </w:rPr>
        <w:t xml:space="preserve">Jackson, M. R., &amp; Herranz, J. (2002). </w:t>
      </w:r>
      <w:r>
        <w:rPr>
          <w:rFonts w:ascii="Times New Roman" w:cs="Noto Naskh Arabic" w:eastAsia="Noto Naskh Arabic" w:hAnsi="Times New Roman"/>
          <w:i/>
          <w:sz w:val="22"/>
          <w:szCs w:val="22"/>
          <w:rtl w:val="false"/>
        </w:rPr>
        <w:t xml:space="preserve">Culture counts in communities: A framework for measurement</w:t>
      </w:r>
      <w:r>
        <w:rPr>
          <w:rFonts w:ascii="Times New Roman" w:cs="Noto Naskh Arabic" w:eastAsia="Noto Naskh Arabic" w:hAnsi="Times New Roman"/>
          <w:sz w:val="22"/>
          <w:szCs w:val="22"/>
          <w:rtl w:val="false"/>
        </w:rPr>
        <w:t xml:space="preserve">. The Urban Institute.</w:t>
      </w:r>
    </w:p>
    <w:p>
      <w:pPr>
        <w:bidi w:val="false"/>
        <w:spacing w:after="120" w:line="276"/>
        <w:ind w:left="567" w:hanging="567"/>
        <w:jc w:val="left"/>
      </w:pPr>
      <w:r>
        <w:rPr>
          <w:rFonts w:ascii="Times New Roman" w:cs="Noto Naskh Arabic" w:eastAsia="Noto Naskh Arabic" w:hAnsi="Times New Roman"/>
          <w:sz w:val="22"/>
          <w:szCs w:val="22"/>
          <w:rtl w:val="false"/>
        </w:rPr>
        <w:t xml:space="preserve">Jackson, M. R., Kabwasa-Green, F., &amp; Herranz, J. (2006). </w:t>
      </w:r>
      <w:r>
        <w:rPr>
          <w:rFonts w:ascii="Times New Roman" w:cs="Noto Naskh Arabic" w:eastAsia="Noto Naskh Arabic" w:hAnsi="Times New Roman"/>
          <w:i/>
          <w:sz w:val="22"/>
          <w:szCs w:val="22"/>
          <w:rtl w:val="false"/>
        </w:rPr>
        <w:t xml:space="preserve">Cultural vitality in communities: Interpretation and indicators</w:t>
      </w:r>
      <w:r>
        <w:rPr>
          <w:rFonts w:ascii="Times New Roman" w:cs="Noto Naskh Arabic" w:eastAsia="Noto Naskh Arabic" w:hAnsi="Times New Roman"/>
          <w:sz w:val="22"/>
          <w:szCs w:val="22"/>
          <w:rtl w:val="false"/>
        </w:rPr>
        <w:t xml:space="preserve">. The Urban Institute.</w:t>
      </w:r>
    </w:p>
    <w:p>
      <w:pPr>
        <w:bidi w:val="false"/>
        <w:spacing w:after="120" w:line="276"/>
        <w:ind w:left="567" w:hanging="567"/>
        <w:jc w:val="left"/>
      </w:pPr>
      <w:r>
        <w:rPr>
          <w:rFonts w:ascii="Times New Roman" w:cs="Noto Naskh Arabic" w:eastAsia="Noto Naskh Arabic" w:hAnsi="Times New Roman"/>
          <w:sz w:val="22"/>
          <w:szCs w:val="22"/>
          <w:rtl w:val="false"/>
        </w:rPr>
        <w:t xml:space="preserve">Kaszynska, P. (n.d.). </w:t>
      </w:r>
      <w:r>
        <w:rPr>
          <w:rFonts w:ascii="Times New Roman" w:cs="Noto Naskh Arabic" w:eastAsia="Noto Naskh Arabic" w:hAnsi="Times New Roman"/>
          <w:i/>
          <w:sz w:val="22"/>
          <w:szCs w:val="22"/>
          <w:rtl w:val="false"/>
        </w:rPr>
        <w:t xml:space="preserve">Cultural value as practice: AHRC Cultural Value Project</w:t>
      </w:r>
      <w:r>
        <w:rPr>
          <w:rFonts w:ascii="Times New Roman" w:cs="Noto Naskh Arabic" w:eastAsia="Noto Naskh Arabic" w:hAnsi="Times New Roman"/>
          <w:sz w:val="22"/>
          <w:szCs w:val="22"/>
          <w:rtl w:val="false"/>
        </w:rPr>
        <w:t xml:space="preserve"> [Unpublished manuscript]. UAL Research Online. https://ualresearchonline.arts.ac.uk/id/eprint/15065/</w:t>
      </w:r>
    </w:p>
    <w:p>
      <w:pPr>
        <w:bidi w:val="false"/>
        <w:spacing w:after="120" w:line="276"/>
        <w:ind w:left="567" w:hanging="567"/>
        <w:jc w:val="left"/>
      </w:pPr>
      <w:r>
        <w:rPr>
          <w:rFonts w:ascii="Times New Roman" w:cs="Noto Naskh Arabic" w:eastAsia="Noto Naskh Arabic" w:hAnsi="Times New Roman"/>
          <w:sz w:val="22"/>
          <w:szCs w:val="22"/>
          <w:rtl w:val="false"/>
        </w:rPr>
        <w:t xml:space="preserve">Kizlari, D. (2020). The rise of rhizomatic cultural policies. </w:t>
      </w:r>
      <w:r>
        <w:rPr>
          <w:rFonts w:ascii="Times New Roman" w:cs="Noto Naskh Arabic" w:eastAsia="Noto Naskh Arabic" w:hAnsi="Times New Roman"/>
          <w:i/>
          <w:sz w:val="22"/>
          <w:szCs w:val="22"/>
          <w:rtl w:val="false"/>
        </w:rPr>
        <w:t xml:space="preserve">International Journal of Public Administration, 43</w:t>
      </w:r>
      <w:r>
        <w:rPr>
          <w:rFonts w:ascii="Times New Roman" w:cs="Noto Naskh Arabic" w:eastAsia="Noto Naskh Arabic" w:hAnsi="Times New Roman"/>
          <w:sz w:val="22"/>
          <w:szCs w:val="22"/>
          <w:rtl w:val="false"/>
        </w:rPr>
        <w:t xml:space="preserve">(3), 253–261. https://doi.org/10.1080/01900692.2019.1628054</w:t>
      </w:r>
    </w:p>
    <w:p>
      <w:pPr>
        <w:bidi w:val="false"/>
        <w:spacing w:after="120" w:line="276"/>
        <w:ind w:left="567" w:hanging="567"/>
        <w:jc w:val="left"/>
      </w:pPr>
      <w:r>
        <w:rPr>
          <w:rFonts w:ascii="Times New Roman" w:cs="Noto Naskh Arabic" w:eastAsia="Noto Naskh Arabic" w:hAnsi="Times New Roman"/>
          <w:sz w:val="22"/>
          <w:szCs w:val="22"/>
          <w:rtl w:val="false"/>
        </w:rPr>
        <w:t xml:space="preserve">Levins, R. (1969). Some demographic and genetic consequences of environmental heterogeneity for biological control. </w:t>
      </w:r>
      <w:r>
        <w:rPr>
          <w:rFonts w:ascii="Times New Roman" w:cs="Noto Naskh Arabic" w:eastAsia="Noto Naskh Arabic" w:hAnsi="Times New Roman"/>
          <w:i/>
          <w:sz w:val="22"/>
          <w:szCs w:val="22"/>
          <w:rtl w:val="false"/>
        </w:rPr>
        <w:t xml:space="preserve">Bulletin of the Entomological Society of America, 15</w:t>
      </w:r>
      <w:r>
        <w:rPr>
          <w:rFonts w:ascii="Times New Roman" w:cs="Noto Naskh Arabic" w:eastAsia="Noto Naskh Arabic" w:hAnsi="Times New Roman"/>
          <w:sz w:val="22"/>
          <w:szCs w:val="22"/>
          <w:rtl w:val="false"/>
        </w:rPr>
        <w:t xml:space="preserve">(3), 237–240.</w:t>
      </w:r>
    </w:p>
    <w:p>
      <w:pPr>
        <w:bidi w:val="false"/>
        <w:spacing w:after="120" w:line="276"/>
        <w:ind w:left="567" w:hanging="567"/>
        <w:jc w:val="left"/>
      </w:pPr>
      <w:r>
        <w:rPr>
          <w:rFonts w:ascii="Times New Roman" w:cs="Noto Naskh Arabic" w:eastAsia="Noto Naskh Arabic" w:hAnsi="Times New Roman"/>
          <w:sz w:val="22"/>
          <w:szCs w:val="22"/>
          <w:rtl w:val="false"/>
        </w:rPr>
        <w:t xml:space="preserve">Mangset, P. (2020). The end of cultural policy? </w:t>
      </w:r>
      <w:r>
        <w:rPr>
          <w:rFonts w:ascii="Times New Roman" w:cs="Noto Naskh Arabic" w:eastAsia="Noto Naskh Arabic" w:hAnsi="Times New Roman"/>
          <w:i/>
          <w:sz w:val="22"/>
          <w:szCs w:val="22"/>
          <w:rtl w:val="false"/>
        </w:rPr>
        <w:t xml:space="preserve">International Journal of Cultural Policy, 26</w:t>
      </w:r>
      <w:r>
        <w:rPr>
          <w:rFonts w:ascii="Times New Roman" w:cs="Noto Naskh Arabic" w:eastAsia="Noto Naskh Arabic" w:hAnsi="Times New Roman"/>
          <w:sz w:val="22"/>
          <w:szCs w:val="22"/>
          <w:rtl w:val="false"/>
        </w:rPr>
        <w:t xml:space="preserve">(3), 398–411. https://doi.org/10.1080/10286632.2018.1500560</w:t>
      </w:r>
    </w:p>
    <w:p>
      <w:pPr>
        <w:bidi w:val="false"/>
        <w:spacing w:after="120" w:line="276"/>
        <w:ind w:left="567" w:hanging="567"/>
        <w:jc w:val="left"/>
      </w:pPr>
      <w:r>
        <w:rPr>
          <w:rFonts w:ascii="Times New Roman" w:cs="Noto Naskh Arabic" w:eastAsia="Noto Naskh Arabic" w:hAnsi="Times New Roman"/>
          <w:sz w:val="22"/>
          <w:szCs w:val="22"/>
          <w:rtl w:val="false"/>
        </w:rPr>
        <w:t xml:space="preserve">Masini, E. B. (Ed.). (1994). </w:t>
      </w:r>
      <w:r>
        <w:rPr>
          <w:rFonts w:ascii="Times New Roman" w:cs="Noto Naskh Arabic" w:eastAsia="Noto Naskh Arabic" w:hAnsi="Times New Roman"/>
          <w:i/>
          <w:sz w:val="22"/>
          <w:szCs w:val="22"/>
          <w:rtl w:val="false"/>
        </w:rPr>
        <w:t xml:space="preserve">The futures of cultures</w:t>
      </w:r>
      <w:r>
        <w:rPr>
          <w:rFonts w:ascii="Times New Roman" w:cs="Noto Naskh Arabic" w:eastAsia="Noto Naskh Arabic" w:hAnsi="Times New Roman"/>
          <w:sz w:val="22"/>
          <w:szCs w:val="22"/>
          <w:rtl w:val="false"/>
        </w:rPr>
        <w:t xml:space="preserve">. UNESCO Publishing.</w:t>
      </w:r>
    </w:p>
    <w:p>
      <w:pPr>
        <w:bidi w:val="false"/>
        <w:spacing w:after="120" w:line="276"/>
        <w:ind w:left="567" w:hanging="567"/>
        <w:jc w:val="left"/>
      </w:pPr>
      <w:r>
        <w:rPr>
          <w:rFonts w:ascii="Times New Roman" w:cs="Noto Naskh Arabic" w:eastAsia="Noto Naskh Arabic" w:hAnsi="Times New Roman"/>
          <w:sz w:val="22"/>
          <w:szCs w:val="22"/>
          <w:rtl w:val="false"/>
        </w:rPr>
        <w:t xml:space="preserve">Masini, E. B., &amp; Atal, Y. (Eds.). (1993). </w:t>
      </w:r>
      <w:r>
        <w:rPr>
          <w:rFonts w:ascii="Times New Roman" w:cs="Noto Naskh Arabic" w:eastAsia="Noto Naskh Arabic" w:hAnsi="Times New Roman"/>
          <w:i/>
          <w:sz w:val="22"/>
          <w:szCs w:val="22"/>
          <w:rtl w:val="false"/>
        </w:rPr>
        <w:t xml:space="preserve">The futures of Asian cultures</w:t>
      </w:r>
      <w:r>
        <w:rPr>
          <w:rFonts w:ascii="Times New Roman" w:cs="Noto Naskh Arabic" w:eastAsia="Noto Naskh Arabic" w:hAnsi="Times New Roman"/>
          <w:sz w:val="22"/>
          <w:szCs w:val="22"/>
          <w:rtl w:val="false"/>
        </w:rPr>
        <w:t xml:space="preserve">. UNESCO Principal Regional Office for Asia and the Pacific.</w:t>
      </w:r>
    </w:p>
    <w:p>
      <w:pPr>
        <w:bidi w:val="false"/>
        <w:spacing w:after="120" w:line="276"/>
        <w:ind w:left="567" w:hanging="567"/>
        <w:jc w:val="left"/>
      </w:pPr>
      <w:r>
        <w:rPr>
          <w:rFonts w:ascii="Times New Roman" w:cs="Noto Naskh Arabic" w:eastAsia="Noto Naskh Arabic" w:hAnsi="Times New Roman"/>
          <w:sz w:val="22"/>
          <w:szCs w:val="22"/>
          <w:rtl w:val="false"/>
        </w:rPr>
        <w:t xml:space="preserve">Ministry of Education and Culture. (2017). </w:t>
      </w:r>
      <w:r>
        <w:rPr>
          <w:rFonts w:ascii="Times New Roman" w:cs="Noto Naskh Arabic" w:eastAsia="Noto Naskh Arabic" w:hAnsi="Times New Roman"/>
          <w:i/>
          <w:sz w:val="22"/>
          <w:szCs w:val="22"/>
          <w:rtl w:val="false"/>
        </w:rPr>
        <w:t xml:space="preserve">Strategy for cultural policy 2025</w:t>
      </w:r>
      <w:r>
        <w:rPr>
          <w:rFonts w:ascii="Times New Roman" w:cs="Noto Naskh Arabic" w:eastAsia="Noto Naskh Arabic" w:hAnsi="Times New Roman"/>
          <w:sz w:val="22"/>
          <w:szCs w:val="22"/>
          <w:rtl w:val="false"/>
        </w:rPr>
        <w:t xml:space="preserve">. Ministry of Education and Culture, Finland.</w:t>
      </w:r>
    </w:p>
    <w:p>
      <w:pPr>
        <w:bidi w:val="false"/>
        <w:spacing w:after="120" w:line="276"/>
        <w:ind w:left="567" w:hanging="567"/>
        <w:jc w:val="left"/>
      </w:pPr>
      <w:r>
        <w:rPr>
          <w:rFonts w:ascii="Times New Roman" w:cs="Noto Naskh Arabic" w:eastAsia="Noto Naskh Arabic" w:hAnsi="Times New Roman"/>
          <w:sz w:val="22"/>
          <w:szCs w:val="22"/>
          <w:rtl w:val="false"/>
        </w:rPr>
        <w:t xml:space="preserve">Ministry of Education and Culture. (2025). </w:t>
      </w:r>
      <w:r>
        <w:rPr>
          <w:rFonts w:ascii="Times New Roman" w:cs="Noto Naskh Arabic" w:eastAsia="Noto Naskh Arabic" w:hAnsi="Times New Roman"/>
          <w:i/>
          <w:sz w:val="22"/>
          <w:szCs w:val="22"/>
          <w:rtl w:val="false"/>
        </w:rPr>
        <w:t xml:space="preserve">Cultural policy report</w:t>
      </w:r>
      <w:r>
        <w:rPr>
          <w:rFonts w:ascii="Times New Roman" w:cs="Noto Naskh Arabic" w:eastAsia="Noto Naskh Arabic" w:hAnsi="Times New Roman"/>
          <w:sz w:val="22"/>
          <w:szCs w:val="22"/>
          <w:rtl w:val="false"/>
        </w:rPr>
        <w:t xml:space="preserve">. Finnish Government. https://valtioneuvosto.fi/en/-/1410845/culture-as-strong-and-unifying-force-in-building-sustainable-viable-and-more-humane-future</w:t>
      </w:r>
    </w:p>
    <w:p>
      <w:pPr>
        <w:bidi w:val="false"/>
        <w:spacing w:after="120" w:line="276"/>
        <w:ind w:left="567" w:hanging="567"/>
        <w:jc w:val="left"/>
      </w:pPr>
      <w:r>
        <w:rPr>
          <w:rFonts w:ascii="Times New Roman" w:cs="Noto Naskh Arabic" w:eastAsia="Noto Naskh Arabic" w:hAnsi="Times New Roman"/>
          <w:sz w:val="22"/>
          <w:szCs w:val="22"/>
          <w:rtl w:val="false"/>
        </w:rPr>
        <w:t xml:space="preserve">Minkkinen, M. (n.d.). </w:t>
      </w:r>
      <w:r>
        <w:rPr>
          <w:rFonts w:ascii="Times New Roman" w:cs="Noto Naskh Arabic" w:eastAsia="Noto Naskh Arabic" w:hAnsi="Times New Roman"/>
          <w:i/>
          <w:sz w:val="22"/>
          <w:szCs w:val="22"/>
          <w:rtl w:val="false"/>
        </w:rPr>
        <w:t xml:space="preserve">Futures teaching and learning – lessons from Finland</w:t>
      </w:r>
      <w:r>
        <w:rPr>
          <w:rFonts w:ascii="Times New Roman" w:cs="Noto Naskh Arabic" w:eastAsia="Noto Naskh Arabic" w:hAnsi="Times New Roman"/>
          <w:sz w:val="22"/>
          <w:szCs w:val="22"/>
          <w:rtl w:val="false"/>
        </w:rPr>
        <w:t xml:space="preserve">. University of Turku. https://www.utupub.fi/bitstreams/9d713f69-c539-4208-aac0-860d63112aa1/download</w:t>
      </w:r>
    </w:p>
    <w:p>
      <w:pPr>
        <w:bidi w:val="false"/>
        <w:spacing w:after="120" w:line="276"/>
        <w:ind w:left="567" w:hanging="567"/>
        <w:jc w:val="left"/>
      </w:pPr>
      <w:r>
        <w:rPr>
          <w:rFonts w:ascii="Times New Roman" w:cs="Noto Naskh Arabic" w:eastAsia="Noto Naskh Arabic" w:hAnsi="Times New Roman"/>
          <w:sz w:val="22"/>
          <w:szCs w:val="22"/>
          <w:rtl w:val="false"/>
        </w:rPr>
        <w:t xml:space="preserve">National Arts Council. (2023). </w:t>
      </w:r>
      <w:r>
        <w:rPr>
          <w:rFonts w:ascii="Times New Roman" w:cs="Noto Naskh Arabic" w:eastAsia="Noto Naskh Arabic" w:hAnsi="Times New Roman"/>
          <w:i/>
          <w:sz w:val="22"/>
          <w:szCs w:val="22"/>
          <w:rtl w:val="false"/>
        </w:rPr>
        <w:t xml:space="preserve">Our SG Arts Plan (2023–2027)</w:t>
      </w:r>
      <w:r>
        <w:rPr>
          <w:rFonts w:ascii="Times New Roman" w:cs="Noto Naskh Arabic" w:eastAsia="Noto Naskh Arabic" w:hAnsi="Times New Roman"/>
          <w:sz w:val="22"/>
          <w:szCs w:val="22"/>
          <w:rtl w:val="false"/>
        </w:rPr>
        <w:t xml:space="preserve">. National Arts Council, Singapore. https://www.nac.gov.sg/docs/default-source/our-sg-arts-plan-(2023---2027)/our-sg-arts-plan-2023---2027.pdf</w:t>
      </w:r>
    </w:p>
    <w:p>
      <w:pPr>
        <w:bidi w:val="false"/>
        <w:spacing w:after="120" w:line="276"/>
        <w:ind w:left="567" w:hanging="567"/>
        <w:jc w:val="left"/>
      </w:pPr>
      <w:r>
        <w:rPr>
          <w:rFonts w:ascii="Times New Roman" w:cs="Noto Naskh Arabic" w:eastAsia="Noto Naskh Arabic" w:hAnsi="Times New Roman"/>
          <w:sz w:val="22"/>
          <w:szCs w:val="22"/>
          <w:rtl w:val="false"/>
        </w:rPr>
        <w:t xml:space="preserve">Nieborg, D. B., &amp; Poell, T. (2018). The platformization of cultural production: Theorizing the contingent cultural commodity. </w:t>
      </w:r>
      <w:r>
        <w:rPr>
          <w:rFonts w:ascii="Times New Roman" w:cs="Noto Naskh Arabic" w:eastAsia="Noto Naskh Arabic" w:hAnsi="Times New Roman"/>
          <w:i/>
          <w:sz w:val="22"/>
          <w:szCs w:val="22"/>
          <w:rtl w:val="false"/>
        </w:rPr>
        <w:t xml:space="preserve">New Media &amp; Society, 20</w:t>
      </w:r>
      <w:r>
        <w:rPr>
          <w:rFonts w:ascii="Times New Roman" w:cs="Noto Naskh Arabic" w:eastAsia="Noto Naskh Arabic" w:hAnsi="Times New Roman"/>
          <w:sz w:val="22"/>
          <w:szCs w:val="22"/>
          <w:rtl w:val="false"/>
        </w:rPr>
        <w:t xml:space="preserve">(11), 4275–4292. https://doi.org/10.1177/1461444818769694</w:t>
      </w:r>
    </w:p>
    <w:p>
      <w:pPr>
        <w:bidi w:val="false"/>
        <w:spacing w:after="120" w:line="276"/>
        <w:ind w:left="567" w:hanging="567"/>
        <w:jc w:val="left"/>
      </w:pPr>
      <w:r>
        <w:rPr>
          <w:rFonts w:ascii="Times New Roman" w:cs="Noto Naskh Arabic" w:eastAsia="Noto Naskh Arabic" w:hAnsi="Times New Roman"/>
          <w:sz w:val="22"/>
          <w:szCs w:val="22"/>
          <w:rtl w:val="false"/>
        </w:rPr>
        <w:t xml:space="preserve">OECD. (2025). </w:t>
      </w:r>
      <w:r>
        <w:rPr>
          <w:rFonts w:ascii="Times New Roman" w:cs="Noto Naskh Arabic" w:eastAsia="Noto Naskh Arabic" w:hAnsi="Times New Roman"/>
          <w:i/>
          <w:sz w:val="22"/>
          <w:szCs w:val="22"/>
          <w:rtl w:val="false"/>
        </w:rPr>
        <w:t xml:space="preserve">Strategic foresight toolkit for resilient public policy: A comprehensive foresight methodology to support sustainable and future-ready public policy</w:t>
      </w:r>
      <w:r>
        <w:rPr>
          <w:rFonts w:ascii="Times New Roman" w:cs="Noto Naskh Arabic" w:eastAsia="Noto Naskh Arabic" w:hAnsi="Times New Roman"/>
          <w:sz w:val="22"/>
          <w:szCs w:val="22"/>
          <w:rtl w:val="false"/>
        </w:rPr>
        <w:t xml:space="preserve">. OECD Publishing. https://doi.org/10.1787/bcdd9304-en</w:t>
      </w:r>
    </w:p>
    <w:p>
      <w:pPr>
        <w:bidi w:val="false"/>
        <w:spacing w:after="120" w:line="276"/>
        <w:ind w:left="567" w:hanging="567"/>
        <w:jc w:val="left"/>
      </w:pPr>
      <w:r>
        <w:rPr>
          <w:rFonts w:ascii="Times New Roman" w:cs="Noto Naskh Arabic" w:eastAsia="Noto Naskh Arabic" w:hAnsi="Times New Roman"/>
          <w:sz w:val="22"/>
          <w:szCs w:val="22"/>
          <w:rtl w:val="false"/>
        </w:rPr>
        <w:t xml:space="preserve">OECD Observatory of Public Sector Innovation. (n.d.). </w:t>
      </w:r>
      <w:r>
        <w:rPr>
          <w:rFonts w:ascii="Times New Roman" w:cs="Noto Naskh Arabic" w:eastAsia="Noto Naskh Arabic" w:hAnsi="Times New Roman"/>
          <w:i/>
          <w:sz w:val="22"/>
          <w:szCs w:val="22"/>
          <w:rtl w:val="false"/>
        </w:rPr>
        <w:t xml:space="preserve">The Centre for Strategic Futures in Singapore</w:t>
      </w:r>
      <w:r>
        <w:rPr>
          <w:rFonts w:ascii="Times New Roman" w:cs="Noto Naskh Arabic" w:eastAsia="Noto Naskh Arabic" w:hAnsi="Times New Roman"/>
          <w:sz w:val="22"/>
          <w:szCs w:val="22"/>
          <w:rtl w:val="false"/>
        </w:rPr>
        <w:t xml:space="preserve">. Retrieved October 11, 2026, from https://oecd-opsi.org/?p=30453</w:t>
      </w:r>
    </w:p>
    <w:p>
      <w:pPr>
        <w:bidi w:val="false"/>
        <w:spacing w:after="120" w:line="276"/>
        <w:ind w:left="567" w:hanging="567"/>
        <w:jc w:val="left"/>
      </w:pPr>
      <w:r>
        <w:rPr>
          <w:rFonts w:ascii="Times New Roman" w:cs="Noto Naskh Arabic" w:eastAsia="Noto Naskh Arabic" w:hAnsi="Times New Roman"/>
          <w:sz w:val="22"/>
          <w:szCs w:val="22"/>
          <w:rtl w:val="false"/>
        </w:rPr>
        <w:t xml:space="preserve">Popper, R. (2008). How are foresight methods selected? </w:t>
      </w:r>
      <w:r>
        <w:rPr>
          <w:rFonts w:ascii="Times New Roman" w:cs="Noto Naskh Arabic" w:eastAsia="Noto Naskh Arabic" w:hAnsi="Times New Roman"/>
          <w:i/>
          <w:sz w:val="22"/>
          <w:szCs w:val="22"/>
          <w:rtl w:val="false"/>
        </w:rPr>
        <w:t xml:space="preserve">Foresight, 10</w:t>
      </w:r>
      <w:r>
        <w:rPr>
          <w:rFonts w:ascii="Times New Roman" w:cs="Noto Naskh Arabic" w:eastAsia="Noto Naskh Arabic" w:hAnsi="Times New Roman"/>
          <w:sz w:val="22"/>
          <w:szCs w:val="22"/>
          <w:rtl w:val="false"/>
        </w:rPr>
        <w:t xml:space="preserve">(6), 62–89. https://doi.org/10.1108/14636680810918586</w:t>
      </w:r>
    </w:p>
    <w:p>
      <w:pPr>
        <w:bidi w:val="false"/>
        <w:spacing w:after="120" w:line="276"/>
        <w:ind w:left="567" w:hanging="567"/>
        <w:jc w:val="left"/>
      </w:pPr>
      <w:r>
        <w:rPr>
          <w:rFonts w:ascii="Times New Roman" w:cs="Noto Naskh Arabic" w:eastAsia="Noto Naskh Arabic" w:hAnsi="Times New Roman"/>
          <w:sz w:val="22"/>
          <w:szCs w:val="22"/>
          <w:rtl w:val="false"/>
        </w:rPr>
        <w:t xml:space="preserve">Santana-Villegas, F. J., &amp; Álvarez von Gustedt, A. (in press). Cultural dimensions in foresight and scenario planning: An exploratory study. </w:t>
      </w:r>
      <w:r>
        <w:rPr>
          <w:rFonts w:ascii="Times New Roman" w:cs="Noto Naskh Arabic" w:eastAsia="Noto Naskh Arabic" w:hAnsi="Times New Roman"/>
          <w:i/>
          <w:sz w:val="22"/>
          <w:szCs w:val="22"/>
          <w:rtl w:val="false"/>
        </w:rPr>
        <w:t xml:space="preserve">Journal of Futures Studies</w:t>
      </w:r>
      <w:r>
        <w:rPr>
          <w:rFonts w:ascii="Times New Roman" w:cs="Noto Naskh Arabic" w:eastAsia="Noto Naskh Arabic" w:hAnsi="Times New Roman"/>
          <w:sz w:val="22"/>
          <w:szCs w:val="22"/>
          <w:rtl w:val="false"/>
        </w:rPr>
        <w:t xml:space="preserve">. https://jfsdigital.org/cultural-dimensions-in-foresight-and-scenario-planning-an-exploratory-study/</w:t>
      </w:r>
    </w:p>
    <w:p>
      <w:pPr>
        <w:bidi w:val="false"/>
        <w:spacing w:after="120" w:line="276"/>
        <w:ind w:left="567" w:hanging="567"/>
        <w:jc w:val="left"/>
      </w:pPr>
      <w:r>
        <w:rPr>
          <w:rFonts w:ascii="Times New Roman" w:cs="Noto Naskh Arabic" w:eastAsia="Noto Naskh Arabic" w:hAnsi="Times New Roman"/>
          <w:sz w:val="22"/>
          <w:szCs w:val="22"/>
          <w:rtl w:val="false"/>
        </w:rPr>
        <w:t xml:space="preserve">Throsby, D. (2003). Determining the value of cultural goods: How much (or how little) does contingent valuation tell us? </w:t>
      </w:r>
      <w:r>
        <w:rPr>
          <w:rFonts w:ascii="Times New Roman" w:cs="Noto Naskh Arabic" w:eastAsia="Noto Naskh Arabic" w:hAnsi="Times New Roman"/>
          <w:i/>
          <w:sz w:val="22"/>
          <w:szCs w:val="22"/>
          <w:rtl w:val="false"/>
        </w:rPr>
        <w:t xml:space="preserve">Journal of Cultural Economics, 27</w:t>
      </w:r>
      <w:r>
        <w:rPr>
          <w:rFonts w:ascii="Times New Roman" w:cs="Noto Naskh Arabic" w:eastAsia="Noto Naskh Arabic" w:hAnsi="Times New Roman"/>
          <w:sz w:val="22"/>
          <w:szCs w:val="22"/>
          <w:rtl w:val="false"/>
        </w:rPr>
        <w:t xml:space="preserve">(3–4), 275–285. https://doi.org/10.1023/A:1026353905772</w:t>
      </w:r>
    </w:p>
    <w:p>
      <w:pPr>
        <w:bidi w:val="false"/>
        <w:spacing w:after="120" w:line="276"/>
        <w:ind w:left="567" w:hanging="567"/>
        <w:jc w:val="left"/>
      </w:pPr>
      <w:r>
        <w:rPr>
          <w:rFonts w:ascii="Times New Roman" w:cs="Noto Naskh Arabic" w:eastAsia="Noto Naskh Arabic" w:hAnsi="Times New Roman"/>
          <w:sz w:val="22"/>
          <w:szCs w:val="22"/>
          <w:rtl w:val="false"/>
        </w:rPr>
        <w:t xml:space="preserve">Throsby, D., &amp; Zednik, A. (2014). The economic and cultural value of paintings: Some empirical evidence. In V. A. Ginsburgh &amp; D. Throsby (Eds.), </w:t>
      </w:r>
      <w:r>
        <w:rPr>
          <w:rFonts w:ascii="Times New Roman" w:cs="Noto Naskh Arabic" w:eastAsia="Noto Naskh Arabic" w:hAnsi="Times New Roman"/>
          <w:i/>
          <w:sz w:val="22"/>
          <w:szCs w:val="22"/>
          <w:rtl w:val="false"/>
        </w:rPr>
        <w:t xml:space="preserve">Handbook of the economics of art and culture</w:t>
      </w:r>
      <w:r>
        <w:rPr>
          <w:rFonts w:ascii="Times New Roman" w:cs="Noto Naskh Arabic" w:eastAsia="Noto Naskh Arabic" w:hAnsi="Times New Roman"/>
          <w:sz w:val="22"/>
          <w:szCs w:val="22"/>
          <w:rtl w:val="false"/>
        </w:rPr>
        <w:t xml:space="preserve"> (Vol. 2). Elsevier.</w:t>
      </w:r>
    </w:p>
    <w:p>
      <w:pPr>
        <w:bidi w:val="false"/>
        <w:spacing w:after="120" w:line="276"/>
        <w:ind w:left="567" w:hanging="567"/>
        <w:jc w:val="left"/>
      </w:pPr>
      <w:r>
        <w:rPr>
          <w:rFonts w:ascii="Times New Roman" w:cs="Noto Naskh Arabic" w:eastAsia="Noto Naskh Arabic" w:hAnsi="Times New Roman"/>
          <w:sz w:val="22"/>
          <w:szCs w:val="22"/>
          <w:rtl w:val="false"/>
        </w:rPr>
        <w:t xml:space="preserve">Tricco, A. C., Lillie, E., Zarin, W., O'Brien, K. K., Colquhoun, H., Levac, D., Moher, D., Peters, M. D. J., Horsley, T., Weeks, L., Hempel, S., Akl, E. A., Chang, C., McGowan, J., Stewart, L., Hartling, L., Aldcroft, A., Wilson, M. G., Garritty, C., … Straus, S. E. (2018). PRISMA extension for scoping reviews (PRISMA-ScR): Checklist and explanation. </w:t>
      </w:r>
      <w:r>
        <w:rPr>
          <w:rFonts w:ascii="Times New Roman" w:cs="Noto Naskh Arabic" w:eastAsia="Noto Naskh Arabic" w:hAnsi="Times New Roman"/>
          <w:i/>
          <w:sz w:val="22"/>
          <w:szCs w:val="22"/>
          <w:rtl w:val="false"/>
        </w:rPr>
        <w:t xml:space="preserve">Annals of Internal Medicine, 169</w:t>
      </w:r>
      <w:r>
        <w:rPr>
          <w:rFonts w:ascii="Times New Roman" w:cs="Noto Naskh Arabic" w:eastAsia="Noto Naskh Arabic" w:hAnsi="Times New Roman"/>
          <w:sz w:val="22"/>
          <w:szCs w:val="22"/>
          <w:rtl w:val="false"/>
        </w:rPr>
        <w:t xml:space="preserve">(7), 467–473. https://doi.org/10.7326/M18-0850</w:t>
      </w:r>
    </w:p>
    <w:p>
      <w:pPr>
        <w:bidi w:val="false"/>
        <w:spacing w:after="120" w:line="276"/>
        <w:ind w:left="567" w:hanging="567"/>
        <w:jc w:val="left"/>
      </w:pPr>
      <w:r>
        <w:rPr>
          <w:rFonts w:ascii="Times New Roman" w:cs="Noto Naskh Arabic" w:eastAsia="Noto Naskh Arabic" w:hAnsi="Times New Roman"/>
          <w:sz w:val="22"/>
          <w:szCs w:val="22"/>
          <w:rtl w:val="false"/>
        </w:rPr>
        <w:t xml:space="preserve">UNCTAD. (2024). </w:t>
      </w:r>
      <w:r>
        <w:rPr>
          <w:rFonts w:ascii="Times New Roman" w:cs="Noto Naskh Arabic" w:eastAsia="Noto Naskh Arabic" w:hAnsi="Times New Roman"/>
          <w:i/>
          <w:sz w:val="22"/>
          <w:szCs w:val="22"/>
          <w:rtl w:val="false"/>
        </w:rPr>
        <w:t xml:space="preserve">Creative economy outlook 2024</w:t>
      </w:r>
      <w:r>
        <w:rPr>
          <w:rFonts w:ascii="Times New Roman" w:cs="Noto Naskh Arabic" w:eastAsia="Noto Naskh Arabic" w:hAnsi="Times New Roman"/>
          <w:sz w:val="22"/>
          <w:szCs w:val="22"/>
          <w:rtl w:val="false"/>
        </w:rPr>
        <w:t xml:space="preserve">. United Nations.</w:t>
      </w:r>
    </w:p>
    <w:p>
      <w:pPr>
        <w:bidi w:val="false"/>
        <w:spacing w:after="120" w:line="276"/>
        <w:ind w:left="567" w:hanging="567"/>
        <w:jc w:val="left"/>
      </w:pPr>
      <w:r>
        <w:rPr>
          <w:rFonts w:ascii="Times New Roman" w:cs="Noto Naskh Arabic" w:eastAsia="Noto Naskh Arabic" w:hAnsi="Times New Roman"/>
          <w:sz w:val="22"/>
          <w:szCs w:val="22"/>
          <w:rtl w:val="false"/>
        </w:rPr>
        <w:t xml:space="preserve">UNCTAD. (2026). </w:t>
      </w:r>
      <w:r>
        <w:rPr>
          <w:rFonts w:ascii="Times New Roman" w:cs="Noto Naskh Arabic" w:eastAsia="Noto Naskh Arabic" w:hAnsi="Times New Roman"/>
          <w:i/>
          <w:sz w:val="22"/>
          <w:szCs w:val="22"/>
          <w:rtl w:val="false"/>
        </w:rPr>
        <w:t xml:space="preserve">Global trade in creative services booming while trade in creative goods stalls</w:t>
      </w:r>
      <w:r>
        <w:rPr>
          <w:rFonts w:ascii="Times New Roman" w:cs="Noto Naskh Arabic" w:eastAsia="Noto Naskh Arabic" w:hAnsi="Times New Roman"/>
          <w:sz w:val="22"/>
          <w:szCs w:val="22"/>
          <w:rtl w:val="false"/>
        </w:rPr>
        <w:t xml:space="preserve"> [Data insight]. UNCTADstat. https://unctadstat.unctad.org/insights/theme/97</w:t>
      </w:r>
    </w:p>
    <w:p>
      <w:pPr>
        <w:bidi w:val="false"/>
        <w:spacing w:after="120" w:line="276"/>
        <w:ind w:left="567" w:hanging="567"/>
        <w:jc w:val="left"/>
      </w:pPr>
      <w:r>
        <w:rPr>
          <w:rFonts w:ascii="Times New Roman" w:cs="Noto Naskh Arabic" w:eastAsia="Noto Naskh Arabic" w:hAnsi="Times New Roman"/>
          <w:sz w:val="22"/>
          <w:szCs w:val="22"/>
          <w:rtl w:val="false"/>
        </w:rPr>
        <w:t xml:space="preserve">UNESCO. (1990). </w:t>
      </w:r>
      <w:r>
        <w:rPr>
          <w:rFonts w:ascii="Times New Roman" w:cs="Noto Naskh Arabic" w:eastAsia="Noto Naskh Arabic" w:hAnsi="Times New Roman"/>
          <w:i/>
          <w:sz w:val="22"/>
          <w:szCs w:val="22"/>
          <w:rtl w:val="false"/>
        </w:rPr>
        <w:t xml:space="preserve">The futures of culture: Vol. 1. Meeting of the Working Group on the Futures of Culture, Paris, 9–10 January 1990</w:t>
      </w:r>
      <w:r>
        <w:rPr>
          <w:rFonts w:ascii="Times New Roman" w:cs="Noto Naskh Arabic" w:eastAsia="Noto Naskh Arabic" w:hAnsi="Times New Roman"/>
          <w:sz w:val="22"/>
          <w:szCs w:val="22"/>
          <w:rtl w:val="false"/>
        </w:rPr>
        <w:t xml:space="preserve">. UNESCO. https://unesdoc.unesco.org/ark:/48223/pf0000159309</w:t>
      </w:r>
    </w:p>
    <w:p>
      <w:pPr>
        <w:bidi w:val="false"/>
        <w:spacing w:after="120" w:line="276"/>
        <w:ind w:left="567" w:hanging="567"/>
        <w:jc w:val="left"/>
      </w:pPr>
      <w:r>
        <w:rPr>
          <w:rFonts w:ascii="Times New Roman" w:cs="Noto Naskh Arabic" w:eastAsia="Noto Naskh Arabic" w:hAnsi="Times New Roman"/>
          <w:sz w:val="22"/>
          <w:szCs w:val="22"/>
          <w:rtl w:val="false"/>
        </w:rPr>
        <w:t xml:space="preserve">UNESCO. (2022). </w:t>
      </w:r>
      <w:r>
        <w:rPr>
          <w:rFonts w:ascii="Times New Roman" w:cs="Noto Naskh Arabic" w:eastAsia="Noto Naskh Arabic" w:hAnsi="Times New Roman"/>
          <w:i/>
          <w:sz w:val="22"/>
          <w:szCs w:val="22"/>
          <w:rtl w:val="false"/>
        </w:rPr>
        <w:t xml:space="preserve">Re|shaping policies for creativity: Addressing culture as a global public good</w:t>
      </w:r>
      <w:r>
        <w:rPr>
          <w:rFonts w:ascii="Times New Roman" w:cs="Noto Naskh Arabic" w:eastAsia="Noto Naskh Arabic" w:hAnsi="Times New Roman"/>
          <w:sz w:val="22"/>
          <w:szCs w:val="22"/>
          <w:rtl w:val="false"/>
        </w:rPr>
        <w:t xml:space="preserve">. UNESCO. https://www.unesco.org/reports/reshaping-creativity/2022/en</w:t>
      </w:r>
    </w:p>
    <w:p>
      <w:pPr>
        <w:bidi w:val="false"/>
        <w:spacing w:after="120" w:line="276"/>
        <w:ind w:left="567" w:hanging="567"/>
        <w:jc w:val="left"/>
      </w:pPr>
      <w:r>
        <w:rPr>
          <w:rFonts w:ascii="Times New Roman" w:cs="Noto Naskh Arabic" w:eastAsia="Noto Naskh Arabic" w:hAnsi="Times New Roman"/>
          <w:sz w:val="22"/>
          <w:szCs w:val="22"/>
          <w:rtl w:val="false"/>
        </w:rPr>
        <w:t xml:space="preserve">UNESCO. (2025). </w:t>
      </w:r>
      <w:r>
        <w:rPr>
          <w:rFonts w:ascii="Times New Roman" w:cs="Noto Naskh Arabic" w:eastAsia="Noto Naskh Arabic" w:hAnsi="Times New Roman"/>
          <w:i/>
          <w:sz w:val="22"/>
          <w:szCs w:val="22"/>
          <w:rtl w:val="false"/>
        </w:rPr>
        <w:t xml:space="preserve">UNESCO global report on cultural policies: Culture, the missing SDG</w:t>
      </w:r>
      <w:r>
        <w:rPr>
          <w:rFonts w:ascii="Times New Roman" w:cs="Noto Naskh Arabic" w:eastAsia="Noto Naskh Arabic" w:hAnsi="Times New Roman"/>
          <w:sz w:val="22"/>
          <w:szCs w:val="22"/>
          <w:rtl w:val="false"/>
        </w:rPr>
        <w:t xml:space="preserve">. UNESCO.</w:t>
      </w:r>
    </w:p>
    <w:p>
      <w:pPr>
        <w:bidi w:val="false"/>
        <w:spacing w:after="120" w:line="276"/>
        <w:ind w:left="567" w:hanging="567"/>
        <w:jc w:val="left"/>
      </w:pPr>
      <w:r>
        <w:rPr>
          <w:rFonts w:ascii="Times New Roman" w:cs="Noto Naskh Arabic" w:eastAsia="Noto Naskh Arabic" w:hAnsi="Times New Roman"/>
          <w:sz w:val="22"/>
          <w:szCs w:val="22"/>
          <w:rtl w:val="false"/>
        </w:rPr>
        <w:t xml:space="preserve">UNESCO. (2026). </w:t>
      </w:r>
      <w:r>
        <w:rPr>
          <w:rFonts w:ascii="Times New Roman" w:cs="Noto Naskh Arabic" w:eastAsia="Noto Naskh Arabic" w:hAnsi="Times New Roman"/>
          <w:i/>
          <w:sz w:val="22"/>
          <w:szCs w:val="22"/>
          <w:rtl w:val="false"/>
        </w:rPr>
        <w:t xml:space="preserve">Re|Shaping policies for creativity: We share, we act, we build</w:t>
      </w:r>
      <w:r>
        <w:rPr>
          <w:rFonts w:ascii="Times New Roman" w:cs="Noto Naskh Arabic" w:eastAsia="Noto Naskh Arabic" w:hAnsi="Times New Roman"/>
          <w:sz w:val="22"/>
          <w:szCs w:val="22"/>
          <w:rtl w:val="false"/>
        </w:rPr>
        <w:t xml:space="preserve">. UNESCO. https://www.unesco.org/en/reshaping-creativity-reports</w:t>
      </w:r>
    </w:p>
    <w:p>
      <w:pPr>
        <w:bidi w:val="false"/>
        <w:spacing w:after="120" w:line="276"/>
        <w:ind w:left="567" w:hanging="567"/>
        <w:jc w:val="left"/>
      </w:pPr>
      <w:r>
        <w:rPr>
          <w:rFonts w:ascii="Times New Roman" w:cs="Noto Naskh Arabic" w:eastAsia="Noto Naskh Arabic" w:hAnsi="Times New Roman"/>
          <w:sz w:val="22"/>
          <w:szCs w:val="22"/>
          <w:rtl w:val="false"/>
        </w:rPr>
        <w:t xml:space="preserve">University of Houston. (2008, March). </w:t>
      </w:r>
      <w:r>
        <w:rPr>
          <w:rFonts w:ascii="Times New Roman" w:cs="Noto Naskh Arabic" w:eastAsia="Noto Naskh Arabic" w:hAnsi="Times New Roman"/>
          <w:i/>
          <w:sz w:val="22"/>
          <w:szCs w:val="22"/>
          <w:rtl w:val="false"/>
        </w:rPr>
        <w:t xml:space="preserve">Future studies degree</w:t>
      </w:r>
      <w:r>
        <w:rPr>
          <w:rFonts w:ascii="Times New Roman" w:cs="Noto Naskh Arabic" w:eastAsia="Noto Naskh Arabic" w:hAnsi="Times New Roman"/>
          <w:sz w:val="22"/>
          <w:szCs w:val="22"/>
          <w:rtl w:val="false"/>
        </w:rPr>
        <w:t xml:space="preserve"> [News release]. https://www.uh.edu/news-events/stories/2008articles/mar08/303_future_studies.php</w:t>
      </w:r>
    </w:p>
    <w:p>
      <w:pPr>
        <w:bidi w:val="false"/>
        <w:spacing w:after="120" w:line="276"/>
        <w:ind w:left="567" w:hanging="567"/>
        <w:jc w:val="left"/>
      </w:pPr>
      <w:r>
        <w:rPr>
          <w:rFonts w:ascii="Times New Roman" w:cs="Noto Naskh Arabic" w:eastAsia="Noto Naskh Arabic" w:hAnsi="Times New Roman"/>
          <w:sz w:val="22"/>
          <w:szCs w:val="22"/>
          <w:rtl w:val="false"/>
        </w:rPr>
        <w:t xml:space="preserve">University of Houston. (n.d.). </w:t>
      </w:r>
      <w:r>
        <w:rPr>
          <w:rFonts w:ascii="Times New Roman" w:cs="Noto Naskh Arabic" w:eastAsia="Noto Naskh Arabic" w:hAnsi="Times New Roman"/>
          <w:i/>
          <w:sz w:val="22"/>
          <w:szCs w:val="22"/>
          <w:rtl w:val="false"/>
        </w:rPr>
        <w:t xml:space="preserve">Master of Science in Foresight: Course requirements</w:t>
      </w:r>
      <w:r>
        <w:rPr>
          <w:rFonts w:ascii="Times New Roman" w:cs="Noto Naskh Arabic" w:eastAsia="Noto Naskh Arabic" w:hAnsi="Times New Roman"/>
          <w:sz w:val="22"/>
          <w:szCs w:val="22"/>
          <w:rtl w:val="false"/>
        </w:rPr>
        <w:t xml:space="preserve">. Retrieved October 11, 2026, from https://dot.egr.uh.edu/programs/graduate/foresight/course-requirements</w:t>
      </w:r>
    </w:p>
    <w:p>
      <w:pPr>
        <w:bidi w:val="false"/>
        <w:spacing w:after="120" w:line="276"/>
        <w:ind w:left="567" w:hanging="567"/>
        <w:jc w:val="left"/>
      </w:pPr>
      <w:r>
        <w:rPr>
          <w:rFonts w:ascii="Times New Roman" w:cs="Noto Naskh Arabic" w:eastAsia="Noto Naskh Arabic" w:hAnsi="Times New Roman"/>
          <w:sz w:val="22"/>
          <w:szCs w:val="22"/>
          <w:rtl w:val="false"/>
        </w:rPr>
        <w:t xml:space="preserve">Villman, T., Heinonen, S., &amp; Pouru-Mikkola, L. (2024). Brief history of establishing the futures field in Finland. In </w:t>
      </w:r>
      <w:r>
        <w:rPr>
          <w:rFonts w:ascii="Times New Roman" w:cs="Noto Naskh Arabic" w:eastAsia="Noto Naskh Arabic" w:hAnsi="Times New Roman"/>
          <w:i/>
          <w:sz w:val="22"/>
          <w:szCs w:val="22"/>
          <w:rtl w:val="false"/>
        </w:rPr>
        <w:t xml:space="preserve">Our world of futures studies as a mosaic</w:t>
      </w:r>
      <w:r>
        <w:rPr>
          <w:rFonts w:ascii="Times New Roman" w:cs="Noto Naskh Arabic" w:eastAsia="Noto Naskh Arabic" w:hAnsi="Times New Roman"/>
          <w:sz w:val="22"/>
          <w:szCs w:val="22"/>
          <w:rtl w:val="false"/>
        </w:rPr>
        <w:t xml:space="preserve"> (Futures Series 10, pp. 11–21). Finnish Society for Futures Studies. https://www.tutuseura.fi/wp-content/uploads/2024/06/Our-World-of-Futures-Studies-as-a-Mosaic-part-one.pdf</w:t>
      </w:r>
    </w:p>
    <w:p>
      <w:pPr>
        <w:pBdr>
          <w:bottom w:val="single" w:color="B8860B" w:sz="6" w:space="4"/>
        </w:pBdr>
        <w:spacing w:after="160"/>
      </w:pPr>
    </w:p>
    <w:p>
      <w:pPr>
        <w:bidi/>
        <w:spacing w:after="120" w:line="276"/>
        <w:ind w:left="567" w:hanging="567"/>
        <w:jc w:val="right"/>
      </w:pPr>
      <w:r>
        <w:rPr>
          <w:rFonts w:ascii="Times New Roman" w:cs="Noto Naskh Arabic" w:eastAsia="Noto Naskh Arabic" w:hAnsi="Times New Roman"/>
          <w:b/>
          <w:bCs/>
          <w:sz w:val="22"/>
          <w:szCs w:val="22"/>
          <w:rtl/>
        </w:rPr>
        <w:t xml:space="preserve">ملاحظات توثيقية.</w:t>
      </w:r>
      <w:r>
        <w:rPr>
          <w:rFonts w:ascii="Times New Roman" w:cs="Noto Naskh Arabic" w:eastAsia="Noto Naskh Arabic" w:hAnsi="Times New Roman"/>
          <w:sz w:val="22"/>
          <w:szCs w:val="22"/>
          <w:rtl/>
        </w:rPr>
        <w:t xml:space="preserve"> (١) مرجع الكيلاني يبدأ في الصفحة ١٩٣ ولم تظهر صفحته الأخيرة في المصدر المتاح، فتُرك نطاقه مفتوحاً. (٢) مرجعا </w:t>
      </w:r>
      <w:r>
        <w:rPr>
          <w:rFonts w:ascii="Times New Roman" w:cs="Noto Naskh Arabic" w:eastAsia="Noto Naskh Arabic" w:hAnsi="Times New Roman"/>
          <w:sz w:val="22"/>
          <w:szCs w:val="22"/>
          <w:rtl w:val="false"/>
        </w:rPr>
        <w:t xml:space="preserve">Hylland</w:t>
      </w:r>
      <w:r>
        <w:rPr>
          <w:rFonts w:ascii="Times New Roman" w:cs="Noto Naskh Arabic" w:eastAsia="Noto Naskh Arabic" w:hAnsi="Times New Roman"/>
          <w:sz w:val="22"/>
          <w:szCs w:val="22"/>
          <w:rtl/>
        </w:rPr>
        <w:t xml:space="preserve"> وافتتاحية العدد الخاص لم تظهر أرقام صفحاتهما في السجل المتاح، فاكتُفي بالمعرّف الرقمي. (٣) فصل </w:t>
      </w:r>
      <w:r>
        <w:rPr>
          <w:rFonts w:ascii="Times New Roman" w:cs="Noto Naskh Arabic" w:eastAsia="Noto Naskh Arabic" w:hAnsi="Times New Roman"/>
          <w:sz w:val="22"/>
          <w:szCs w:val="22"/>
          <w:rtl w:val="false"/>
        </w:rPr>
        <w:t xml:space="preserve">Throsby</w:t>
      </w:r>
      <w:r>
        <w:rPr>
          <w:rFonts w:ascii="Times New Roman" w:cs="Noto Naskh Arabic" w:eastAsia="Noto Naskh Arabic" w:hAnsi="Times New Roman"/>
          <w:sz w:val="22"/>
          <w:szCs w:val="22"/>
          <w:rtl/>
        </w:rPr>
        <w:t xml:space="preserve"> و</w:t>
      </w:r>
      <w:r>
        <w:rPr>
          <w:rFonts w:ascii="Times New Roman" w:cs="Noto Naskh Arabic" w:eastAsia="Noto Naskh Arabic" w:hAnsi="Times New Roman"/>
          <w:sz w:val="22"/>
          <w:szCs w:val="22"/>
          <w:rtl w:val="false"/>
        </w:rPr>
        <w:t xml:space="preserve">Zednik</w:t>
      </w:r>
      <w:r>
        <w:rPr>
          <w:rFonts w:ascii="Times New Roman" w:cs="Noto Naskh Arabic" w:eastAsia="Noto Naskh Arabic" w:hAnsi="Times New Roman"/>
          <w:sz w:val="22"/>
          <w:szCs w:val="22"/>
          <w:rtl/>
        </w:rPr>
        <w:t xml:space="preserve"> مُثبت في سجل الجامعة دون أرقام صفحات، فلم تُذكر. (٤) يُفهم الاعتماد على مواقع رسمية بلا تاريخ (د.ت./</w:t>
      </w:r>
      <w:r>
        <w:rPr>
          <w:rFonts w:ascii="Times New Roman" w:cs="Noto Naskh Arabic" w:eastAsia="Noto Naskh Arabic" w:hAnsi="Times New Roman"/>
          <w:sz w:val="22"/>
          <w:szCs w:val="22"/>
          <w:rtl w:val="false"/>
        </w:rPr>
        <w:t xml:space="preserve">n.d</w:t>
      </w:r>
      <w:r>
        <w:rPr>
          <w:rFonts w:ascii="Times New Roman" w:cs="Noto Naskh Arabic" w:eastAsia="Noto Naskh Arabic" w:hAnsi="Times New Roman"/>
          <w:sz w:val="22"/>
          <w:szCs w:val="22"/>
          <w:rtl/>
        </w:rPr>
        <w:t xml:space="preserve">.) على أنه وصف لحالة الصفحة عند الاسترجاع في ١١ أكتوبر ٢٠٢٦.</w:t>
      </w:r>
    </w:p>
    <w:sectPr>
      <w:headerReference w:type="default" r:id="rId7"/>
      <w:headerReference w:type="first" r:id="rId8"/>
      <w:footerReference w:type="default" r:id="rId9"/>
      <w:footerReference w:type="first" r:id="rId10"/>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F4E7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Hutter, M., &amp; Throsby, D. (Eds.). (2008). </w:t>
      </w:r>
      <w:r>
        <w:rPr>
          <w:rFonts w:ascii="Times New Roman" w:cs="Noto Naskh Arabic" w:eastAsia="Noto Naskh Arabic" w:hAnsi="Times New Roman"/>
          <w:i/>
          <w:sz w:val="18"/>
          <w:szCs w:val="18"/>
          <w:rtl w:val="false"/>
        </w:rPr>
        <w:t xml:space="preserve">Beyond price: Value in culture, economics, and the arts</w:t>
      </w:r>
      <w:r>
        <w:rPr>
          <w:rFonts w:ascii="Times New Roman" w:cs="Noto Naskh Arabic" w:eastAsia="Noto Naskh Arabic" w:hAnsi="Times New Roman"/>
          <w:sz w:val="18"/>
          <w:szCs w:val="18"/>
          <w:rtl w:val="false"/>
        </w:rPr>
        <w:t xml:space="preserve">. Cambridge University Press.</w:t>
      </w:r>
    </w:p>
  </w:footnote>
  <w:footnote w:id="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(2003). Determining the value of cultural goods: How much (or how little) does contingent valuation tell us? </w:t>
      </w:r>
      <w:r>
        <w:rPr>
          <w:rFonts w:ascii="Times New Roman" w:cs="Noto Naskh Arabic" w:eastAsia="Noto Naskh Arabic" w:hAnsi="Times New Roman"/>
          <w:i/>
          <w:sz w:val="18"/>
          <w:szCs w:val="18"/>
          <w:rtl w:val="false"/>
        </w:rPr>
        <w:t xml:space="preserve">Journal of Cultural Economics, 27</w:t>
      </w:r>
      <w:r>
        <w:rPr>
          <w:rFonts w:ascii="Times New Roman" w:cs="Noto Naskh Arabic" w:eastAsia="Noto Naskh Arabic" w:hAnsi="Times New Roman"/>
          <w:sz w:val="18"/>
          <w:szCs w:val="18"/>
          <w:rtl w:val="false"/>
        </w:rPr>
        <w:t xml:space="preserve">(3–4), 275–285. https://doi.org/10.1023/A:1026353905772</w:t>
      </w:r>
    </w:p>
  </w:footnote>
  <w:footnote w:id="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&amp; Zednik, A. (2014). The economic and cultural value of paintings: Some empirical evidence. In V. A. Ginsburgh &amp; D. Throsby (Eds.), </w:t>
      </w:r>
      <w:r>
        <w:rPr>
          <w:rFonts w:ascii="Times New Roman" w:cs="Noto Naskh Arabic" w:eastAsia="Noto Naskh Arabic" w:hAnsi="Times New Roman"/>
          <w:i/>
          <w:sz w:val="18"/>
          <w:szCs w:val="18"/>
          <w:rtl w:val="false"/>
        </w:rPr>
        <w:t xml:space="preserve">Handbook of the economics of art and culture</w:t>
      </w:r>
      <w:r>
        <w:rPr>
          <w:rFonts w:ascii="Times New Roman" w:cs="Noto Naskh Arabic" w:eastAsia="Noto Naskh Arabic" w:hAnsi="Times New Roman"/>
          <w:sz w:val="18"/>
          <w:szCs w:val="18"/>
          <w:rtl w:val="false"/>
        </w:rPr>
        <w:t xml:space="preserve"> (Vol. 2). Elsevier.</w:t>
      </w:r>
    </w:p>
  </w:footnote>
  <w:footnote w:id="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UNCTAD. (2026). </w:t>
      </w:r>
      <w:r>
        <w:rPr>
          <w:rFonts w:ascii="Times New Roman" w:cs="Noto Naskh Arabic" w:eastAsia="Noto Naskh Arabic" w:hAnsi="Times New Roman"/>
          <w:i/>
          <w:sz w:val="18"/>
          <w:szCs w:val="18"/>
          <w:rtl w:val="false"/>
        </w:rPr>
        <w:t xml:space="preserve">Global trade in creative services booming while trade in creative goods stalls</w:t>
      </w:r>
      <w:r>
        <w:rPr>
          <w:rFonts w:ascii="Times New Roman" w:cs="Noto Naskh Arabic" w:eastAsia="Noto Naskh Arabic" w:hAnsi="Times New Roman"/>
          <w:sz w:val="18"/>
          <w:szCs w:val="18"/>
          <w:rtl w:val="false"/>
        </w:rPr>
        <w:t xml:space="preserve"> [Data insight]. UNCTADstat. https://unctadstat.unctad.org/insights/theme/97</w:t>
      </w:r>
    </w:p>
  </w:footnote>
  <w:footnote w:id="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(2026). </w:t>
      </w:r>
      <w:r>
        <w:rPr>
          <w:rFonts w:ascii="Times New Roman" w:cs="Noto Naskh Arabic" w:eastAsia="Noto Naskh Arabic" w:hAnsi="Times New Roman"/>
          <w:i/>
          <w:sz w:val="18"/>
          <w:szCs w:val="18"/>
          <w:rtl w:val="false"/>
        </w:rPr>
        <w:t xml:space="preserve">Re|Shaping policies for creativity: We share, we act, we build</w:t>
      </w:r>
      <w:r>
        <w:rPr>
          <w:rFonts w:ascii="Times New Roman" w:cs="Noto Naskh Arabic" w:eastAsia="Noto Naskh Arabic" w:hAnsi="Times New Roman"/>
          <w:sz w:val="18"/>
          <w:szCs w:val="18"/>
          <w:rtl w:val="false"/>
        </w:rPr>
        <w:t xml:space="preserve">. UNESCO. https://www.unesco.org/en/reshaping-creativity-reports</w:t>
      </w:r>
    </w:p>
  </w:footnote>
  <w:footnote w:id="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UNCTAD. (2024). </w:t>
      </w:r>
      <w:r>
        <w:rPr>
          <w:rFonts w:ascii="Times New Roman" w:cs="Noto Naskh Arabic" w:eastAsia="Noto Naskh Arabic" w:hAnsi="Times New Roman"/>
          <w:i/>
          <w:sz w:val="18"/>
          <w:szCs w:val="18"/>
          <w:rtl w:val="false"/>
        </w:rPr>
        <w:t xml:space="preserve">Creative economy outlook 2024</w:t>
      </w:r>
      <w:r>
        <w:rPr>
          <w:rFonts w:ascii="Times New Roman" w:cs="Noto Naskh Arabic" w:eastAsia="Noto Naskh Arabic" w:hAnsi="Times New Roman"/>
          <w:sz w:val="18"/>
          <w:szCs w:val="18"/>
          <w:rtl w:val="false"/>
        </w:rPr>
        <w:t xml:space="preserve">. United Nations.</w:t>
      </w:r>
    </w:p>
  </w:footnote>
  <w:footnote w:id="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Nieborg, D. B., &amp; Poell, T. (2018). The platformization of cultural production: Theorizing the contingent cultural commodity. </w:t>
      </w:r>
      <w:r>
        <w:rPr>
          <w:rFonts w:ascii="Times New Roman" w:cs="Noto Naskh Arabic" w:eastAsia="Noto Naskh Arabic" w:hAnsi="Times New Roman"/>
          <w:i/>
          <w:sz w:val="18"/>
          <w:szCs w:val="18"/>
          <w:rtl w:val="false"/>
        </w:rPr>
        <w:t xml:space="preserve">New Media &amp; Society, 20</w:t>
      </w:r>
      <w:r>
        <w:rPr>
          <w:rFonts w:ascii="Times New Roman" w:cs="Noto Naskh Arabic" w:eastAsia="Noto Naskh Arabic" w:hAnsi="Times New Roman"/>
          <w:sz w:val="18"/>
          <w:szCs w:val="18"/>
          <w:rtl w:val="false"/>
        </w:rPr>
        <w:t xml:space="preserve">(11), 4275–4292. https://doi.org/10.1177/1461444818769694</w:t>
      </w:r>
    </w:p>
  </w:footnote>
  <w:footnote w:id="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Duffy, B. E., Poell, T., &amp; Nieborg, D. B. (2019). Platform practices in the cultural industries: Creativity, labor, and citizenship. </w:t>
      </w:r>
      <w:r>
        <w:rPr>
          <w:rFonts w:ascii="Times New Roman" w:cs="Noto Naskh Arabic" w:eastAsia="Noto Naskh Arabic" w:hAnsi="Times New Roman"/>
          <w:i/>
          <w:sz w:val="18"/>
          <w:szCs w:val="18"/>
          <w:rtl w:val="false"/>
        </w:rPr>
        <w:t xml:space="preserve">Social Media + Society, 5</w:t>
      </w:r>
      <w:r>
        <w:rPr>
          <w:rFonts w:ascii="Times New Roman" w:cs="Noto Naskh Arabic" w:eastAsia="Noto Naskh Arabic" w:hAnsi="Times New Roman"/>
          <w:sz w:val="18"/>
          <w:szCs w:val="18"/>
          <w:rtl w:val="false"/>
        </w:rPr>
        <w:t xml:space="preserve">(4). https://doi.org/10.1177/2056305119879672</w:t>
      </w:r>
    </w:p>
  </w:footnote>
  <w:footnote w:id="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The future of cultural policy [Editorial]. (2025). </w:t>
      </w:r>
      <w:r>
        <w:rPr>
          <w:rFonts w:ascii="Times New Roman" w:cs="Noto Naskh Arabic" w:eastAsia="Noto Naskh Arabic" w:hAnsi="Times New Roman"/>
          <w:i/>
          <w:sz w:val="18"/>
          <w:szCs w:val="18"/>
          <w:rtl w:val="false"/>
        </w:rPr>
        <w:t xml:space="preserve">Nordisk kulturpolitisk tidsskrift, 28</w:t>
      </w:r>
      <w:r>
        <w:rPr>
          <w:rFonts w:ascii="Times New Roman" w:cs="Noto Naskh Arabic" w:eastAsia="Noto Naskh Arabic" w:hAnsi="Times New Roman"/>
          <w:sz w:val="18"/>
          <w:szCs w:val="18"/>
          <w:rtl w:val="false"/>
        </w:rPr>
        <w:t xml:space="preserve">(2). https://doi.org/10.18261/nkt.28.2.1</w:t>
      </w:r>
    </w:p>
  </w:footnote>
  <w:footnote w:id="1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Masini, E. B. (Ed.). (1994). </w:t>
      </w:r>
      <w:r>
        <w:rPr>
          <w:rFonts w:ascii="Times New Roman" w:cs="Noto Naskh Arabic" w:eastAsia="Noto Naskh Arabic" w:hAnsi="Times New Roman"/>
          <w:i/>
          <w:sz w:val="18"/>
          <w:szCs w:val="18"/>
          <w:rtl w:val="false"/>
        </w:rPr>
        <w:t xml:space="preserve">The futures of cultures</w:t>
      </w:r>
      <w:r>
        <w:rPr>
          <w:rFonts w:ascii="Times New Roman" w:cs="Noto Naskh Arabic" w:eastAsia="Noto Naskh Arabic" w:hAnsi="Times New Roman"/>
          <w:sz w:val="18"/>
          <w:szCs w:val="18"/>
          <w:rtl w:val="false"/>
        </w:rPr>
        <w:t xml:space="preserve">. UNESCO Publishing.</w:t>
      </w:r>
    </w:p>
  </w:footnote>
  <w:footnote w:id="1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Mangset, P. (2020). The end of cultural policy? </w:t>
      </w:r>
      <w:r>
        <w:rPr>
          <w:rFonts w:ascii="Times New Roman" w:cs="Noto Naskh Arabic" w:eastAsia="Noto Naskh Arabic" w:hAnsi="Times New Roman"/>
          <w:i/>
          <w:sz w:val="18"/>
          <w:szCs w:val="18"/>
          <w:rtl w:val="false"/>
        </w:rPr>
        <w:t xml:space="preserve">International Journal of Cultural Policy, 26</w:t>
      </w:r>
      <w:r>
        <w:rPr>
          <w:rFonts w:ascii="Times New Roman" w:cs="Noto Naskh Arabic" w:eastAsia="Noto Naskh Arabic" w:hAnsi="Times New Roman"/>
          <w:sz w:val="18"/>
          <w:szCs w:val="18"/>
          <w:rtl w:val="false"/>
        </w:rPr>
        <w:t xml:space="preserve">(3), 398–411. https://doi.org/10.1080/10286632.2018.1500560</w:t>
      </w:r>
    </w:p>
  </w:footnote>
  <w:footnote w:id="1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M. R., Kabwasa-Green, F., &amp; Herranz, J. (2006). </w:t>
      </w:r>
      <w:r>
        <w:rPr>
          <w:rFonts w:ascii="Times New Roman" w:cs="Noto Naskh Arabic" w:eastAsia="Noto Naskh Arabic" w:hAnsi="Times New Roman"/>
          <w:i/>
          <w:sz w:val="18"/>
          <w:szCs w:val="18"/>
          <w:rtl w:val="false"/>
        </w:rPr>
        <w:t xml:space="preserve">Cultural vitality in communities: Interpretation and indicators</w:t>
      </w:r>
      <w:r>
        <w:rPr>
          <w:rFonts w:ascii="Times New Roman" w:cs="Noto Naskh Arabic" w:eastAsia="Noto Naskh Arabic" w:hAnsi="Times New Roman"/>
          <w:sz w:val="18"/>
          <w:szCs w:val="18"/>
          <w:rtl w:val="false"/>
        </w:rPr>
        <w:t xml:space="preserve">. The Urban Institute.</w:t>
      </w:r>
    </w:p>
  </w:footnote>
  <w:footnote w:id="1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Hutter, M., &amp; Throsby, D. (Eds.). (2008). </w:t>
      </w:r>
      <w:r>
        <w:rPr>
          <w:rFonts w:ascii="Times New Roman" w:cs="Noto Naskh Arabic" w:eastAsia="Noto Naskh Arabic" w:hAnsi="Times New Roman"/>
          <w:i/>
          <w:sz w:val="18"/>
          <w:szCs w:val="18"/>
          <w:rtl w:val="false"/>
        </w:rPr>
        <w:t xml:space="preserve">Beyond price: Value in culture, economics, and the arts</w:t>
      </w:r>
      <w:r>
        <w:rPr>
          <w:rFonts w:ascii="Times New Roman" w:cs="Noto Naskh Arabic" w:eastAsia="Noto Naskh Arabic" w:hAnsi="Times New Roman"/>
          <w:sz w:val="18"/>
          <w:szCs w:val="18"/>
          <w:rtl w:val="false"/>
        </w:rPr>
        <w:t xml:space="preserve">. Cambridge University Press.</w:t>
      </w:r>
    </w:p>
  </w:footnote>
  <w:footnote w:id="1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(1990). </w:t>
      </w:r>
      <w:r>
        <w:rPr>
          <w:rFonts w:ascii="Times New Roman" w:cs="Noto Naskh Arabic" w:eastAsia="Noto Naskh Arabic" w:hAnsi="Times New Roman"/>
          <w:i/>
          <w:sz w:val="18"/>
          <w:szCs w:val="18"/>
          <w:rtl w:val="false"/>
        </w:rPr>
        <w:t xml:space="preserve">The futures of culture: Vol. 1. Meeting of the Working Group on the Futures of Culture, Paris, 9–10 January 1990</w:t>
      </w:r>
      <w:r>
        <w:rPr>
          <w:rFonts w:ascii="Times New Roman" w:cs="Noto Naskh Arabic" w:eastAsia="Noto Naskh Arabic" w:hAnsi="Times New Roman"/>
          <w:sz w:val="18"/>
          <w:szCs w:val="18"/>
          <w:rtl w:val="false"/>
        </w:rPr>
        <w:t xml:space="preserve">. UNESCO. https://unesdoc.unesco.org/ark:/48223/pf0000159309</w:t>
      </w:r>
    </w:p>
  </w:footnote>
  <w:footnote w:id="1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(2025). </w:t>
      </w:r>
      <w:r>
        <w:rPr>
          <w:rFonts w:ascii="Times New Roman" w:cs="Noto Naskh Arabic" w:eastAsia="Noto Naskh Arabic" w:hAnsi="Times New Roman"/>
          <w:i/>
          <w:sz w:val="18"/>
          <w:szCs w:val="18"/>
          <w:rtl w:val="false"/>
        </w:rPr>
        <w:t xml:space="preserve">UNESCO global report on cultural policies: Culture, the missing SDG</w:t>
      </w:r>
      <w:r>
        <w:rPr>
          <w:rFonts w:ascii="Times New Roman" w:cs="Noto Naskh Arabic" w:eastAsia="Noto Naskh Arabic" w:hAnsi="Times New Roman"/>
          <w:sz w:val="18"/>
          <w:szCs w:val="18"/>
          <w:rtl w:val="false"/>
        </w:rPr>
        <w:t xml:space="preserve">. UNESCO.</w:t>
      </w:r>
    </w:p>
  </w:footnote>
  <w:footnote w:id="1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Popper, R. (2008). How are foresight methods selected? </w:t>
      </w:r>
      <w:r>
        <w:rPr>
          <w:rFonts w:ascii="Times New Roman" w:cs="Noto Naskh Arabic" w:eastAsia="Noto Naskh Arabic" w:hAnsi="Times New Roman"/>
          <w:i/>
          <w:sz w:val="18"/>
          <w:szCs w:val="18"/>
          <w:rtl w:val="false"/>
        </w:rPr>
        <w:t xml:space="preserve">Foresight, 10</w:t>
      </w:r>
      <w:r>
        <w:rPr>
          <w:rFonts w:ascii="Times New Roman" w:cs="Noto Naskh Arabic" w:eastAsia="Noto Naskh Arabic" w:hAnsi="Times New Roman"/>
          <w:sz w:val="18"/>
          <w:szCs w:val="18"/>
          <w:rtl w:val="false"/>
        </w:rPr>
        <w:t xml:space="preserve">(6), 62–89. https://doi.org/10.1108/14636680810918586</w:t>
      </w:r>
    </w:p>
  </w:footnote>
  <w:footnote w:id="1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Habegger, B. (2010). Strategic foresight in public policy: Reviewing the experiences of the UK, Singapore, and the Netherlands. </w:t>
      </w:r>
      <w:r>
        <w:rPr>
          <w:rFonts w:ascii="Times New Roman" w:cs="Noto Naskh Arabic" w:eastAsia="Noto Naskh Arabic" w:hAnsi="Times New Roman"/>
          <w:i/>
          <w:sz w:val="18"/>
          <w:szCs w:val="18"/>
          <w:rtl w:val="false"/>
        </w:rPr>
        <w:t xml:space="preserve">Futures, 42</w:t>
      </w:r>
      <w:r>
        <w:rPr>
          <w:rFonts w:ascii="Times New Roman" w:cs="Noto Naskh Arabic" w:eastAsia="Noto Naskh Arabic" w:hAnsi="Times New Roman"/>
          <w:sz w:val="18"/>
          <w:szCs w:val="18"/>
          <w:rtl w:val="false"/>
        </w:rPr>
        <w:t xml:space="preserve">(1), 49–58. https://doi.org/10.1016/j.futures.2009.08.002</w:t>
      </w:r>
    </w:p>
  </w:footnote>
  <w:footnote w:id="1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OECD. (2025). </w:t>
      </w:r>
      <w:r>
        <w:rPr>
          <w:rFonts w:ascii="Times New Roman" w:cs="Noto Naskh Arabic" w:eastAsia="Noto Naskh Arabic" w:hAnsi="Times New Roman"/>
          <w:i/>
          <w:sz w:val="18"/>
          <w:szCs w:val="18"/>
          <w:rtl w:val="false"/>
        </w:rPr>
        <w:t xml:space="preserve">Strategic foresight toolkit for resilient public policy: A comprehensive foresight methodology to support sustainable and future-ready public policy</w:t>
      </w:r>
      <w:r>
        <w:rPr>
          <w:rFonts w:ascii="Times New Roman" w:cs="Noto Naskh Arabic" w:eastAsia="Noto Naskh Arabic" w:hAnsi="Times New Roman"/>
          <w:sz w:val="18"/>
          <w:szCs w:val="18"/>
          <w:rtl w:val="false"/>
        </w:rPr>
        <w:t xml:space="preserve">. OECD Publishing. https://doi.org/10.1787/bcdd9304-en</w:t>
      </w:r>
    </w:p>
  </w:footnote>
  <w:footnote w:id="1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(2003). Determining the value of cultural goods: How much (or how little) does contingent valuation tell us? </w:t>
      </w:r>
      <w:r>
        <w:rPr>
          <w:rFonts w:ascii="Times New Roman" w:cs="Noto Naskh Arabic" w:eastAsia="Noto Naskh Arabic" w:hAnsi="Times New Roman"/>
          <w:i/>
          <w:sz w:val="18"/>
          <w:szCs w:val="18"/>
          <w:rtl w:val="false"/>
        </w:rPr>
        <w:t xml:space="preserve">Journal of Cultural Economics, 27</w:t>
      </w:r>
      <w:r>
        <w:rPr>
          <w:rFonts w:ascii="Times New Roman" w:cs="Noto Naskh Arabic" w:eastAsia="Noto Naskh Arabic" w:hAnsi="Times New Roman"/>
          <w:sz w:val="18"/>
          <w:szCs w:val="18"/>
          <w:rtl w:val="false"/>
        </w:rPr>
        <w:t xml:space="preserve">(3–4), 275–285. https://doi.org/10.1023/A:1026353905772</w:t>
      </w:r>
    </w:p>
    <w:p>
      <w:pPr>
        <w:bidi w:val="false"/>
        <w:spacing w:after="40" w:line="240"/>
        <w:jc w:val="both"/>
      </w:pPr>
      <w:r>
        <w:rPr>
          <w:rFonts w:ascii="Times New Roman" w:cs="Noto Naskh Arabic" w:eastAsia="Noto Naskh Arabic" w:hAnsi="Times New Roman"/>
          <w:sz w:val="18"/>
          <w:szCs w:val="18"/>
          <w:rtl w:val="false"/>
        </w:rPr>
        <w:t xml:space="preserve">Throsby, D., &amp; Zednik, A. (2014). The economic and cultural value of paintings: Some empirical evidence. In V. A. Ginsburgh &amp; D. Throsby (Eds.), </w:t>
      </w:r>
      <w:r>
        <w:rPr>
          <w:rFonts w:ascii="Times New Roman" w:cs="Noto Naskh Arabic" w:eastAsia="Noto Naskh Arabic" w:hAnsi="Times New Roman"/>
          <w:i/>
          <w:sz w:val="18"/>
          <w:szCs w:val="18"/>
          <w:rtl w:val="false"/>
        </w:rPr>
        <w:t xml:space="preserve">Handbook of the economics of art and culture</w:t>
      </w:r>
      <w:r>
        <w:rPr>
          <w:rFonts w:ascii="Times New Roman" w:cs="Noto Naskh Arabic" w:eastAsia="Noto Naskh Arabic" w:hAnsi="Times New Roman"/>
          <w:sz w:val="18"/>
          <w:szCs w:val="18"/>
          <w:rtl w:val="false"/>
        </w:rPr>
        <w:t xml:space="preserve"> (Vol. 2). Elsevier.</w:t>
      </w:r>
    </w:p>
  </w:footnote>
  <w:footnote w:id="2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Hutter, M., &amp; Throsby, D. (Eds.). (2008). </w:t>
      </w:r>
      <w:r>
        <w:rPr>
          <w:rFonts w:ascii="Times New Roman" w:cs="Noto Naskh Arabic" w:eastAsia="Noto Naskh Arabic" w:hAnsi="Times New Roman"/>
          <w:i/>
          <w:sz w:val="18"/>
          <w:szCs w:val="18"/>
          <w:rtl w:val="false"/>
        </w:rPr>
        <w:t xml:space="preserve">Beyond price: Value in culture, economics, and the arts</w:t>
      </w:r>
      <w:r>
        <w:rPr>
          <w:rFonts w:ascii="Times New Roman" w:cs="Noto Naskh Arabic" w:eastAsia="Noto Naskh Arabic" w:hAnsi="Times New Roman"/>
          <w:sz w:val="18"/>
          <w:szCs w:val="18"/>
          <w:rtl w:val="false"/>
        </w:rPr>
        <w:t xml:space="preserve">. Cambridge University Press.</w:t>
      </w:r>
    </w:p>
  </w:footnote>
  <w:footnote w:id="2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Bennett, O. (1995). Cultural policy in the United Kingdom: Collapsing rationales and the end of a tradition. </w:t>
      </w:r>
      <w:r>
        <w:rPr>
          <w:rFonts w:ascii="Times New Roman" w:cs="Noto Naskh Arabic" w:eastAsia="Noto Naskh Arabic" w:hAnsi="Times New Roman"/>
          <w:i/>
          <w:sz w:val="18"/>
          <w:szCs w:val="18"/>
          <w:rtl w:val="false"/>
        </w:rPr>
        <w:t xml:space="preserve">International Journal of Cultural Policy, 1</w:t>
      </w:r>
      <w:r>
        <w:rPr>
          <w:rFonts w:ascii="Times New Roman" w:cs="Noto Naskh Arabic" w:eastAsia="Noto Naskh Arabic" w:hAnsi="Times New Roman"/>
          <w:sz w:val="18"/>
          <w:szCs w:val="18"/>
          <w:rtl w:val="false"/>
        </w:rPr>
        <w:t xml:space="preserve">(2), 199–216. https://doi.org/10.1080/10286639509357982</w:t>
      </w:r>
    </w:p>
  </w:footnote>
  <w:footnote w:id="2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Mangset, P. (2020). The end of cultural policy? </w:t>
      </w:r>
      <w:r>
        <w:rPr>
          <w:rFonts w:ascii="Times New Roman" w:cs="Noto Naskh Arabic" w:eastAsia="Noto Naskh Arabic" w:hAnsi="Times New Roman"/>
          <w:i/>
          <w:sz w:val="18"/>
          <w:szCs w:val="18"/>
          <w:rtl w:val="false"/>
        </w:rPr>
        <w:t xml:space="preserve">International Journal of Cultural Policy, 26</w:t>
      </w:r>
      <w:r>
        <w:rPr>
          <w:rFonts w:ascii="Times New Roman" w:cs="Noto Naskh Arabic" w:eastAsia="Noto Naskh Arabic" w:hAnsi="Times New Roman"/>
          <w:sz w:val="18"/>
          <w:szCs w:val="18"/>
          <w:rtl w:val="false"/>
        </w:rPr>
        <w:t xml:space="preserve">(3), 398–411. https://doi.org/10.1080/10286632.2018.1500560</w:t>
      </w:r>
    </w:p>
  </w:footnote>
  <w:footnote w:id="2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Masini, E. B. (Ed.). (1994). </w:t>
      </w:r>
      <w:r>
        <w:rPr>
          <w:rFonts w:ascii="Times New Roman" w:cs="Noto Naskh Arabic" w:eastAsia="Noto Naskh Arabic" w:hAnsi="Times New Roman"/>
          <w:i/>
          <w:sz w:val="18"/>
          <w:szCs w:val="18"/>
          <w:rtl w:val="false"/>
        </w:rPr>
        <w:t xml:space="preserve">The futures of cultures</w:t>
      </w:r>
      <w:r>
        <w:rPr>
          <w:rFonts w:ascii="Times New Roman" w:cs="Noto Naskh Arabic" w:eastAsia="Noto Naskh Arabic" w:hAnsi="Times New Roman"/>
          <w:sz w:val="18"/>
          <w:szCs w:val="18"/>
          <w:rtl w:val="false"/>
        </w:rPr>
        <w:t xml:space="preserve">. UNESCO Publishing.</w:t>
      </w:r>
    </w:p>
  </w:footnote>
  <w:footnote w:id="2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Andersen, P. D., &amp; Rasmussen, L. B. (2014). The impact of national traditions and cultures on national foresight processes. </w:t>
      </w:r>
      <w:r>
        <w:rPr>
          <w:rFonts w:ascii="Times New Roman" w:cs="Noto Naskh Arabic" w:eastAsia="Noto Naskh Arabic" w:hAnsi="Times New Roman"/>
          <w:i/>
          <w:sz w:val="18"/>
          <w:szCs w:val="18"/>
          <w:rtl w:val="false"/>
        </w:rPr>
        <w:t xml:space="preserve">Futures, 59</w:t>
      </w:r>
      <w:r>
        <w:rPr>
          <w:rFonts w:ascii="Times New Roman" w:cs="Noto Naskh Arabic" w:eastAsia="Noto Naskh Arabic" w:hAnsi="Times New Roman"/>
          <w:sz w:val="18"/>
          <w:szCs w:val="18"/>
          <w:rtl w:val="false"/>
        </w:rPr>
        <w:t xml:space="preserve">, 5–17. https://doi.org/10.1016/j.futures.2014.01.013</w:t>
      </w:r>
    </w:p>
    <w:p>
      <w:pPr>
        <w:bidi w:val="false"/>
        <w:spacing w:after="40" w:line="240"/>
        <w:jc w:val="both"/>
      </w:pPr>
      <w:r>
        <w:rPr>
          <w:rFonts w:ascii="Times New Roman" w:cs="Noto Naskh Arabic" w:eastAsia="Noto Naskh Arabic" w:hAnsi="Times New Roman"/>
          <w:sz w:val="18"/>
          <w:szCs w:val="18"/>
          <w:rtl w:val="false"/>
        </w:rPr>
        <w:t xml:space="preserve">Santana-Villegas, F. J., &amp; Álvarez von Gustedt, A. (in press). Cultural dimensions in foresight and scenario planning: An exploratory study. </w:t>
      </w:r>
      <w:r>
        <w:rPr>
          <w:rFonts w:ascii="Times New Roman" w:cs="Noto Naskh Arabic" w:eastAsia="Noto Naskh Arabic" w:hAnsi="Times New Roman"/>
          <w:i/>
          <w:sz w:val="18"/>
          <w:szCs w:val="18"/>
          <w:rtl w:val="false"/>
        </w:rPr>
        <w:t xml:space="preserve">Journal of Futures Studies</w:t>
      </w:r>
      <w:r>
        <w:rPr>
          <w:rFonts w:ascii="Times New Roman" w:cs="Noto Naskh Arabic" w:eastAsia="Noto Naskh Arabic" w:hAnsi="Times New Roman"/>
          <w:sz w:val="18"/>
          <w:szCs w:val="18"/>
          <w:rtl w:val="false"/>
        </w:rPr>
        <w:t xml:space="preserve">. https://jfsdigital.org/cultural-dimensions-in-foresight-and-scenario-planning-an-exploratory-study/</w:t>
      </w:r>
    </w:p>
  </w:footnote>
  <w:footnote w:id="25">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المركز العربي للأبحاث ودراسة السياسات. (٢٠١٦). </w:t>
      </w:r>
      <w:r>
        <w:rPr>
          <w:rFonts w:ascii="Times New Roman" w:cs="Noto Naskh Arabic" w:eastAsia="Noto Naskh Arabic" w:hAnsi="Times New Roman"/>
          <w:i w:val="false"/>
          <w:sz w:val="18"/>
          <w:szCs w:val="18"/>
          <w:rtl/>
        </w:rPr>
        <w:t xml:space="preserve">المركز العربي يُصدر العدد الأول من الكتاب السنوي «استشراف» للدراسات المستقبلية</w:t>
      </w:r>
      <w:r>
        <w:rPr>
          <w:rFonts w:ascii="Times New Roman" w:cs="Noto Naskh Arabic" w:eastAsia="Noto Naskh Arabic" w:hAnsi="Times New Roman"/>
          <w:sz w:val="18"/>
          <w:szCs w:val="18"/>
          <w:rtl/>
        </w:rPr>
        <w:t xml:space="preserve"> [خبر صحفي]. </w:t>
      </w:r>
      <w:r>
        <w:rPr>
          <w:rFonts w:ascii="Times New Roman" w:cs="Noto Naskh Arabic" w:eastAsia="Noto Naskh Arabic" w:hAnsi="Times New Roman"/>
          <w:sz w:val="18"/>
          <w:szCs w:val="18"/>
          <w:rtl w:val="false"/>
        </w:rPr>
        <w:t xml:space="preserve">https://www.dohainstitute.org/ar/News/Pages/art665.aspx</w:t>
      </w:r>
    </w:p>
  </w:footnote>
  <w:footnote w:id="26">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علاوة، فوزي. (٢٠١٦). مساهمة في صياغة مفهوم الصناعات الثقافية. </w:t>
      </w:r>
      <w:r>
        <w:rPr>
          <w:rFonts w:ascii="Times New Roman" w:cs="Noto Naskh Arabic" w:eastAsia="Noto Naskh Arabic" w:hAnsi="Times New Roman"/>
          <w:i w:val="false"/>
          <w:sz w:val="18"/>
          <w:szCs w:val="18"/>
          <w:rtl/>
        </w:rPr>
        <w:t xml:space="preserve">مجلة الدراسات والبحوث الاجتماعية</w:t>
      </w:r>
      <w:r>
        <w:rPr>
          <w:rFonts w:ascii="Times New Roman" w:cs="Noto Naskh Arabic" w:eastAsia="Noto Naskh Arabic" w:hAnsi="Times New Roman"/>
          <w:sz w:val="18"/>
          <w:szCs w:val="18"/>
          <w:rtl/>
        </w:rPr>
        <w:t xml:space="preserve">، (١٧)، ٢٠٣–٢١٦. </w:t>
      </w:r>
      <w:r>
        <w:rPr>
          <w:rFonts w:ascii="Times New Roman" w:cs="Noto Naskh Arabic" w:eastAsia="Noto Naskh Arabic" w:hAnsi="Times New Roman"/>
          <w:sz w:val="18"/>
          <w:szCs w:val="18"/>
          <w:rtl w:val="false"/>
        </w:rPr>
        <w:t xml:space="preserve">https://search.emarefa.net/detail/BIM-850512</w:t>
      </w:r>
    </w:p>
  </w:footnote>
  <w:footnote w:id="2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UNCTAD. (2024). </w:t>
      </w:r>
      <w:r>
        <w:rPr>
          <w:rFonts w:ascii="Times New Roman" w:cs="Noto Naskh Arabic" w:eastAsia="Noto Naskh Arabic" w:hAnsi="Times New Roman"/>
          <w:i/>
          <w:sz w:val="18"/>
          <w:szCs w:val="18"/>
          <w:rtl w:val="false"/>
        </w:rPr>
        <w:t xml:space="preserve">Creative economy outlook 2024</w:t>
      </w:r>
      <w:r>
        <w:rPr>
          <w:rFonts w:ascii="Times New Roman" w:cs="Noto Naskh Arabic" w:eastAsia="Noto Naskh Arabic" w:hAnsi="Times New Roman"/>
          <w:sz w:val="18"/>
          <w:szCs w:val="18"/>
          <w:rtl w:val="false"/>
        </w:rPr>
        <w:t xml:space="preserve">. United Nations.</w:t>
      </w:r>
    </w:p>
  </w:footnote>
  <w:footnote w:id="2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International Journal of Cultural Policy. (n.d.). </w:t>
      </w:r>
      <w:r>
        <w:rPr>
          <w:rFonts w:ascii="Times New Roman" w:cs="Noto Naskh Arabic" w:eastAsia="Noto Naskh Arabic" w:hAnsi="Times New Roman"/>
          <w:i/>
          <w:sz w:val="18"/>
          <w:szCs w:val="18"/>
          <w:rtl w:val="false"/>
        </w:rPr>
        <w:t xml:space="preserve">Aims and scope</w:t>
      </w:r>
      <w:r>
        <w:rPr>
          <w:rFonts w:ascii="Times New Roman" w:cs="Noto Naskh Arabic" w:eastAsia="Noto Naskh Arabic" w:hAnsi="Times New Roman"/>
          <w:sz w:val="18"/>
          <w:szCs w:val="18"/>
          <w:rtl w:val="false"/>
        </w:rPr>
        <w:t xml:space="preserve">. Taylor &amp; Francis. Retrieved October 11, 2026, from https://www.tandfonline.com/action/journalInformation?show=aimsScope&amp;journalCode=gcul20</w:t>
      </w:r>
    </w:p>
  </w:footnote>
  <w:footnote w:id="2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(2003). Determining the value of cultural goods: How much (or how little) does contingent valuation tell us? </w:t>
      </w:r>
      <w:r>
        <w:rPr>
          <w:rFonts w:ascii="Times New Roman" w:cs="Noto Naskh Arabic" w:eastAsia="Noto Naskh Arabic" w:hAnsi="Times New Roman"/>
          <w:i/>
          <w:sz w:val="18"/>
          <w:szCs w:val="18"/>
          <w:rtl w:val="false"/>
        </w:rPr>
        <w:t xml:space="preserve">Journal of Cultural Economics, 27</w:t>
      </w:r>
      <w:r>
        <w:rPr>
          <w:rFonts w:ascii="Times New Roman" w:cs="Noto Naskh Arabic" w:eastAsia="Noto Naskh Arabic" w:hAnsi="Times New Roman"/>
          <w:sz w:val="18"/>
          <w:szCs w:val="18"/>
          <w:rtl w:val="false"/>
        </w:rPr>
        <w:t xml:space="preserve">(3–4), 275–285. https://doi.org/10.1023/A:1026353905772</w:t>
      </w:r>
    </w:p>
  </w:footnote>
  <w:footnote w:id="3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&amp; Zednik, A. (2014). The economic and cultural value of paintings: Some empirical evidence. In V. A. Ginsburgh &amp; D. Throsby (Eds.), </w:t>
      </w:r>
      <w:r>
        <w:rPr>
          <w:rFonts w:ascii="Times New Roman" w:cs="Noto Naskh Arabic" w:eastAsia="Noto Naskh Arabic" w:hAnsi="Times New Roman"/>
          <w:i/>
          <w:sz w:val="18"/>
          <w:szCs w:val="18"/>
          <w:rtl w:val="false"/>
        </w:rPr>
        <w:t xml:space="preserve">Handbook of the economics of art and culture</w:t>
      </w:r>
      <w:r>
        <w:rPr>
          <w:rFonts w:ascii="Times New Roman" w:cs="Noto Naskh Arabic" w:eastAsia="Noto Naskh Arabic" w:hAnsi="Times New Roman"/>
          <w:sz w:val="18"/>
          <w:szCs w:val="18"/>
          <w:rtl w:val="false"/>
        </w:rPr>
        <w:t xml:space="preserve"> (Vol. 2). Elsevier.</w:t>
      </w:r>
    </w:p>
  </w:footnote>
  <w:footnote w:id="3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&amp; Zednik, A. (2014). The economic and cultural value of paintings: Some empirical evidence. In V. A. Ginsburgh &amp; D. Throsby (Eds.), </w:t>
      </w:r>
      <w:r>
        <w:rPr>
          <w:rFonts w:ascii="Times New Roman" w:cs="Noto Naskh Arabic" w:eastAsia="Noto Naskh Arabic" w:hAnsi="Times New Roman"/>
          <w:i/>
          <w:sz w:val="18"/>
          <w:szCs w:val="18"/>
          <w:rtl w:val="false"/>
        </w:rPr>
        <w:t xml:space="preserve">Handbook of the economics of art and culture</w:t>
      </w:r>
      <w:r>
        <w:rPr>
          <w:rFonts w:ascii="Times New Roman" w:cs="Noto Naskh Arabic" w:eastAsia="Noto Naskh Arabic" w:hAnsi="Times New Roman"/>
          <w:sz w:val="18"/>
          <w:szCs w:val="18"/>
          <w:rtl w:val="false"/>
        </w:rPr>
        <w:t xml:space="preserve"> (Vol. 2). Elsevier.</w:t>
      </w:r>
    </w:p>
  </w:footnote>
  <w:footnote w:id="3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Crossick, G., &amp; Kaszynska, P. (2016). </w:t>
      </w:r>
      <w:r>
        <w:rPr>
          <w:rFonts w:ascii="Times New Roman" w:cs="Noto Naskh Arabic" w:eastAsia="Noto Naskh Arabic" w:hAnsi="Times New Roman"/>
          <w:i/>
          <w:sz w:val="18"/>
          <w:szCs w:val="18"/>
          <w:rtl w:val="false"/>
        </w:rPr>
        <w:t xml:space="preserve">Understanding the value of arts &amp; culture: The AHRC Cultural Value Project</w:t>
      </w:r>
      <w:r>
        <w:rPr>
          <w:rFonts w:ascii="Times New Roman" w:cs="Noto Naskh Arabic" w:eastAsia="Noto Naskh Arabic" w:hAnsi="Times New Roman"/>
          <w:sz w:val="18"/>
          <w:szCs w:val="18"/>
          <w:rtl w:val="false"/>
        </w:rPr>
        <w:t xml:space="preserve">. Arts and Humanities Research Council. https://ualresearchonline.arts.ac.uk/id/eprint/15973/</w:t>
      </w:r>
    </w:p>
  </w:footnote>
  <w:footnote w:id="3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Hutter, M., &amp; Throsby, D. (Eds.). (2008). </w:t>
      </w:r>
      <w:r>
        <w:rPr>
          <w:rFonts w:ascii="Times New Roman" w:cs="Noto Naskh Arabic" w:eastAsia="Noto Naskh Arabic" w:hAnsi="Times New Roman"/>
          <w:i/>
          <w:sz w:val="18"/>
          <w:szCs w:val="18"/>
          <w:rtl w:val="false"/>
        </w:rPr>
        <w:t xml:space="preserve">Beyond price: Value in culture, economics, and the arts</w:t>
      </w:r>
      <w:r>
        <w:rPr>
          <w:rFonts w:ascii="Times New Roman" w:cs="Noto Naskh Arabic" w:eastAsia="Noto Naskh Arabic" w:hAnsi="Times New Roman"/>
          <w:sz w:val="18"/>
          <w:szCs w:val="18"/>
          <w:rtl w:val="false"/>
        </w:rPr>
        <w:t xml:space="preserve">. Cambridge University Press.</w:t>
      </w:r>
    </w:p>
  </w:footnote>
  <w:footnote w:id="3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(1990). </w:t>
      </w:r>
      <w:r>
        <w:rPr>
          <w:rFonts w:ascii="Times New Roman" w:cs="Noto Naskh Arabic" w:eastAsia="Noto Naskh Arabic" w:hAnsi="Times New Roman"/>
          <w:i/>
          <w:sz w:val="18"/>
          <w:szCs w:val="18"/>
          <w:rtl w:val="false"/>
        </w:rPr>
        <w:t xml:space="preserve">The futures of culture: Vol. 1. Meeting of the Working Group on the Futures of Culture, Paris, 9–10 January 1990</w:t>
      </w:r>
      <w:r>
        <w:rPr>
          <w:rFonts w:ascii="Times New Roman" w:cs="Noto Naskh Arabic" w:eastAsia="Noto Naskh Arabic" w:hAnsi="Times New Roman"/>
          <w:sz w:val="18"/>
          <w:szCs w:val="18"/>
          <w:rtl w:val="false"/>
        </w:rPr>
        <w:t xml:space="preserve">. UNESCO. https://unesdoc.unesco.org/ark:/48223/pf0000159309</w:t>
      </w:r>
    </w:p>
  </w:footnote>
  <w:footnote w:id="3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J. C., &amp; Medvedev, D. (2024). Worldwide divergence of values. </w:t>
      </w:r>
      <w:r>
        <w:rPr>
          <w:rFonts w:ascii="Times New Roman" w:cs="Noto Naskh Arabic" w:eastAsia="Noto Naskh Arabic" w:hAnsi="Times New Roman"/>
          <w:i/>
          <w:sz w:val="18"/>
          <w:szCs w:val="18"/>
          <w:rtl w:val="false"/>
        </w:rPr>
        <w:t xml:space="preserve">Nature Communications, 15</w:t>
      </w:r>
      <w:r>
        <w:rPr>
          <w:rFonts w:ascii="Times New Roman" w:cs="Noto Naskh Arabic" w:eastAsia="Noto Naskh Arabic" w:hAnsi="Times New Roman"/>
          <w:sz w:val="18"/>
          <w:szCs w:val="18"/>
          <w:rtl w:val="false"/>
        </w:rPr>
        <w:t xml:space="preserve">, Article 2650. https://doi.org/10.1038/s41467-024-46581-5</w:t>
      </w:r>
    </w:p>
  </w:footnote>
  <w:footnote w:id="3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UNCTAD. (2026). </w:t>
      </w:r>
      <w:r>
        <w:rPr>
          <w:rFonts w:ascii="Times New Roman" w:cs="Noto Naskh Arabic" w:eastAsia="Noto Naskh Arabic" w:hAnsi="Times New Roman"/>
          <w:i/>
          <w:sz w:val="18"/>
          <w:szCs w:val="18"/>
          <w:rtl w:val="false"/>
        </w:rPr>
        <w:t xml:space="preserve">Global trade in creative services booming while trade in creative goods stalls</w:t>
      </w:r>
      <w:r>
        <w:rPr>
          <w:rFonts w:ascii="Times New Roman" w:cs="Noto Naskh Arabic" w:eastAsia="Noto Naskh Arabic" w:hAnsi="Times New Roman"/>
          <w:sz w:val="18"/>
          <w:szCs w:val="18"/>
          <w:rtl w:val="false"/>
        </w:rPr>
        <w:t xml:space="preserve"> [Data insight]. UNCTADstat. https://unctadstat.unctad.org/insights/theme/97</w:t>
      </w:r>
    </w:p>
  </w:footnote>
  <w:footnote w:id="3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Andersen, P. D., &amp; Rasmussen, L. B. (2014). The impact of national traditions and cultures on national foresight processes. </w:t>
      </w:r>
      <w:r>
        <w:rPr>
          <w:rFonts w:ascii="Times New Roman" w:cs="Noto Naskh Arabic" w:eastAsia="Noto Naskh Arabic" w:hAnsi="Times New Roman"/>
          <w:i/>
          <w:sz w:val="18"/>
          <w:szCs w:val="18"/>
          <w:rtl w:val="false"/>
        </w:rPr>
        <w:t xml:space="preserve">Futures, 59</w:t>
      </w:r>
      <w:r>
        <w:rPr>
          <w:rFonts w:ascii="Times New Roman" w:cs="Noto Naskh Arabic" w:eastAsia="Noto Naskh Arabic" w:hAnsi="Times New Roman"/>
          <w:sz w:val="18"/>
          <w:szCs w:val="18"/>
          <w:rtl w:val="false"/>
        </w:rPr>
        <w:t xml:space="preserve">, 5–17. https://doi.org/10.1016/j.futures.2014.01.013</w:t>
      </w:r>
    </w:p>
  </w:footnote>
  <w:footnote w:id="3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Santana-Villegas, F. J., &amp; Álvarez von Gustedt, A. (in press). Cultural dimensions in foresight and scenario planning: An exploratory study. </w:t>
      </w:r>
      <w:r>
        <w:rPr>
          <w:rFonts w:ascii="Times New Roman" w:cs="Noto Naskh Arabic" w:eastAsia="Noto Naskh Arabic" w:hAnsi="Times New Roman"/>
          <w:i/>
          <w:sz w:val="18"/>
          <w:szCs w:val="18"/>
          <w:rtl w:val="false"/>
        </w:rPr>
        <w:t xml:space="preserve">Journal of Futures Studies</w:t>
      </w:r>
      <w:r>
        <w:rPr>
          <w:rFonts w:ascii="Times New Roman" w:cs="Noto Naskh Arabic" w:eastAsia="Noto Naskh Arabic" w:hAnsi="Times New Roman"/>
          <w:sz w:val="18"/>
          <w:szCs w:val="18"/>
          <w:rtl w:val="false"/>
        </w:rPr>
        <w:t xml:space="preserve">. https://jfsdigital.org/cultural-dimensions-in-foresight-and-scenario-planning-an-exploratory-study/</w:t>
      </w:r>
    </w:p>
  </w:footnote>
  <w:footnote w:id="3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(2003). Determining the value of cultural goods: How much (or how little) does contingent valuation tell us? </w:t>
      </w:r>
      <w:r>
        <w:rPr>
          <w:rFonts w:ascii="Times New Roman" w:cs="Noto Naskh Arabic" w:eastAsia="Noto Naskh Arabic" w:hAnsi="Times New Roman"/>
          <w:i/>
          <w:sz w:val="18"/>
          <w:szCs w:val="18"/>
          <w:rtl w:val="false"/>
        </w:rPr>
        <w:t xml:space="preserve">Journal of Cultural Economics, 27</w:t>
      </w:r>
      <w:r>
        <w:rPr>
          <w:rFonts w:ascii="Times New Roman" w:cs="Noto Naskh Arabic" w:eastAsia="Noto Naskh Arabic" w:hAnsi="Times New Roman"/>
          <w:sz w:val="18"/>
          <w:szCs w:val="18"/>
          <w:rtl w:val="false"/>
        </w:rPr>
        <w:t xml:space="preserve">(3–4), 275–285. https://doi.org/10.1023/A:1026353905772</w:t>
      </w:r>
    </w:p>
  </w:footnote>
  <w:footnote w:id="4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Hutter, M., &amp; Throsby, D. (Eds.). (2008). </w:t>
      </w:r>
      <w:r>
        <w:rPr>
          <w:rFonts w:ascii="Times New Roman" w:cs="Noto Naskh Arabic" w:eastAsia="Noto Naskh Arabic" w:hAnsi="Times New Roman"/>
          <w:i/>
          <w:sz w:val="18"/>
          <w:szCs w:val="18"/>
          <w:rtl w:val="false"/>
        </w:rPr>
        <w:t xml:space="preserve">Beyond price: Value in culture, economics, and the arts</w:t>
      </w:r>
      <w:r>
        <w:rPr>
          <w:rFonts w:ascii="Times New Roman" w:cs="Noto Naskh Arabic" w:eastAsia="Noto Naskh Arabic" w:hAnsi="Times New Roman"/>
          <w:sz w:val="18"/>
          <w:szCs w:val="18"/>
          <w:rtl w:val="false"/>
        </w:rPr>
        <w:t xml:space="preserve">. Cambridge University Press.</w:t>
      </w:r>
    </w:p>
  </w:footnote>
  <w:footnote w:id="4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Throsby, D., &amp; Zednik, A. (2014). The economic and cultural value of paintings: Some empirical evidence. In V. A. Ginsburgh &amp; D. Throsby (Eds.), </w:t>
      </w:r>
      <w:r>
        <w:rPr>
          <w:rFonts w:ascii="Times New Roman" w:cs="Noto Naskh Arabic" w:eastAsia="Noto Naskh Arabic" w:hAnsi="Times New Roman"/>
          <w:i/>
          <w:sz w:val="18"/>
          <w:szCs w:val="18"/>
          <w:rtl w:val="false"/>
        </w:rPr>
        <w:t xml:space="preserve">Handbook of the economics of art and culture</w:t>
      </w:r>
      <w:r>
        <w:rPr>
          <w:rFonts w:ascii="Times New Roman" w:cs="Noto Naskh Arabic" w:eastAsia="Noto Naskh Arabic" w:hAnsi="Times New Roman"/>
          <w:sz w:val="18"/>
          <w:szCs w:val="18"/>
          <w:rtl w:val="false"/>
        </w:rPr>
        <w:t xml:space="preserve"> (Vol. 2). Elsevier.</w:t>
      </w:r>
    </w:p>
  </w:footnote>
  <w:footnote w:id="4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Crossick, G., &amp; Kaszynska, P. (2016). </w:t>
      </w:r>
      <w:r>
        <w:rPr>
          <w:rFonts w:ascii="Times New Roman" w:cs="Noto Naskh Arabic" w:eastAsia="Noto Naskh Arabic" w:hAnsi="Times New Roman"/>
          <w:i/>
          <w:sz w:val="18"/>
          <w:szCs w:val="18"/>
          <w:rtl w:val="false"/>
        </w:rPr>
        <w:t xml:space="preserve">Understanding the value of arts &amp; culture: The AHRC Cultural Value Project</w:t>
      </w:r>
      <w:r>
        <w:rPr>
          <w:rFonts w:ascii="Times New Roman" w:cs="Noto Naskh Arabic" w:eastAsia="Noto Naskh Arabic" w:hAnsi="Times New Roman"/>
          <w:sz w:val="18"/>
          <w:szCs w:val="18"/>
          <w:rtl w:val="false"/>
        </w:rPr>
        <w:t xml:space="preserve">. Arts and Humanities Research Council. https://ualresearchonline.arts.ac.uk/id/eprint/15973/</w:t>
      </w:r>
    </w:p>
  </w:footnote>
  <w:footnote w:id="4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Kaszynska, P. (n.d.). </w:t>
      </w:r>
      <w:r>
        <w:rPr>
          <w:rFonts w:ascii="Times New Roman" w:cs="Noto Naskh Arabic" w:eastAsia="Noto Naskh Arabic" w:hAnsi="Times New Roman"/>
          <w:i/>
          <w:sz w:val="18"/>
          <w:szCs w:val="18"/>
          <w:rtl w:val="false"/>
        </w:rPr>
        <w:t xml:space="preserve">Cultural value as practice: AHRC Cultural Value Project</w:t>
      </w:r>
      <w:r>
        <w:rPr>
          <w:rFonts w:ascii="Times New Roman" w:cs="Noto Naskh Arabic" w:eastAsia="Noto Naskh Arabic" w:hAnsi="Times New Roman"/>
          <w:sz w:val="18"/>
          <w:szCs w:val="18"/>
          <w:rtl w:val="false"/>
        </w:rPr>
        <w:t xml:space="preserve"> [Unpublished manuscript]. UAL Research Online. https://ualresearchonline.arts.ac.uk/id/eprint/15065/</w:t>
      </w:r>
    </w:p>
  </w:footnote>
  <w:footnote w:id="4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M. R., &amp; Herranz, J. (2002). </w:t>
      </w:r>
      <w:r>
        <w:rPr>
          <w:rFonts w:ascii="Times New Roman" w:cs="Noto Naskh Arabic" w:eastAsia="Noto Naskh Arabic" w:hAnsi="Times New Roman"/>
          <w:i/>
          <w:sz w:val="18"/>
          <w:szCs w:val="18"/>
          <w:rtl w:val="false"/>
        </w:rPr>
        <w:t xml:space="preserve">Culture counts in communities: A framework for measurement</w:t>
      </w:r>
      <w:r>
        <w:rPr>
          <w:rFonts w:ascii="Times New Roman" w:cs="Noto Naskh Arabic" w:eastAsia="Noto Naskh Arabic" w:hAnsi="Times New Roman"/>
          <w:sz w:val="18"/>
          <w:szCs w:val="18"/>
          <w:rtl w:val="false"/>
        </w:rPr>
        <w:t xml:space="preserve">. The Urban Institute.</w:t>
      </w:r>
    </w:p>
  </w:footnote>
  <w:footnote w:id="4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M. R., Kabwasa-Green, F., &amp; Herranz, J. (2006). </w:t>
      </w:r>
      <w:r>
        <w:rPr>
          <w:rFonts w:ascii="Times New Roman" w:cs="Noto Naskh Arabic" w:eastAsia="Noto Naskh Arabic" w:hAnsi="Times New Roman"/>
          <w:i/>
          <w:sz w:val="18"/>
          <w:szCs w:val="18"/>
          <w:rtl w:val="false"/>
        </w:rPr>
        <w:t xml:space="preserve">Cultural vitality in communities: Interpretation and indicators</w:t>
      </w:r>
      <w:r>
        <w:rPr>
          <w:rFonts w:ascii="Times New Roman" w:cs="Noto Naskh Arabic" w:eastAsia="Noto Naskh Arabic" w:hAnsi="Times New Roman"/>
          <w:sz w:val="18"/>
          <w:szCs w:val="18"/>
          <w:rtl w:val="false"/>
        </w:rPr>
        <w:t xml:space="preserve">. The Urban Institute.</w:t>
      </w:r>
    </w:p>
  </w:footnote>
  <w:footnote w:id="4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M. R., Kabwasa-Green, F., &amp; Herranz, J. (2006). </w:t>
      </w:r>
      <w:r>
        <w:rPr>
          <w:rFonts w:ascii="Times New Roman" w:cs="Noto Naskh Arabic" w:eastAsia="Noto Naskh Arabic" w:hAnsi="Times New Roman"/>
          <w:i/>
          <w:sz w:val="18"/>
          <w:szCs w:val="18"/>
          <w:rtl w:val="false"/>
        </w:rPr>
        <w:t xml:space="preserve">Cultural vitality in communities: Interpretation and indicators</w:t>
      </w:r>
      <w:r>
        <w:rPr>
          <w:rFonts w:ascii="Times New Roman" w:cs="Noto Naskh Arabic" w:eastAsia="Noto Naskh Arabic" w:hAnsi="Times New Roman"/>
          <w:sz w:val="18"/>
          <w:szCs w:val="18"/>
          <w:rtl w:val="false"/>
        </w:rPr>
        <w:t xml:space="preserve">. The Urban Institute.</w:t>
      </w:r>
    </w:p>
  </w:footnote>
  <w:footnote w:id="4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Bennett, O. (1995). Cultural policy in the United Kingdom: Collapsing rationales and the end of a tradition. </w:t>
      </w:r>
      <w:r>
        <w:rPr>
          <w:rFonts w:ascii="Times New Roman" w:cs="Noto Naskh Arabic" w:eastAsia="Noto Naskh Arabic" w:hAnsi="Times New Roman"/>
          <w:i/>
          <w:sz w:val="18"/>
          <w:szCs w:val="18"/>
          <w:rtl w:val="false"/>
        </w:rPr>
        <w:t xml:space="preserve">International Journal of Cultural Policy, 1</w:t>
      </w:r>
      <w:r>
        <w:rPr>
          <w:rFonts w:ascii="Times New Roman" w:cs="Noto Naskh Arabic" w:eastAsia="Noto Naskh Arabic" w:hAnsi="Times New Roman"/>
          <w:sz w:val="18"/>
          <w:szCs w:val="18"/>
          <w:rtl w:val="false"/>
        </w:rPr>
        <w:t xml:space="preserve">(2), 199–216. https://doi.org/10.1080/10286639509357982</w:t>
      </w:r>
    </w:p>
  </w:footnote>
  <w:footnote w:id="4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Mangset, P. (2020). The end of cultural policy? </w:t>
      </w:r>
      <w:r>
        <w:rPr>
          <w:rFonts w:ascii="Times New Roman" w:cs="Noto Naskh Arabic" w:eastAsia="Noto Naskh Arabic" w:hAnsi="Times New Roman"/>
          <w:i/>
          <w:sz w:val="18"/>
          <w:szCs w:val="18"/>
          <w:rtl w:val="false"/>
        </w:rPr>
        <w:t xml:space="preserve">International Journal of Cultural Policy, 26</w:t>
      </w:r>
      <w:r>
        <w:rPr>
          <w:rFonts w:ascii="Times New Roman" w:cs="Noto Naskh Arabic" w:eastAsia="Noto Naskh Arabic" w:hAnsi="Times New Roman"/>
          <w:sz w:val="18"/>
          <w:szCs w:val="18"/>
          <w:rtl w:val="false"/>
        </w:rPr>
        <w:t xml:space="preserve">(3), 398–411. https://doi.org/10.1080/10286632.2018.1500560</w:t>
      </w:r>
    </w:p>
  </w:footnote>
  <w:footnote w:id="4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Kizlari, D. (2020). The rise of rhizomatic cultural policies. </w:t>
      </w:r>
      <w:r>
        <w:rPr>
          <w:rFonts w:ascii="Times New Roman" w:cs="Noto Naskh Arabic" w:eastAsia="Noto Naskh Arabic" w:hAnsi="Times New Roman"/>
          <w:i/>
          <w:sz w:val="18"/>
          <w:szCs w:val="18"/>
          <w:rtl w:val="false"/>
        </w:rPr>
        <w:t xml:space="preserve">International Journal of Public Administration, 43</w:t>
      </w:r>
      <w:r>
        <w:rPr>
          <w:rFonts w:ascii="Times New Roman" w:cs="Noto Naskh Arabic" w:eastAsia="Noto Naskh Arabic" w:hAnsi="Times New Roman"/>
          <w:sz w:val="18"/>
          <w:szCs w:val="18"/>
          <w:rtl w:val="false"/>
        </w:rPr>
        <w:t xml:space="preserve">(3), 253–261. https://doi.org/10.1080/01900692.2019.1628054</w:t>
      </w:r>
    </w:p>
  </w:footnote>
  <w:footnote w:id="5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Hesmondhalgh, D., &amp; Pratt, A. C. (2005). Cultural industries and cultural policy. </w:t>
      </w:r>
      <w:r>
        <w:rPr>
          <w:rFonts w:ascii="Times New Roman" w:cs="Noto Naskh Arabic" w:eastAsia="Noto Naskh Arabic" w:hAnsi="Times New Roman"/>
          <w:i/>
          <w:sz w:val="18"/>
          <w:szCs w:val="18"/>
          <w:rtl w:val="false"/>
        </w:rPr>
        <w:t xml:space="preserve">International Journal of Cultural Policy, 11</w:t>
      </w:r>
      <w:r>
        <w:rPr>
          <w:rFonts w:ascii="Times New Roman" w:cs="Noto Naskh Arabic" w:eastAsia="Noto Naskh Arabic" w:hAnsi="Times New Roman"/>
          <w:sz w:val="18"/>
          <w:szCs w:val="18"/>
          <w:rtl w:val="false"/>
        </w:rPr>
        <w:t xml:space="preserve">(1), 1–13. https://doi.org/10.1080/10286630500067598</w:t>
      </w:r>
    </w:p>
  </w:footnote>
  <w:footnote w:id="5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Compendium of Cultural Policies &amp; Trends. (2019). </w:t>
      </w:r>
      <w:r>
        <w:rPr>
          <w:rFonts w:ascii="Times New Roman" w:cs="Noto Naskh Arabic" w:eastAsia="Noto Naskh Arabic" w:hAnsi="Times New Roman"/>
          <w:i/>
          <w:sz w:val="18"/>
          <w:szCs w:val="18"/>
          <w:rtl w:val="false"/>
        </w:rPr>
        <w:t xml:space="preserve">Report of the Compendium Assembly 2019, Paris</w:t>
      </w:r>
      <w:r>
        <w:rPr>
          <w:rFonts w:ascii="Times New Roman" w:cs="Noto Naskh Arabic" w:eastAsia="Noto Naskh Arabic" w:hAnsi="Times New Roman"/>
          <w:sz w:val="18"/>
          <w:szCs w:val="18"/>
          <w:rtl w:val="false"/>
        </w:rPr>
        <w:t xml:space="preserve">. https://www.culturalpolicies.net/wp-content/uploads/2019/10/Report-Compendium-Assembly-2019-Paris.pdf</w:t>
      </w:r>
    </w:p>
  </w:footnote>
  <w:footnote w:id="5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The future of cultural policy [Editorial]. (2025). </w:t>
      </w:r>
      <w:r>
        <w:rPr>
          <w:rFonts w:ascii="Times New Roman" w:cs="Noto Naskh Arabic" w:eastAsia="Noto Naskh Arabic" w:hAnsi="Times New Roman"/>
          <w:i/>
          <w:sz w:val="18"/>
          <w:szCs w:val="18"/>
          <w:rtl w:val="false"/>
        </w:rPr>
        <w:t xml:space="preserve">Nordisk kulturpolitisk tidsskrift, 28</w:t>
      </w:r>
      <w:r>
        <w:rPr>
          <w:rFonts w:ascii="Times New Roman" w:cs="Noto Naskh Arabic" w:eastAsia="Noto Naskh Arabic" w:hAnsi="Times New Roman"/>
          <w:sz w:val="18"/>
          <w:szCs w:val="18"/>
          <w:rtl w:val="false"/>
        </w:rPr>
        <w:t xml:space="preserve">(2). https://doi.org/10.18261/nkt.28.2.1</w:t>
      </w:r>
    </w:p>
  </w:footnote>
  <w:footnote w:id="5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Hylland, O. M. (2025). Past and current futures: Cultural policy attempts to look ahead. </w:t>
      </w:r>
      <w:r>
        <w:rPr>
          <w:rFonts w:ascii="Times New Roman" w:cs="Noto Naskh Arabic" w:eastAsia="Noto Naskh Arabic" w:hAnsi="Times New Roman"/>
          <w:i/>
          <w:sz w:val="18"/>
          <w:szCs w:val="18"/>
          <w:rtl w:val="false"/>
        </w:rPr>
        <w:t xml:space="preserve">Nordisk kulturpolitisk tidsskrift, 28</w:t>
      </w:r>
      <w:r>
        <w:rPr>
          <w:rFonts w:ascii="Times New Roman" w:cs="Noto Naskh Arabic" w:eastAsia="Noto Naskh Arabic" w:hAnsi="Times New Roman"/>
          <w:sz w:val="18"/>
          <w:szCs w:val="18"/>
          <w:rtl w:val="false"/>
        </w:rPr>
        <w:t xml:space="preserve">(2). https://doi.org/10.18261/nkt.28.2.4</w:t>
      </w:r>
    </w:p>
  </w:footnote>
  <w:footnote w:id="5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Nieborg, D. B., &amp; Poell, T. (2018). The platformization of cultural production: Theorizing the contingent cultural commodity. </w:t>
      </w:r>
      <w:r>
        <w:rPr>
          <w:rFonts w:ascii="Times New Roman" w:cs="Noto Naskh Arabic" w:eastAsia="Noto Naskh Arabic" w:hAnsi="Times New Roman"/>
          <w:i/>
          <w:sz w:val="18"/>
          <w:szCs w:val="18"/>
          <w:rtl w:val="false"/>
        </w:rPr>
        <w:t xml:space="preserve">New Media &amp; Society, 20</w:t>
      </w:r>
      <w:r>
        <w:rPr>
          <w:rFonts w:ascii="Times New Roman" w:cs="Noto Naskh Arabic" w:eastAsia="Noto Naskh Arabic" w:hAnsi="Times New Roman"/>
          <w:sz w:val="18"/>
          <w:szCs w:val="18"/>
          <w:rtl w:val="false"/>
        </w:rPr>
        <w:t xml:space="preserve">(11), 4275–4292. https://doi.org/10.1177/1461444818769694</w:t>
      </w:r>
    </w:p>
  </w:footnote>
  <w:footnote w:id="5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Duffy, B. E., Poell, T., &amp; Nieborg, D. B. (2019). Platform practices in the cultural industries: Creativity, labor, and citizenship. </w:t>
      </w:r>
      <w:r>
        <w:rPr>
          <w:rFonts w:ascii="Times New Roman" w:cs="Noto Naskh Arabic" w:eastAsia="Noto Naskh Arabic" w:hAnsi="Times New Roman"/>
          <w:i/>
          <w:sz w:val="18"/>
          <w:szCs w:val="18"/>
          <w:rtl w:val="false"/>
        </w:rPr>
        <w:t xml:space="preserve">Social Media + Society, 5</w:t>
      </w:r>
      <w:r>
        <w:rPr>
          <w:rFonts w:ascii="Times New Roman" w:cs="Noto Naskh Arabic" w:eastAsia="Noto Naskh Arabic" w:hAnsi="Times New Roman"/>
          <w:sz w:val="18"/>
          <w:szCs w:val="18"/>
          <w:rtl w:val="false"/>
        </w:rPr>
        <w:t xml:space="preserve">(4). https://doi.org/10.1177/2056305119879672</w:t>
      </w:r>
    </w:p>
  </w:footnote>
  <w:footnote w:id="5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Habegger, B. (2010). Strategic foresight in public policy: Reviewing the experiences of the UK, Singapore, and the Netherlands. </w:t>
      </w:r>
      <w:r>
        <w:rPr>
          <w:rFonts w:ascii="Times New Roman" w:cs="Noto Naskh Arabic" w:eastAsia="Noto Naskh Arabic" w:hAnsi="Times New Roman"/>
          <w:i/>
          <w:sz w:val="18"/>
          <w:szCs w:val="18"/>
          <w:rtl w:val="false"/>
        </w:rPr>
        <w:t xml:space="preserve">Futures, 42</w:t>
      </w:r>
      <w:r>
        <w:rPr>
          <w:rFonts w:ascii="Times New Roman" w:cs="Noto Naskh Arabic" w:eastAsia="Noto Naskh Arabic" w:hAnsi="Times New Roman"/>
          <w:sz w:val="18"/>
          <w:szCs w:val="18"/>
          <w:rtl w:val="false"/>
        </w:rPr>
        <w:t xml:space="preserve">(1), 49–58. https://doi.org/10.1016/j.futures.2009.08.002</w:t>
      </w:r>
    </w:p>
  </w:footnote>
  <w:footnote w:id="5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Popper, R. (2008). How are foresight methods selected? </w:t>
      </w:r>
      <w:r>
        <w:rPr>
          <w:rFonts w:ascii="Times New Roman" w:cs="Noto Naskh Arabic" w:eastAsia="Noto Naskh Arabic" w:hAnsi="Times New Roman"/>
          <w:i/>
          <w:sz w:val="18"/>
          <w:szCs w:val="18"/>
          <w:rtl w:val="false"/>
        </w:rPr>
        <w:t xml:space="preserve">Foresight, 10</w:t>
      </w:r>
      <w:r>
        <w:rPr>
          <w:rFonts w:ascii="Times New Roman" w:cs="Noto Naskh Arabic" w:eastAsia="Noto Naskh Arabic" w:hAnsi="Times New Roman"/>
          <w:sz w:val="18"/>
          <w:szCs w:val="18"/>
          <w:rtl w:val="false"/>
        </w:rPr>
        <w:t xml:space="preserve">(6), 62–89. https://doi.org/10.1108/14636680810918586</w:t>
      </w:r>
    </w:p>
  </w:footnote>
  <w:footnote w:id="5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Government Office for Science. (2024). </w:t>
      </w:r>
      <w:r>
        <w:rPr>
          <w:rFonts w:ascii="Times New Roman" w:cs="Noto Naskh Arabic" w:eastAsia="Noto Naskh Arabic" w:hAnsi="Times New Roman"/>
          <w:i/>
          <w:sz w:val="18"/>
          <w:szCs w:val="18"/>
          <w:rtl w:val="false"/>
        </w:rPr>
        <w:t xml:space="preserve">The futures toolkit: Tools for strategic futures for policymakers and analysts</w:t>
      </w:r>
      <w:r>
        <w:rPr>
          <w:rFonts w:ascii="Times New Roman" w:cs="Noto Naskh Arabic" w:eastAsia="Noto Naskh Arabic" w:hAnsi="Times New Roman"/>
          <w:sz w:val="18"/>
          <w:szCs w:val="18"/>
          <w:rtl w:val="false"/>
        </w:rPr>
        <w:t xml:space="preserve">. UK Government.</w:t>
      </w:r>
    </w:p>
    <w:p>
      <w:pPr>
        <w:bidi w:val="false"/>
        <w:spacing w:after="40" w:line="240"/>
        <w:jc w:val="both"/>
      </w:pPr>
      <w:r>
        <w:rPr>
          <w:rFonts w:ascii="Times New Roman" w:cs="Noto Naskh Arabic" w:eastAsia="Noto Naskh Arabic" w:hAnsi="Times New Roman"/>
          <w:sz w:val="18"/>
          <w:szCs w:val="18"/>
          <w:rtl w:val="false"/>
        </w:rPr>
        <w:t xml:space="preserve">OECD. (2025). </w:t>
      </w:r>
      <w:r>
        <w:rPr>
          <w:rFonts w:ascii="Times New Roman" w:cs="Noto Naskh Arabic" w:eastAsia="Noto Naskh Arabic" w:hAnsi="Times New Roman"/>
          <w:i/>
          <w:sz w:val="18"/>
          <w:szCs w:val="18"/>
          <w:rtl w:val="false"/>
        </w:rPr>
        <w:t xml:space="preserve">Strategic foresight toolkit for resilient public policy: A comprehensive foresight methodology to support sustainable and future-ready public policy</w:t>
      </w:r>
      <w:r>
        <w:rPr>
          <w:rFonts w:ascii="Times New Roman" w:cs="Noto Naskh Arabic" w:eastAsia="Noto Naskh Arabic" w:hAnsi="Times New Roman"/>
          <w:sz w:val="18"/>
          <w:szCs w:val="18"/>
          <w:rtl w:val="false"/>
        </w:rPr>
        <w:t xml:space="preserve">. OECD Publishing. https://doi.org/10.1787/bcdd9304-en</w:t>
      </w:r>
    </w:p>
  </w:footnote>
  <w:footnote w:id="5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Andersen, P. D., &amp; Rasmussen, L. B. (2014). The impact of national traditions and cultures on national foresight processes. </w:t>
      </w:r>
      <w:r>
        <w:rPr>
          <w:rFonts w:ascii="Times New Roman" w:cs="Noto Naskh Arabic" w:eastAsia="Noto Naskh Arabic" w:hAnsi="Times New Roman"/>
          <w:i/>
          <w:sz w:val="18"/>
          <w:szCs w:val="18"/>
          <w:rtl w:val="false"/>
        </w:rPr>
        <w:t xml:space="preserve">Futures, 59</w:t>
      </w:r>
      <w:r>
        <w:rPr>
          <w:rFonts w:ascii="Times New Roman" w:cs="Noto Naskh Arabic" w:eastAsia="Noto Naskh Arabic" w:hAnsi="Times New Roman"/>
          <w:sz w:val="18"/>
          <w:szCs w:val="18"/>
          <w:rtl w:val="false"/>
        </w:rPr>
        <w:t xml:space="preserve">, 5–17. https://doi.org/10.1016/j.futures.2014.01.013</w:t>
      </w:r>
    </w:p>
  </w:footnote>
  <w:footnote w:id="6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Santana-Villegas, F. J., &amp; Álvarez von Gustedt, A. (in press). Cultural dimensions in foresight and scenario planning: An exploratory study. </w:t>
      </w:r>
      <w:r>
        <w:rPr>
          <w:rFonts w:ascii="Times New Roman" w:cs="Noto Naskh Arabic" w:eastAsia="Noto Naskh Arabic" w:hAnsi="Times New Roman"/>
          <w:i/>
          <w:sz w:val="18"/>
          <w:szCs w:val="18"/>
          <w:rtl w:val="false"/>
        </w:rPr>
        <w:t xml:space="preserve">Journal of Futures Studies</w:t>
      </w:r>
      <w:r>
        <w:rPr>
          <w:rFonts w:ascii="Times New Roman" w:cs="Noto Naskh Arabic" w:eastAsia="Noto Naskh Arabic" w:hAnsi="Times New Roman"/>
          <w:sz w:val="18"/>
          <w:szCs w:val="18"/>
          <w:rtl w:val="false"/>
        </w:rPr>
        <w:t xml:space="preserve">. https://jfsdigital.org/cultural-dimensions-in-foresight-and-scenario-planning-an-exploratory-study/</w:t>
      </w:r>
    </w:p>
  </w:footnote>
  <w:footnote w:id="6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(1990). </w:t>
      </w:r>
      <w:r>
        <w:rPr>
          <w:rFonts w:ascii="Times New Roman" w:cs="Noto Naskh Arabic" w:eastAsia="Noto Naskh Arabic" w:hAnsi="Times New Roman"/>
          <w:i/>
          <w:sz w:val="18"/>
          <w:szCs w:val="18"/>
          <w:rtl w:val="false"/>
        </w:rPr>
        <w:t xml:space="preserve">The futures of culture: Vol. 1. Meeting of the Working Group on the Futures of Culture, Paris, 9–10 January 1990</w:t>
      </w:r>
      <w:r>
        <w:rPr>
          <w:rFonts w:ascii="Times New Roman" w:cs="Noto Naskh Arabic" w:eastAsia="Noto Naskh Arabic" w:hAnsi="Times New Roman"/>
          <w:sz w:val="18"/>
          <w:szCs w:val="18"/>
          <w:rtl w:val="false"/>
        </w:rPr>
        <w:t xml:space="preserve">. UNESCO. https://unesdoc.unesco.org/ark:/48223/pf0000159309</w:t>
      </w:r>
    </w:p>
  </w:footnote>
  <w:footnote w:id="6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Masini, E. B., &amp; Atal, Y. (Eds.). (1993). </w:t>
      </w:r>
      <w:r>
        <w:rPr>
          <w:rFonts w:ascii="Times New Roman" w:cs="Noto Naskh Arabic" w:eastAsia="Noto Naskh Arabic" w:hAnsi="Times New Roman"/>
          <w:i/>
          <w:sz w:val="18"/>
          <w:szCs w:val="18"/>
          <w:rtl w:val="false"/>
        </w:rPr>
        <w:t xml:space="preserve">The futures of Asian cultures</w:t>
      </w:r>
      <w:r>
        <w:rPr>
          <w:rFonts w:ascii="Times New Roman" w:cs="Noto Naskh Arabic" w:eastAsia="Noto Naskh Arabic" w:hAnsi="Times New Roman"/>
          <w:sz w:val="18"/>
          <w:szCs w:val="18"/>
          <w:rtl w:val="false"/>
        </w:rPr>
        <w:t xml:space="preserve">. UNESCO Principal Regional Office for Asia and the Pacific.</w:t>
      </w:r>
    </w:p>
  </w:footnote>
  <w:footnote w:id="6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Masini, E. B. (Ed.). (1994). </w:t>
      </w:r>
      <w:r>
        <w:rPr>
          <w:rFonts w:ascii="Times New Roman" w:cs="Noto Naskh Arabic" w:eastAsia="Noto Naskh Arabic" w:hAnsi="Times New Roman"/>
          <w:i/>
          <w:sz w:val="18"/>
          <w:szCs w:val="18"/>
          <w:rtl w:val="false"/>
        </w:rPr>
        <w:t xml:space="preserve">The futures of cultures</w:t>
      </w:r>
      <w:r>
        <w:rPr>
          <w:rFonts w:ascii="Times New Roman" w:cs="Noto Naskh Arabic" w:eastAsia="Noto Naskh Arabic" w:hAnsi="Times New Roman"/>
          <w:sz w:val="18"/>
          <w:szCs w:val="18"/>
          <w:rtl w:val="false"/>
        </w:rPr>
        <w:t xml:space="preserve">. UNESCO Publishing.</w:t>
      </w:r>
    </w:p>
  </w:footnote>
  <w:footnote w:id="6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J. C., &amp; Medvedev, D. (2024). Worldwide divergence of values. </w:t>
      </w:r>
      <w:r>
        <w:rPr>
          <w:rFonts w:ascii="Times New Roman" w:cs="Noto Naskh Arabic" w:eastAsia="Noto Naskh Arabic" w:hAnsi="Times New Roman"/>
          <w:i/>
          <w:sz w:val="18"/>
          <w:szCs w:val="18"/>
          <w:rtl w:val="false"/>
        </w:rPr>
        <w:t xml:space="preserve">Nature Communications, 15</w:t>
      </w:r>
      <w:r>
        <w:rPr>
          <w:rFonts w:ascii="Times New Roman" w:cs="Noto Naskh Arabic" w:eastAsia="Noto Naskh Arabic" w:hAnsi="Times New Roman"/>
          <w:sz w:val="18"/>
          <w:szCs w:val="18"/>
          <w:rtl w:val="false"/>
        </w:rPr>
        <w:t xml:space="preserve">, Article 2650. https://doi.org/10.1038/s41467-024-46581-5</w:t>
      </w:r>
    </w:p>
  </w:footnote>
  <w:footnote w:id="65">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الطويل، ناصر محمد علي. (٢٠١٦). تأثير الأبعاد المنهجية على الحصيلة العلمية والمجتمعية للدراسات المستقبلية العربية. </w:t>
      </w:r>
      <w:r>
        <w:rPr>
          <w:rFonts w:ascii="Times New Roman" w:cs="Noto Naskh Arabic" w:eastAsia="Noto Naskh Arabic" w:hAnsi="Times New Roman"/>
          <w:i w:val="false"/>
          <w:sz w:val="18"/>
          <w:szCs w:val="18"/>
          <w:rtl/>
        </w:rPr>
        <w:t xml:space="preserve">استشراف للدراسات المستقبلية</w:t>
      </w:r>
      <w:r>
        <w:rPr>
          <w:rFonts w:ascii="Times New Roman" w:cs="Noto Naskh Arabic" w:eastAsia="Noto Naskh Arabic" w:hAnsi="Times New Roman"/>
          <w:sz w:val="18"/>
          <w:szCs w:val="18"/>
          <w:rtl/>
        </w:rPr>
        <w:t xml:space="preserve">، (١). </w:t>
      </w:r>
      <w:r>
        <w:rPr>
          <w:rFonts w:ascii="Times New Roman" w:cs="Noto Naskh Arabic" w:eastAsia="Noto Naskh Arabic" w:hAnsi="Times New Roman"/>
          <w:sz w:val="18"/>
          <w:szCs w:val="18"/>
          <w:rtl w:val="false"/>
        </w:rPr>
        <w:t xml:space="preserve">https://istishraf.dohainstitute.org/ar/issue001/Pages/IssueHome.aspx</w:t>
      </w:r>
    </w:p>
  </w:footnote>
  <w:footnote w:id="66">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الكيلاني، شمس الدين. (٢٠١٦). مشروع استشراف «مستقبل الأمة العربية»: بين استشراف المستقبل والتطلّع الأيديولوجي. </w:t>
      </w:r>
      <w:r>
        <w:rPr>
          <w:rFonts w:ascii="Times New Roman" w:cs="Noto Naskh Arabic" w:eastAsia="Noto Naskh Arabic" w:hAnsi="Times New Roman"/>
          <w:i w:val="false"/>
          <w:sz w:val="18"/>
          <w:szCs w:val="18"/>
          <w:rtl/>
        </w:rPr>
        <w:t xml:space="preserve">استشراف للدراسات المستقبلية</w:t>
      </w:r>
      <w:r>
        <w:rPr>
          <w:rFonts w:ascii="Times New Roman" w:cs="Noto Naskh Arabic" w:eastAsia="Noto Naskh Arabic" w:hAnsi="Times New Roman"/>
          <w:sz w:val="18"/>
          <w:szCs w:val="18"/>
          <w:rtl/>
        </w:rPr>
        <w:t xml:space="preserve">، (١)، ١٩٣–. </w:t>
      </w:r>
      <w:r>
        <w:rPr>
          <w:rFonts w:ascii="Times New Roman" w:cs="Noto Naskh Arabic" w:eastAsia="Noto Naskh Arabic" w:hAnsi="Times New Roman"/>
          <w:sz w:val="18"/>
          <w:szCs w:val="18"/>
          <w:rtl w:val="false"/>
        </w:rPr>
        <w:t xml:space="preserve">https://ojs.acrps.ai/index.php/istishraf/en/article/download/issue001-art08/14862/7137</w:t>
      </w:r>
    </w:p>
  </w:footnote>
  <w:footnote w:id="67">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علاوة، فوزي. (٢٠١٦). مساهمة في صياغة مفهوم الصناعات الثقافية. </w:t>
      </w:r>
      <w:r>
        <w:rPr>
          <w:rFonts w:ascii="Times New Roman" w:cs="Noto Naskh Arabic" w:eastAsia="Noto Naskh Arabic" w:hAnsi="Times New Roman"/>
          <w:i w:val="false"/>
          <w:sz w:val="18"/>
          <w:szCs w:val="18"/>
          <w:rtl/>
        </w:rPr>
        <w:t xml:space="preserve">مجلة الدراسات والبحوث الاجتماعية</w:t>
      </w:r>
      <w:r>
        <w:rPr>
          <w:rFonts w:ascii="Times New Roman" w:cs="Noto Naskh Arabic" w:eastAsia="Noto Naskh Arabic" w:hAnsi="Times New Roman"/>
          <w:sz w:val="18"/>
          <w:szCs w:val="18"/>
          <w:rtl/>
        </w:rPr>
        <w:t xml:space="preserve">، (١٧)، ٢٠٣–٢١٦. </w:t>
      </w:r>
      <w:r>
        <w:rPr>
          <w:rFonts w:ascii="Times New Roman" w:cs="Noto Naskh Arabic" w:eastAsia="Noto Naskh Arabic" w:hAnsi="Times New Roman"/>
          <w:sz w:val="18"/>
          <w:szCs w:val="18"/>
          <w:rtl w:val="false"/>
        </w:rPr>
        <w:t xml:space="preserve">https://search.emarefa.net/detail/BIM-850512</w:t>
      </w:r>
    </w:p>
  </w:footnote>
  <w:footnote w:id="68">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وزارة الثقافة السعودية. (د.ت.). </w:t>
      </w:r>
      <w:r>
        <w:rPr>
          <w:rFonts w:ascii="Times New Roman" w:cs="Noto Naskh Arabic" w:eastAsia="Noto Naskh Arabic" w:hAnsi="Times New Roman"/>
          <w:i w:val="false"/>
          <w:sz w:val="18"/>
          <w:szCs w:val="18"/>
          <w:rtl/>
        </w:rPr>
        <w:t xml:space="preserve">مختبر السياسات الثقافية</w:t>
      </w:r>
      <w:r>
        <w:rPr>
          <w:rFonts w:ascii="Times New Roman" w:cs="Noto Naskh Arabic" w:eastAsia="Noto Naskh Arabic" w:hAnsi="Times New Roman"/>
          <w:sz w:val="18"/>
          <w:szCs w:val="18"/>
          <w:rtl/>
        </w:rPr>
        <w:t xml:space="preserve">. </w:t>
      </w:r>
      <w:r>
        <w:rPr>
          <w:rFonts w:ascii="Times New Roman" w:cs="Noto Naskh Arabic" w:eastAsia="Noto Naskh Arabic" w:hAnsi="Times New Roman"/>
          <w:sz w:val="18"/>
          <w:szCs w:val="18"/>
          <w:rtl w:val="false"/>
        </w:rPr>
        <w:t xml:space="preserve">https://engage.moc.gov.sa/cpl</w:t>
      </w:r>
      <w:r>
        <w:rPr>
          <w:rFonts w:ascii="Times New Roman" w:cs="Noto Naskh Arabic" w:eastAsia="Noto Naskh Arabic" w:hAnsi="Times New Roman"/>
          <w:sz w:val="18"/>
          <w:szCs w:val="18"/>
          <w:rtl/>
        </w:rPr>
        <w:t xml:space="preserve">/</w:t>
      </w:r>
    </w:p>
  </w:footnote>
  <w:footnote w:id="6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Tricco, A. C., Lillie, E., Zarin, W., O'Brien, K. K., Colquhoun, H., Levac, D., Moher, D., Peters, M. D. J., Horsley, T., Weeks, L., Hempel, S., Akl, E. A., Chang, C., McGowan, J., Stewart, L., Hartling, L., Aldcroft, A., Wilson, M. G., Garritty, C., … Straus, S. E. (2018). PRISMA extension for scoping reviews (PRISMA-ScR): Checklist and explanation. </w:t>
      </w:r>
      <w:r>
        <w:rPr>
          <w:rFonts w:ascii="Times New Roman" w:cs="Noto Naskh Arabic" w:eastAsia="Noto Naskh Arabic" w:hAnsi="Times New Roman"/>
          <w:i/>
          <w:sz w:val="18"/>
          <w:szCs w:val="18"/>
          <w:rtl w:val="false"/>
        </w:rPr>
        <w:t xml:space="preserve">Annals of Internal Medicine, 169</w:t>
      </w:r>
      <w:r>
        <w:rPr>
          <w:rFonts w:ascii="Times New Roman" w:cs="Noto Naskh Arabic" w:eastAsia="Noto Naskh Arabic" w:hAnsi="Times New Roman"/>
          <w:sz w:val="18"/>
          <w:szCs w:val="18"/>
          <w:rtl w:val="false"/>
        </w:rPr>
        <w:t xml:space="preserve">(7), 467–473. https://doi.org/10.7326/M18-0850</w:t>
      </w:r>
    </w:p>
  </w:footnote>
  <w:footnote w:id="7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Hutter, M., &amp; Throsby, D. (Eds.). (2008). </w:t>
      </w:r>
      <w:r>
        <w:rPr>
          <w:rFonts w:ascii="Times New Roman" w:cs="Noto Naskh Arabic" w:eastAsia="Noto Naskh Arabic" w:hAnsi="Times New Roman"/>
          <w:i/>
          <w:sz w:val="18"/>
          <w:szCs w:val="18"/>
          <w:rtl w:val="false"/>
        </w:rPr>
        <w:t xml:space="preserve">Beyond price: Value in culture, economics, and the arts</w:t>
      </w:r>
      <w:r>
        <w:rPr>
          <w:rFonts w:ascii="Times New Roman" w:cs="Noto Naskh Arabic" w:eastAsia="Noto Naskh Arabic" w:hAnsi="Times New Roman"/>
          <w:sz w:val="18"/>
          <w:szCs w:val="18"/>
          <w:rtl w:val="false"/>
        </w:rPr>
        <w:t xml:space="preserve">. Cambridge University Press.</w:t>
      </w:r>
    </w:p>
  </w:footnote>
  <w:footnote w:id="7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Mangset, P. (2020). The end of cultural policy? </w:t>
      </w:r>
      <w:r>
        <w:rPr>
          <w:rFonts w:ascii="Times New Roman" w:cs="Noto Naskh Arabic" w:eastAsia="Noto Naskh Arabic" w:hAnsi="Times New Roman"/>
          <w:i/>
          <w:sz w:val="18"/>
          <w:szCs w:val="18"/>
          <w:rtl w:val="false"/>
        </w:rPr>
        <w:t xml:space="preserve">International Journal of Cultural Policy, 26</w:t>
      </w:r>
      <w:r>
        <w:rPr>
          <w:rFonts w:ascii="Times New Roman" w:cs="Noto Naskh Arabic" w:eastAsia="Noto Naskh Arabic" w:hAnsi="Times New Roman"/>
          <w:sz w:val="18"/>
          <w:szCs w:val="18"/>
          <w:rtl w:val="false"/>
        </w:rPr>
        <w:t xml:space="preserve">(3), 398–411. https://doi.org/10.1080/10286632.2018.1500560</w:t>
      </w:r>
    </w:p>
  </w:footnote>
  <w:footnote w:id="7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Kizlari, D. (2020). The rise of rhizomatic cultural policies. </w:t>
      </w:r>
      <w:r>
        <w:rPr>
          <w:rFonts w:ascii="Times New Roman" w:cs="Noto Naskh Arabic" w:eastAsia="Noto Naskh Arabic" w:hAnsi="Times New Roman"/>
          <w:i/>
          <w:sz w:val="18"/>
          <w:szCs w:val="18"/>
          <w:rtl w:val="false"/>
        </w:rPr>
        <w:t xml:space="preserve">International Journal of Public Administration, 43</w:t>
      </w:r>
      <w:r>
        <w:rPr>
          <w:rFonts w:ascii="Times New Roman" w:cs="Noto Naskh Arabic" w:eastAsia="Noto Naskh Arabic" w:hAnsi="Times New Roman"/>
          <w:sz w:val="18"/>
          <w:szCs w:val="18"/>
          <w:rtl w:val="false"/>
        </w:rPr>
        <w:t xml:space="preserve">(3), 253–261. https://doi.org/10.1080/01900692.2019.1628054</w:t>
      </w:r>
    </w:p>
  </w:footnote>
  <w:footnote w:id="7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Belfiore, E. (2012). "Defensive instrumentalism" and the legacy of New Labour's cultural policies. </w:t>
      </w:r>
      <w:r>
        <w:rPr>
          <w:rFonts w:ascii="Times New Roman" w:cs="Noto Naskh Arabic" w:eastAsia="Noto Naskh Arabic" w:hAnsi="Times New Roman"/>
          <w:i/>
          <w:sz w:val="18"/>
          <w:szCs w:val="18"/>
          <w:rtl w:val="false"/>
        </w:rPr>
        <w:t xml:space="preserve">Cultural Trends, 21</w:t>
      </w:r>
      <w:r>
        <w:rPr>
          <w:rFonts w:ascii="Times New Roman" w:cs="Noto Naskh Arabic" w:eastAsia="Noto Naskh Arabic" w:hAnsi="Times New Roman"/>
          <w:sz w:val="18"/>
          <w:szCs w:val="18"/>
          <w:rtl w:val="false"/>
        </w:rPr>
        <w:t xml:space="preserve">(2), 103–111. https://doi.org/10.1080/09548963.2012.674750</w:t>
      </w:r>
    </w:p>
  </w:footnote>
  <w:footnote w:id="7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Gray, C. (2008). Instrumental policies: Causes, consequences, museums and galleries. </w:t>
      </w:r>
      <w:r>
        <w:rPr>
          <w:rFonts w:ascii="Times New Roman" w:cs="Noto Naskh Arabic" w:eastAsia="Noto Naskh Arabic" w:hAnsi="Times New Roman"/>
          <w:i/>
          <w:sz w:val="18"/>
          <w:szCs w:val="18"/>
          <w:rtl w:val="false"/>
        </w:rPr>
        <w:t xml:space="preserve">Cultural Trends, 17</w:t>
      </w:r>
      <w:r>
        <w:rPr>
          <w:rFonts w:ascii="Times New Roman" w:cs="Noto Naskh Arabic" w:eastAsia="Noto Naskh Arabic" w:hAnsi="Times New Roman"/>
          <w:sz w:val="18"/>
          <w:szCs w:val="18"/>
          <w:rtl w:val="false"/>
        </w:rPr>
        <w:t xml:space="preserve">(4), 209–222. https://doi.org/10.1080/09548960802615349</w:t>
      </w:r>
    </w:p>
  </w:footnote>
  <w:footnote w:id="7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Nieborg, D. B., &amp; Poell, T. (2018). The platformization of cultural production: Theorizing the contingent cultural commodity. </w:t>
      </w:r>
      <w:r>
        <w:rPr>
          <w:rFonts w:ascii="Times New Roman" w:cs="Noto Naskh Arabic" w:eastAsia="Noto Naskh Arabic" w:hAnsi="Times New Roman"/>
          <w:i/>
          <w:sz w:val="18"/>
          <w:szCs w:val="18"/>
          <w:rtl w:val="false"/>
        </w:rPr>
        <w:t xml:space="preserve">New Media &amp; Society, 20</w:t>
      </w:r>
      <w:r>
        <w:rPr>
          <w:rFonts w:ascii="Times New Roman" w:cs="Noto Naskh Arabic" w:eastAsia="Noto Naskh Arabic" w:hAnsi="Times New Roman"/>
          <w:sz w:val="18"/>
          <w:szCs w:val="18"/>
          <w:rtl w:val="false"/>
        </w:rPr>
        <w:t xml:space="preserve">(11), 4275–4292. https://doi.org/10.1177/1461444818769694</w:t>
      </w:r>
    </w:p>
  </w:footnote>
  <w:footnote w:id="7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Duffy, B. E., Poell, T., &amp; Nieborg, D. B. (2019). Platform practices in the cultural industries: Creativity, labor, and citizenship. </w:t>
      </w:r>
      <w:r>
        <w:rPr>
          <w:rFonts w:ascii="Times New Roman" w:cs="Noto Naskh Arabic" w:eastAsia="Noto Naskh Arabic" w:hAnsi="Times New Roman"/>
          <w:i/>
          <w:sz w:val="18"/>
          <w:szCs w:val="18"/>
          <w:rtl w:val="false"/>
        </w:rPr>
        <w:t xml:space="preserve">Social Media + Society, 5</w:t>
      </w:r>
      <w:r>
        <w:rPr>
          <w:rFonts w:ascii="Times New Roman" w:cs="Noto Naskh Arabic" w:eastAsia="Noto Naskh Arabic" w:hAnsi="Times New Roman"/>
          <w:sz w:val="18"/>
          <w:szCs w:val="18"/>
          <w:rtl w:val="false"/>
        </w:rPr>
        <w:t xml:space="preserve">(4). https://doi.org/10.1177/2056305119879672</w:t>
      </w:r>
    </w:p>
  </w:footnote>
  <w:footnote w:id="7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UNCTAD. (2026). </w:t>
      </w:r>
      <w:r>
        <w:rPr>
          <w:rFonts w:ascii="Times New Roman" w:cs="Noto Naskh Arabic" w:eastAsia="Noto Naskh Arabic" w:hAnsi="Times New Roman"/>
          <w:i/>
          <w:sz w:val="18"/>
          <w:szCs w:val="18"/>
          <w:rtl w:val="false"/>
        </w:rPr>
        <w:t xml:space="preserve">Global trade in creative services booming while trade in creative goods stalls</w:t>
      </w:r>
      <w:r>
        <w:rPr>
          <w:rFonts w:ascii="Times New Roman" w:cs="Noto Naskh Arabic" w:eastAsia="Noto Naskh Arabic" w:hAnsi="Times New Roman"/>
          <w:sz w:val="18"/>
          <w:szCs w:val="18"/>
          <w:rtl w:val="false"/>
        </w:rPr>
        <w:t xml:space="preserve"> [Data insight]. UNCTADstat. https://unctadstat.unctad.org/insights/theme/97</w:t>
      </w:r>
    </w:p>
  </w:footnote>
  <w:footnote w:id="7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(2026). </w:t>
      </w:r>
      <w:r>
        <w:rPr>
          <w:rFonts w:ascii="Times New Roman" w:cs="Noto Naskh Arabic" w:eastAsia="Noto Naskh Arabic" w:hAnsi="Times New Roman"/>
          <w:i/>
          <w:sz w:val="18"/>
          <w:szCs w:val="18"/>
          <w:rtl w:val="false"/>
        </w:rPr>
        <w:t xml:space="preserve">Re|Shaping policies for creativity: We share, we act, we build</w:t>
      </w:r>
      <w:r>
        <w:rPr>
          <w:rFonts w:ascii="Times New Roman" w:cs="Noto Naskh Arabic" w:eastAsia="Noto Naskh Arabic" w:hAnsi="Times New Roman"/>
          <w:sz w:val="18"/>
          <w:szCs w:val="18"/>
          <w:rtl w:val="false"/>
        </w:rPr>
        <w:t xml:space="preserve">. UNESCO. https://www.unesco.org/en/reshaping-creativity-reports</w:t>
      </w:r>
    </w:p>
  </w:footnote>
  <w:footnote w:id="7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J. C., &amp; Medvedev, D. (2024). Worldwide divergence of values. </w:t>
      </w:r>
      <w:r>
        <w:rPr>
          <w:rFonts w:ascii="Times New Roman" w:cs="Noto Naskh Arabic" w:eastAsia="Noto Naskh Arabic" w:hAnsi="Times New Roman"/>
          <w:i/>
          <w:sz w:val="18"/>
          <w:szCs w:val="18"/>
          <w:rtl w:val="false"/>
        </w:rPr>
        <w:t xml:space="preserve">Nature Communications, 15</w:t>
      </w:r>
      <w:r>
        <w:rPr>
          <w:rFonts w:ascii="Times New Roman" w:cs="Noto Naskh Arabic" w:eastAsia="Noto Naskh Arabic" w:hAnsi="Times New Roman"/>
          <w:sz w:val="18"/>
          <w:szCs w:val="18"/>
          <w:rtl w:val="false"/>
        </w:rPr>
        <w:t xml:space="preserve">, Article 2650. https://doi.org/10.1038/s41467-024-46581-5</w:t>
      </w:r>
    </w:p>
  </w:footnote>
  <w:footnote w:id="8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(2026). </w:t>
      </w:r>
      <w:r>
        <w:rPr>
          <w:rFonts w:ascii="Times New Roman" w:cs="Noto Naskh Arabic" w:eastAsia="Noto Naskh Arabic" w:hAnsi="Times New Roman"/>
          <w:i/>
          <w:sz w:val="18"/>
          <w:szCs w:val="18"/>
          <w:rtl w:val="false"/>
        </w:rPr>
        <w:t xml:space="preserve">Re|Shaping policies for creativity: We share, we act, we build</w:t>
      </w:r>
      <w:r>
        <w:rPr>
          <w:rFonts w:ascii="Times New Roman" w:cs="Noto Naskh Arabic" w:eastAsia="Noto Naskh Arabic" w:hAnsi="Times New Roman"/>
          <w:sz w:val="18"/>
          <w:szCs w:val="18"/>
          <w:rtl w:val="false"/>
        </w:rPr>
        <w:t xml:space="preserve">. UNESCO. https://www.unesco.org/en/reshaping-creativity-reports</w:t>
      </w:r>
    </w:p>
  </w:footnote>
  <w:footnote w:id="8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UNCTAD. (2024). </w:t>
      </w:r>
      <w:r>
        <w:rPr>
          <w:rFonts w:ascii="Times New Roman" w:cs="Noto Naskh Arabic" w:eastAsia="Noto Naskh Arabic" w:hAnsi="Times New Roman"/>
          <w:i/>
          <w:sz w:val="18"/>
          <w:szCs w:val="18"/>
          <w:rtl w:val="false"/>
        </w:rPr>
        <w:t xml:space="preserve">Creative economy outlook 2024</w:t>
      </w:r>
      <w:r>
        <w:rPr>
          <w:rFonts w:ascii="Times New Roman" w:cs="Noto Naskh Arabic" w:eastAsia="Noto Naskh Arabic" w:hAnsi="Times New Roman"/>
          <w:sz w:val="18"/>
          <w:szCs w:val="18"/>
          <w:rtl w:val="false"/>
        </w:rPr>
        <w:t xml:space="preserve">. United Nations.</w:t>
      </w:r>
    </w:p>
  </w:footnote>
  <w:footnote w:id="8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CISAC. (2024). </w:t>
      </w:r>
      <w:r>
        <w:rPr>
          <w:rFonts w:ascii="Times New Roman" w:cs="Noto Naskh Arabic" w:eastAsia="Noto Naskh Arabic" w:hAnsi="Times New Roman"/>
          <w:i/>
          <w:sz w:val="18"/>
          <w:szCs w:val="18"/>
          <w:rtl w:val="false"/>
        </w:rPr>
        <w:t xml:space="preserve">Study on the economic impact of generative AI in the music and audiovisual industries</w:t>
      </w:r>
      <w:r>
        <w:rPr>
          <w:rFonts w:ascii="Times New Roman" w:cs="Noto Naskh Arabic" w:eastAsia="Noto Naskh Arabic" w:hAnsi="Times New Roman"/>
          <w:sz w:val="18"/>
          <w:szCs w:val="18"/>
          <w:rtl w:val="false"/>
        </w:rPr>
        <w:t xml:space="preserve"> [Study conducted by PMP Strategy]. International Confederation of Societies of Authors and Composers. https://www.cisac.org/Newsroom/news-releases/global-economic-study-shows-human-creators-future-risk-generative-ai</w:t>
      </w:r>
    </w:p>
  </w:footnote>
  <w:footnote w:id="8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(2022). </w:t>
      </w:r>
      <w:r>
        <w:rPr>
          <w:rFonts w:ascii="Times New Roman" w:cs="Noto Naskh Arabic" w:eastAsia="Noto Naskh Arabic" w:hAnsi="Times New Roman"/>
          <w:i/>
          <w:sz w:val="18"/>
          <w:szCs w:val="18"/>
          <w:rtl w:val="false"/>
        </w:rPr>
        <w:t xml:space="preserve">Re|shaping policies for creativity: Addressing culture as a global public good</w:t>
      </w:r>
      <w:r>
        <w:rPr>
          <w:rFonts w:ascii="Times New Roman" w:cs="Noto Naskh Arabic" w:eastAsia="Noto Naskh Arabic" w:hAnsi="Times New Roman"/>
          <w:sz w:val="18"/>
          <w:szCs w:val="18"/>
          <w:rtl w:val="false"/>
        </w:rPr>
        <w:t xml:space="preserve">. UNESCO. https://www.unesco.org/reports/reshaping-creativity/2022/en</w:t>
      </w:r>
    </w:p>
  </w:footnote>
  <w:footnote w:id="8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(2026). </w:t>
      </w:r>
      <w:r>
        <w:rPr>
          <w:rFonts w:ascii="Times New Roman" w:cs="Noto Naskh Arabic" w:eastAsia="Noto Naskh Arabic" w:hAnsi="Times New Roman"/>
          <w:i/>
          <w:sz w:val="18"/>
          <w:szCs w:val="18"/>
          <w:rtl w:val="false"/>
        </w:rPr>
        <w:t xml:space="preserve">Re|Shaping policies for creativity: We share, we act, we build</w:t>
      </w:r>
      <w:r>
        <w:rPr>
          <w:rFonts w:ascii="Times New Roman" w:cs="Noto Naskh Arabic" w:eastAsia="Noto Naskh Arabic" w:hAnsi="Times New Roman"/>
          <w:sz w:val="18"/>
          <w:szCs w:val="18"/>
          <w:rtl w:val="false"/>
        </w:rPr>
        <w:t xml:space="preserve">. UNESCO. https://www.unesco.org/en/reshaping-creativity-reports</w:t>
      </w:r>
    </w:p>
  </w:footnote>
  <w:footnote w:id="8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UNESCO. (2026). </w:t>
      </w:r>
      <w:r>
        <w:rPr>
          <w:rFonts w:ascii="Times New Roman" w:cs="Noto Naskh Arabic" w:eastAsia="Noto Naskh Arabic" w:hAnsi="Times New Roman"/>
          <w:i/>
          <w:sz w:val="18"/>
          <w:szCs w:val="18"/>
          <w:rtl w:val="false"/>
        </w:rPr>
        <w:t xml:space="preserve">Re|Shaping policies for creativity: We share, we act, we build</w:t>
      </w:r>
      <w:r>
        <w:rPr>
          <w:rFonts w:ascii="Times New Roman" w:cs="Noto Naskh Arabic" w:eastAsia="Noto Naskh Arabic" w:hAnsi="Times New Roman"/>
          <w:sz w:val="18"/>
          <w:szCs w:val="18"/>
          <w:rtl w:val="false"/>
        </w:rPr>
        <w:t xml:space="preserve">. UNESCO. https://www.unesco.org/en/reshaping-creativity-reports</w:t>
      </w:r>
    </w:p>
  </w:footnote>
  <w:footnote w:id="8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J. C., &amp; Medvedev, D. (2024). Worldwide divergence of values. </w:t>
      </w:r>
      <w:r>
        <w:rPr>
          <w:rFonts w:ascii="Times New Roman" w:cs="Noto Naskh Arabic" w:eastAsia="Noto Naskh Arabic" w:hAnsi="Times New Roman"/>
          <w:i/>
          <w:sz w:val="18"/>
          <w:szCs w:val="18"/>
          <w:rtl w:val="false"/>
        </w:rPr>
        <w:t xml:space="preserve">Nature Communications, 15</w:t>
      </w:r>
      <w:r>
        <w:rPr>
          <w:rFonts w:ascii="Times New Roman" w:cs="Noto Naskh Arabic" w:eastAsia="Noto Naskh Arabic" w:hAnsi="Times New Roman"/>
          <w:sz w:val="18"/>
          <w:szCs w:val="18"/>
          <w:rtl w:val="false"/>
        </w:rPr>
        <w:t xml:space="preserve">, Article 2650. https://doi.org/10.1038/s41467-024-46581-5</w:t>
      </w:r>
    </w:p>
  </w:footnote>
  <w:footnote w:id="8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Anderson, A., Maystre, L., Anderson, I., Mehrotra, R., &amp; Lalmas, M. (2020). Algorithmic effects on the diversity of consumption on Spotify. In </w:t>
      </w:r>
      <w:r>
        <w:rPr>
          <w:rFonts w:ascii="Times New Roman" w:cs="Noto Naskh Arabic" w:eastAsia="Noto Naskh Arabic" w:hAnsi="Times New Roman"/>
          <w:i/>
          <w:sz w:val="18"/>
          <w:szCs w:val="18"/>
          <w:rtl w:val="false"/>
        </w:rPr>
        <w:t xml:space="preserve">Proceedings of The Web Conference 2020 (WWW '20)</w:t>
      </w:r>
      <w:r>
        <w:rPr>
          <w:rFonts w:ascii="Times New Roman" w:cs="Noto Naskh Arabic" w:eastAsia="Noto Naskh Arabic" w:hAnsi="Times New Roman"/>
          <w:sz w:val="18"/>
          <w:szCs w:val="18"/>
          <w:rtl w:val="false"/>
        </w:rPr>
        <w:t xml:space="preserve"> (pp. 2155–2165). Association for Computing Machinery. https://doi.org/10.1145/3366423.3380281</w:t>
      </w:r>
    </w:p>
  </w:footnote>
  <w:footnote w:id="8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Anderson, A., Maystre, L., Anderson, I., Mehrotra, R., &amp; Lalmas, M. (2020). Algorithmic effects on the diversity of consumption on Spotify. In </w:t>
      </w:r>
      <w:r>
        <w:rPr>
          <w:rFonts w:ascii="Times New Roman" w:cs="Noto Naskh Arabic" w:eastAsia="Noto Naskh Arabic" w:hAnsi="Times New Roman"/>
          <w:i/>
          <w:sz w:val="18"/>
          <w:szCs w:val="18"/>
          <w:rtl w:val="false"/>
        </w:rPr>
        <w:t xml:space="preserve">Proceedings of The Web Conference 2020 (WWW '20)</w:t>
      </w:r>
      <w:r>
        <w:rPr>
          <w:rFonts w:ascii="Times New Roman" w:cs="Noto Naskh Arabic" w:eastAsia="Noto Naskh Arabic" w:hAnsi="Times New Roman"/>
          <w:sz w:val="18"/>
          <w:szCs w:val="18"/>
          <w:rtl w:val="false"/>
        </w:rPr>
        <w:t xml:space="preserve"> (pp. 2155–2165). Association for Computing Machinery. https://doi.org/10.1145/3366423.3380281</w:t>
      </w:r>
    </w:p>
  </w:footnote>
  <w:footnote w:id="8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Levins, R. (1969). Some demographic and genetic consequences of environmental heterogeneity for biological control. </w:t>
      </w:r>
      <w:r>
        <w:rPr>
          <w:rFonts w:ascii="Times New Roman" w:cs="Noto Naskh Arabic" w:eastAsia="Noto Naskh Arabic" w:hAnsi="Times New Roman"/>
          <w:i/>
          <w:sz w:val="18"/>
          <w:szCs w:val="18"/>
          <w:rtl w:val="false"/>
        </w:rPr>
        <w:t xml:space="preserve">Bulletin of the Entomological Society of America, 15</w:t>
      </w:r>
      <w:r>
        <w:rPr>
          <w:rFonts w:ascii="Times New Roman" w:cs="Noto Naskh Arabic" w:eastAsia="Noto Naskh Arabic" w:hAnsi="Times New Roman"/>
          <w:sz w:val="18"/>
          <w:szCs w:val="18"/>
          <w:rtl w:val="false"/>
        </w:rPr>
        <w:t xml:space="preserve">(3), 237–240.</w:t>
      </w:r>
    </w:p>
  </w:footnote>
  <w:footnote w:id="90">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حكومة دولة الإمارات. (د.ت.). </w:t>
      </w:r>
      <w:r>
        <w:rPr>
          <w:rFonts w:ascii="Times New Roman" w:cs="Noto Naskh Arabic" w:eastAsia="Noto Naskh Arabic" w:hAnsi="Times New Roman"/>
          <w:i w:val="false"/>
          <w:sz w:val="18"/>
          <w:szCs w:val="18"/>
          <w:rtl/>
        </w:rPr>
        <w:t xml:space="preserve">الاستراتيجية الوطنية للصناعات الثقافية والإبداعية</w:t>
      </w:r>
      <w:r>
        <w:rPr>
          <w:rFonts w:ascii="Times New Roman" w:cs="Noto Naskh Arabic" w:eastAsia="Noto Naskh Arabic" w:hAnsi="Times New Roman"/>
          <w:sz w:val="18"/>
          <w:szCs w:val="18"/>
          <w:rtl/>
        </w:rPr>
        <w:t xml:space="preserve">. البوابة الرسمية لحكومة دولة الإمارات. </w:t>
      </w:r>
      <w:r>
        <w:rPr>
          <w:rFonts w:ascii="Times New Roman" w:cs="Noto Naskh Arabic" w:eastAsia="Noto Naskh Arabic" w:hAnsi="Times New Roman"/>
          <w:sz w:val="18"/>
          <w:szCs w:val="18"/>
          <w:rtl w:val="false"/>
        </w:rPr>
        <w:t xml:space="preserve">https://u.ae/en/about-the-uae/strategies-initiatives-and-awards/strategies-plans-and-visions/finance-and-economy/national-strategy-for-the-cultural-and-creative-industries</w:t>
      </w:r>
    </w:p>
  </w:footnote>
  <w:footnote w:id="9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National Arts Council. (2023). </w:t>
      </w:r>
      <w:r>
        <w:rPr>
          <w:rFonts w:ascii="Times New Roman" w:cs="Noto Naskh Arabic" w:eastAsia="Noto Naskh Arabic" w:hAnsi="Times New Roman"/>
          <w:i/>
          <w:sz w:val="18"/>
          <w:szCs w:val="18"/>
          <w:rtl w:val="false"/>
        </w:rPr>
        <w:t xml:space="preserve">Our SG Arts Plan (2023–2027)</w:t>
      </w:r>
      <w:r>
        <w:rPr>
          <w:rFonts w:ascii="Times New Roman" w:cs="Noto Naskh Arabic" w:eastAsia="Noto Naskh Arabic" w:hAnsi="Times New Roman"/>
          <w:sz w:val="18"/>
          <w:szCs w:val="18"/>
          <w:rtl w:val="false"/>
        </w:rPr>
        <w:t xml:space="preserve">. National Arts Council, Singapore. https://www.nac.gov.sg/docs/default-source/our-sg-arts-plan-(2023---2027)/our-sg-arts-plan-2023---2027.pdf</w:t>
      </w:r>
    </w:p>
  </w:footnote>
  <w:footnote w:id="9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Ministry of Education and Culture. (2017). </w:t>
      </w:r>
      <w:r>
        <w:rPr>
          <w:rFonts w:ascii="Times New Roman" w:cs="Noto Naskh Arabic" w:eastAsia="Noto Naskh Arabic" w:hAnsi="Times New Roman"/>
          <w:i/>
          <w:sz w:val="18"/>
          <w:szCs w:val="18"/>
          <w:rtl w:val="false"/>
        </w:rPr>
        <w:t xml:space="preserve">Strategy for cultural policy 2025</w:t>
      </w:r>
      <w:r>
        <w:rPr>
          <w:rFonts w:ascii="Times New Roman" w:cs="Noto Naskh Arabic" w:eastAsia="Noto Naskh Arabic" w:hAnsi="Times New Roman"/>
          <w:sz w:val="18"/>
          <w:szCs w:val="18"/>
          <w:rtl w:val="false"/>
        </w:rPr>
        <w:t xml:space="preserve">. Ministry of Education and Culture, Finland.</w:t>
      </w:r>
    </w:p>
  </w:footnote>
  <w:footnote w:id="9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Ministry of Education and Culture. (2025). </w:t>
      </w:r>
      <w:r>
        <w:rPr>
          <w:rFonts w:ascii="Times New Roman" w:cs="Noto Naskh Arabic" w:eastAsia="Noto Naskh Arabic" w:hAnsi="Times New Roman"/>
          <w:i/>
          <w:sz w:val="18"/>
          <w:szCs w:val="18"/>
          <w:rtl w:val="false"/>
        </w:rPr>
        <w:t xml:space="preserve">Cultural policy report</w:t>
      </w:r>
      <w:r>
        <w:rPr>
          <w:rFonts w:ascii="Times New Roman" w:cs="Noto Naskh Arabic" w:eastAsia="Noto Naskh Arabic" w:hAnsi="Times New Roman"/>
          <w:sz w:val="18"/>
          <w:szCs w:val="18"/>
          <w:rtl w:val="false"/>
        </w:rPr>
        <w:t xml:space="preserve">. Finnish Government. https://valtioneuvosto.fi/en/-/1410845/culture-as-strong-and-unifying-force-in-building-sustainable-viable-and-more-humane-future</w:t>
      </w:r>
    </w:p>
  </w:footnote>
  <w:footnote w:id="94">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حكومة دولة الإمارات. (د.ت.). </w:t>
      </w:r>
      <w:r>
        <w:rPr>
          <w:rFonts w:ascii="Times New Roman" w:cs="Noto Naskh Arabic" w:eastAsia="Noto Naskh Arabic" w:hAnsi="Times New Roman"/>
          <w:i w:val="false"/>
          <w:sz w:val="18"/>
          <w:szCs w:val="18"/>
          <w:rtl/>
        </w:rPr>
        <w:t xml:space="preserve">الاستراتيجية الوطنية للصناعات الثقافية والإبداعية</w:t>
      </w:r>
      <w:r>
        <w:rPr>
          <w:rFonts w:ascii="Times New Roman" w:cs="Noto Naskh Arabic" w:eastAsia="Noto Naskh Arabic" w:hAnsi="Times New Roman"/>
          <w:sz w:val="18"/>
          <w:szCs w:val="18"/>
          <w:rtl/>
        </w:rPr>
        <w:t xml:space="preserve">. البوابة الرسمية لحكومة دولة الإمارات. </w:t>
      </w:r>
      <w:r>
        <w:rPr>
          <w:rFonts w:ascii="Times New Roman" w:cs="Noto Naskh Arabic" w:eastAsia="Noto Naskh Arabic" w:hAnsi="Times New Roman"/>
          <w:sz w:val="18"/>
          <w:szCs w:val="18"/>
          <w:rtl w:val="false"/>
        </w:rPr>
        <w:t xml:space="preserve">https://u.ae/en/about-the-uae/strategies-initiatives-and-awards/strategies-plans-and-visions/finance-and-economy/national-strategy-for-the-cultural-and-creative-industries</w:t>
      </w:r>
    </w:p>
  </w:footnote>
  <w:footnote w:id="9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Dubai Future Foundation &amp; Dubai Culture and Arts Authority. (2020). </w:t>
      </w:r>
      <w:r>
        <w:rPr>
          <w:rFonts w:ascii="Times New Roman" w:cs="Noto Naskh Arabic" w:eastAsia="Noto Naskh Arabic" w:hAnsi="Times New Roman"/>
          <w:i/>
          <w:sz w:val="18"/>
          <w:szCs w:val="18"/>
          <w:rtl w:val="false"/>
        </w:rPr>
        <w:t xml:space="preserve">Future trends: Culture and the creative sector</w:t>
      </w:r>
      <w:r>
        <w:rPr>
          <w:rFonts w:ascii="Times New Roman" w:cs="Noto Naskh Arabic" w:eastAsia="Noto Naskh Arabic" w:hAnsi="Times New Roman"/>
          <w:sz w:val="18"/>
          <w:szCs w:val="18"/>
          <w:rtl w:val="false"/>
        </w:rPr>
        <w:t xml:space="preserve">. Dubai Future Foundation. https://www.dubaifuture.ae/dubai-future-foundation/dubai-future-foundation-and-dubai-culture-forecast-the-future-of-culture-and-the-creative-sector-in-the-uae/</w:t>
      </w:r>
    </w:p>
  </w:footnote>
  <w:footnote w:id="9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National Arts Council. (2023). </w:t>
      </w:r>
      <w:r>
        <w:rPr>
          <w:rFonts w:ascii="Times New Roman" w:cs="Noto Naskh Arabic" w:eastAsia="Noto Naskh Arabic" w:hAnsi="Times New Roman"/>
          <w:i/>
          <w:sz w:val="18"/>
          <w:szCs w:val="18"/>
          <w:rtl w:val="false"/>
        </w:rPr>
        <w:t xml:space="preserve">Our SG Arts Plan (2023–2027)</w:t>
      </w:r>
      <w:r>
        <w:rPr>
          <w:rFonts w:ascii="Times New Roman" w:cs="Noto Naskh Arabic" w:eastAsia="Noto Naskh Arabic" w:hAnsi="Times New Roman"/>
          <w:sz w:val="18"/>
          <w:szCs w:val="18"/>
          <w:rtl w:val="false"/>
        </w:rPr>
        <w:t xml:space="preserve">. National Arts Council, Singapore. https://www.nac.gov.sg/docs/default-source/our-sg-arts-plan-(2023---2027)/our-sg-arts-plan-2023---2027.pdf</w:t>
      </w:r>
    </w:p>
  </w:footnote>
  <w:footnote w:id="9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Ministry of Education and Culture. (2025). </w:t>
      </w:r>
      <w:r>
        <w:rPr>
          <w:rFonts w:ascii="Times New Roman" w:cs="Noto Naskh Arabic" w:eastAsia="Noto Naskh Arabic" w:hAnsi="Times New Roman"/>
          <w:i/>
          <w:sz w:val="18"/>
          <w:szCs w:val="18"/>
          <w:rtl w:val="false"/>
        </w:rPr>
        <w:t xml:space="preserve">Cultural policy report</w:t>
      </w:r>
      <w:r>
        <w:rPr>
          <w:rFonts w:ascii="Times New Roman" w:cs="Noto Naskh Arabic" w:eastAsia="Noto Naskh Arabic" w:hAnsi="Times New Roman"/>
          <w:sz w:val="18"/>
          <w:szCs w:val="18"/>
          <w:rtl w:val="false"/>
        </w:rPr>
        <w:t xml:space="preserve">. Finnish Government. https://valtioneuvosto.fi/en/-/1410845/culture-as-strong-and-unifying-force-in-building-sustainable-viable-and-more-humane-future</w:t>
      </w:r>
    </w:p>
  </w:footnote>
  <w:footnote w:id="98">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المركز العربي للأبحاث ودراسة السياسات. (٢٠١٦). </w:t>
      </w:r>
      <w:r>
        <w:rPr>
          <w:rFonts w:ascii="Times New Roman" w:cs="Noto Naskh Arabic" w:eastAsia="Noto Naskh Arabic" w:hAnsi="Times New Roman"/>
          <w:i w:val="false"/>
          <w:sz w:val="18"/>
          <w:szCs w:val="18"/>
          <w:rtl/>
        </w:rPr>
        <w:t xml:space="preserve">المركز العربي يُصدر العدد الأول من الكتاب السنوي «استشراف» للدراسات المستقبلية</w:t>
      </w:r>
      <w:r>
        <w:rPr>
          <w:rFonts w:ascii="Times New Roman" w:cs="Noto Naskh Arabic" w:eastAsia="Noto Naskh Arabic" w:hAnsi="Times New Roman"/>
          <w:sz w:val="18"/>
          <w:szCs w:val="18"/>
          <w:rtl/>
        </w:rPr>
        <w:t xml:space="preserve"> [خبر صحفي]. </w:t>
      </w:r>
      <w:r>
        <w:rPr>
          <w:rFonts w:ascii="Times New Roman" w:cs="Noto Naskh Arabic" w:eastAsia="Noto Naskh Arabic" w:hAnsi="Times New Roman"/>
          <w:sz w:val="18"/>
          <w:szCs w:val="18"/>
          <w:rtl w:val="false"/>
        </w:rPr>
        <w:t xml:space="preserve">https://www.dohainstitute.org/ar/News/Pages/art665.aspx</w:t>
      </w:r>
    </w:p>
  </w:footnote>
  <w:footnote w:id="99">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استشراف. (د.ت.). </w:t>
      </w:r>
      <w:r>
        <w:rPr>
          <w:rFonts w:ascii="Times New Roman" w:cs="Noto Naskh Arabic" w:eastAsia="Noto Naskh Arabic" w:hAnsi="Times New Roman"/>
          <w:i w:val="false"/>
          <w:sz w:val="18"/>
          <w:szCs w:val="18"/>
          <w:rtl/>
        </w:rPr>
        <w:t xml:space="preserve">عن المجلة</w:t>
      </w:r>
      <w:r>
        <w:rPr>
          <w:rFonts w:ascii="Times New Roman" w:cs="Noto Naskh Arabic" w:eastAsia="Noto Naskh Arabic" w:hAnsi="Times New Roman"/>
          <w:sz w:val="18"/>
          <w:szCs w:val="18"/>
          <w:rtl/>
        </w:rPr>
        <w:t xml:space="preserve">. المركز العربي للأبحاث ودراسة السياسات. </w:t>
      </w:r>
      <w:r>
        <w:rPr>
          <w:rFonts w:ascii="Times New Roman" w:cs="Noto Naskh Arabic" w:eastAsia="Noto Naskh Arabic" w:hAnsi="Times New Roman"/>
          <w:sz w:val="18"/>
          <w:szCs w:val="18"/>
          <w:rtl w:val="false"/>
        </w:rPr>
        <w:t xml:space="preserve">https://istishraf.dohainstitute.org/ar/Pages/AboutUs.aspx</w:t>
      </w:r>
    </w:p>
  </w:footnote>
  <w:footnote w:id="10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OECD Observatory of Public Sector Innovation. (n.d.). </w:t>
      </w:r>
      <w:r>
        <w:rPr>
          <w:rFonts w:ascii="Times New Roman" w:cs="Noto Naskh Arabic" w:eastAsia="Noto Naskh Arabic" w:hAnsi="Times New Roman"/>
          <w:i/>
          <w:sz w:val="18"/>
          <w:szCs w:val="18"/>
          <w:rtl w:val="false"/>
        </w:rPr>
        <w:t xml:space="preserve">The Centre for Strategic Futures in Singapore</w:t>
      </w:r>
      <w:r>
        <w:rPr>
          <w:rFonts w:ascii="Times New Roman" w:cs="Noto Naskh Arabic" w:eastAsia="Noto Naskh Arabic" w:hAnsi="Times New Roman"/>
          <w:sz w:val="18"/>
          <w:szCs w:val="18"/>
          <w:rtl w:val="false"/>
        </w:rPr>
        <w:t xml:space="preserve">. Retrieved October 11, 2026, from https://oecd-opsi.org/?p=30453</w:t>
      </w:r>
    </w:p>
  </w:footnote>
  <w:footnote w:id="10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Centre for Strategic Futures. (2019a). </w:t>
      </w:r>
      <w:r>
        <w:rPr>
          <w:rFonts w:ascii="Times New Roman" w:cs="Noto Naskh Arabic" w:eastAsia="Noto Naskh Arabic" w:hAnsi="Times New Roman"/>
          <w:i/>
          <w:sz w:val="18"/>
          <w:szCs w:val="18"/>
          <w:rtl w:val="false"/>
        </w:rPr>
        <w:t xml:space="preserve">Foresight</w:t>
      </w:r>
      <w:r>
        <w:rPr>
          <w:rFonts w:ascii="Times New Roman" w:cs="Noto Naskh Arabic" w:eastAsia="Noto Naskh Arabic" w:hAnsi="Times New Roman"/>
          <w:sz w:val="18"/>
          <w:szCs w:val="18"/>
          <w:rtl w:val="false"/>
        </w:rPr>
        <w:t xml:space="preserve">. Strategy Group, Prime Minister's Office, Singapore. https://strategygroup.gov.sg/images/publicationimages/csf_foresight_2019.pdf</w:t>
      </w:r>
    </w:p>
  </w:footnote>
  <w:footnote w:id="10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OECD Observatory of Public Sector Innovation. (n.d.). </w:t>
      </w:r>
      <w:r>
        <w:rPr>
          <w:rFonts w:ascii="Times New Roman" w:cs="Noto Naskh Arabic" w:eastAsia="Noto Naskh Arabic" w:hAnsi="Times New Roman"/>
          <w:i/>
          <w:sz w:val="18"/>
          <w:szCs w:val="18"/>
          <w:rtl w:val="false"/>
        </w:rPr>
        <w:t xml:space="preserve">The Centre for Strategic Futures in Singapore</w:t>
      </w:r>
      <w:r>
        <w:rPr>
          <w:rFonts w:ascii="Times New Roman" w:cs="Noto Naskh Arabic" w:eastAsia="Noto Naskh Arabic" w:hAnsi="Times New Roman"/>
          <w:sz w:val="18"/>
          <w:szCs w:val="18"/>
          <w:rtl w:val="false"/>
        </w:rPr>
        <w:t xml:space="preserve">. Retrieved October 11, 2026, from https://oecd-opsi.org/?p=30453</w:t>
      </w:r>
    </w:p>
  </w:footnote>
  <w:footnote w:id="10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OECD Observatory of Public Sector Innovation. (n.d.). </w:t>
      </w:r>
      <w:r>
        <w:rPr>
          <w:rFonts w:ascii="Times New Roman" w:cs="Noto Naskh Arabic" w:eastAsia="Noto Naskh Arabic" w:hAnsi="Times New Roman"/>
          <w:i/>
          <w:sz w:val="18"/>
          <w:szCs w:val="18"/>
          <w:rtl w:val="false"/>
        </w:rPr>
        <w:t xml:space="preserve">The Centre for Strategic Futures in Singapore</w:t>
      </w:r>
      <w:r>
        <w:rPr>
          <w:rFonts w:ascii="Times New Roman" w:cs="Noto Naskh Arabic" w:eastAsia="Noto Naskh Arabic" w:hAnsi="Times New Roman"/>
          <w:sz w:val="18"/>
          <w:szCs w:val="18"/>
          <w:rtl w:val="false"/>
        </w:rPr>
        <w:t xml:space="preserve">. Retrieved October 11, 2026, from https://oecd-opsi.org/?p=30453</w:t>
      </w:r>
    </w:p>
  </w:footnote>
  <w:footnote w:id="10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Centre for Strategic Futures. (2013). </w:t>
      </w:r>
      <w:r>
        <w:rPr>
          <w:rFonts w:ascii="Times New Roman" w:cs="Noto Naskh Arabic" w:eastAsia="Noto Naskh Arabic" w:hAnsi="Times New Roman"/>
          <w:i/>
          <w:sz w:val="18"/>
          <w:szCs w:val="18"/>
          <w:rtl w:val="false"/>
        </w:rPr>
        <w:t xml:space="preserve">Foresight 2012</w:t>
      </w:r>
      <w:r>
        <w:rPr>
          <w:rFonts w:ascii="Times New Roman" w:cs="Noto Naskh Arabic" w:eastAsia="Noto Naskh Arabic" w:hAnsi="Times New Roman"/>
          <w:sz w:val="18"/>
          <w:szCs w:val="18"/>
          <w:rtl w:val="false"/>
        </w:rPr>
        <w:t xml:space="preserve">. Public Service Division, Prime Minister's Office, Singapore. https://www.strategygroup.gov.sg/images/publicationimages/foresight-2012.pdf</w:t>
      </w:r>
    </w:p>
  </w:footnote>
  <w:footnote w:id="10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Eduskunta. (n.d.). </w:t>
      </w:r>
      <w:r>
        <w:rPr>
          <w:rFonts w:ascii="Times New Roman" w:cs="Noto Naskh Arabic" w:eastAsia="Noto Naskh Arabic" w:hAnsi="Times New Roman"/>
          <w:i/>
          <w:sz w:val="18"/>
          <w:szCs w:val="18"/>
          <w:rtl w:val="false"/>
        </w:rPr>
        <w:t xml:space="preserve">Committee for the Future</w:t>
      </w:r>
      <w:r>
        <w:rPr>
          <w:rFonts w:ascii="Times New Roman" w:cs="Noto Naskh Arabic" w:eastAsia="Noto Naskh Arabic" w:hAnsi="Times New Roman"/>
          <w:sz w:val="18"/>
          <w:szCs w:val="18"/>
          <w:rtl w:val="false"/>
        </w:rPr>
        <w:t xml:space="preserve">. Parliament of Finland. Retrieved October 11, 2026, from https://www.eduskunta.fi/EN/valiokunnat/tulevaisuusvaliokunta</w:t>
      </w:r>
    </w:p>
  </w:footnote>
  <w:footnote w:id="10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Villman, T., Heinonen, S., &amp; Pouru-Mikkola, L. (2024). Brief history of establishing the futures field in Finland. In </w:t>
      </w:r>
      <w:r>
        <w:rPr>
          <w:rFonts w:ascii="Times New Roman" w:cs="Noto Naskh Arabic" w:eastAsia="Noto Naskh Arabic" w:hAnsi="Times New Roman"/>
          <w:i/>
          <w:sz w:val="18"/>
          <w:szCs w:val="18"/>
          <w:rtl w:val="false"/>
        </w:rPr>
        <w:t xml:space="preserve">Our world of futures studies as a mosaic</w:t>
      </w:r>
      <w:r>
        <w:rPr>
          <w:rFonts w:ascii="Times New Roman" w:cs="Noto Naskh Arabic" w:eastAsia="Noto Naskh Arabic" w:hAnsi="Times New Roman"/>
          <w:sz w:val="18"/>
          <w:szCs w:val="18"/>
          <w:rtl w:val="false"/>
        </w:rPr>
        <w:t xml:space="preserve"> (Futures Series 10, pp. 11–21). Finnish Society for Futures Studies. https://www.tutuseura.fi/wp-content/uploads/2024/06/Our-World-of-Futures-Studies-as-a-Mosaic-part-one.pdf</w:t>
      </w:r>
    </w:p>
  </w:footnote>
  <w:footnote w:id="10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EPTA. (2012). </w:t>
      </w:r>
      <w:r>
        <w:rPr>
          <w:rFonts w:ascii="Times New Roman" w:cs="Noto Naskh Arabic" w:eastAsia="Noto Naskh Arabic" w:hAnsi="Times New Roman"/>
          <w:i/>
          <w:sz w:val="18"/>
          <w:szCs w:val="18"/>
          <w:rtl w:val="false"/>
        </w:rPr>
        <w:t xml:space="preserve">Finland: Committee for the Future</w:t>
      </w:r>
      <w:r>
        <w:rPr>
          <w:rFonts w:ascii="Times New Roman" w:cs="Noto Naskh Arabic" w:eastAsia="Noto Naskh Arabic" w:hAnsi="Times New Roman"/>
          <w:sz w:val="18"/>
          <w:szCs w:val="18"/>
          <w:rtl w:val="false"/>
        </w:rPr>
        <w:t xml:space="preserve"> [Country report, version 20 October 2012]. European Parliamentary Technology Assessment network. https://eptanetwork.org/static-html/comparative-table/countryreport/finland.html</w:t>
      </w:r>
    </w:p>
  </w:footnote>
  <w:footnote w:id="10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Villman, T., Heinonen, S., &amp; Pouru-Mikkola, L. (2024). Brief history of establishing the futures field in Finland. In </w:t>
      </w:r>
      <w:r>
        <w:rPr>
          <w:rFonts w:ascii="Times New Roman" w:cs="Noto Naskh Arabic" w:eastAsia="Noto Naskh Arabic" w:hAnsi="Times New Roman"/>
          <w:i/>
          <w:sz w:val="18"/>
          <w:szCs w:val="18"/>
          <w:rtl w:val="false"/>
        </w:rPr>
        <w:t xml:space="preserve">Our world of futures studies as a mosaic</w:t>
      </w:r>
      <w:r>
        <w:rPr>
          <w:rFonts w:ascii="Times New Roman" w:cs="Noto Naskh Arabic" w:eastAsia="Noto Naskh Arabic" w:hAnsi="Times New Roman"/>
          <w:sz w:val="18"/>
          <w:szCs w:val="18"/>
          <w:rtl w:val="false"/>
        </w:rPr>
        <w:t xml:space="preserve"> (Futures Series 10, pp. 11–21). Finnish Society for Futures Studies. https://www.tutuseura.fi/wp-content/uploads/2024/06/Our-World-of-Futures-Studies-as-a-Mosaic-part-one.pdf</w:t>
      </w:r>
    </w:p>
  </w:footnote>
  <w:footnote w:id="109">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Centre for Strategic Futures. (n.d.). </w:t>
      </w:r>
      <w:r>
        <w:rPr>
          <w:rFonts w:ascii="Times New Roman" w:cs="Noto Naskh Arabic" w:eastAsia="Noto Naskh Arabic" w:hAnsi="Times New Roman"/>
          <w:i/>
          <w:sz w:val="18"/>
          <w:szCs w:val="18"/>
          <w:rtl w:val="false"/>
        </w:rPr>
        <w:t xml:space="preserve">Capability development</w:t>
      </w:r>
      <w:r>
        <w:rPr>
          <w:rFonts w:ascii="Times New Roman" w:cs="Noto Naskh Arabic" w:eastAsia="Noto Naskh Arabic" w:hAnsi="Times New Roman"/>
          <w:sz w:val="18"/>
          <w:szCs w:val="18"/>
          <w:rtl w:val="false"/>
        </w:rPr>
        <w:t xml:space="preserve">. Retrieved October 11, 2026, from https://www.csf.gov.sg/our-work/cap-dev/</w:t>
      </w:r>
    </w:p>
  </w:footnote>
  <w:footnote w:id="110">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Centre for Strategic Futures. (2019b, May). </w:t>
      </w:r>
      <w:r>
        <w:rPr>
          <w:rFonts w:ascii="Times New Roman" w:cs="Noto Naskh Arabic" w:eastAsia="Noto Naskh Arabic" w:hAnsi="Times New Roman"/>
          <w:i/>
          <w:sz w:val="18"/>
          <w:szCs w:val="18"/>
          <w:rtl w:val="false"/>
        </w:rPr>
        <w:t xml:space="preserve">Foresight for governance in Singapore</w:t>
      </w:r>
      <w:r>
        <w:rPr>
          <w:rFonts w:ascii="Times New Roman" w:cs="Noto Naskh Arabic" w:eastAsia="Noto Naskh Arabic" w:hAnsi="Times New Roman"/>
          <w:sz w:val="18"/>
          <w:szCs w:val="18"/>
          <w:rtl w:val="false"/>
        </w:rPr>
        <w:t xml:space="preserve"> [Presentation slides]. Department of the Prime Minister and Cabinet, New Zealand. https://dpmc.govt.nz/sites/default/files/2019-05/CSF%20Sharing%20May%202019.pdf</w:t>
      </w:r>
    </w:p>
  </w:footnote>
  <w:footnote w:id="11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Santana-Villegas, F. J., &amp; Álvarez von Gustedt, A. (in press). Cultural dimensions in foresight and scenario planning: An exploratory study. </w:t>
      </w:r>
      <w:r>
        <w:rPr>
          <w:rFonts w:ascii="Times New Roman" w:cs="Noto Naskh Arabic" w:eastAsia="Noto Naskh Arabic" w:hAnsi="Times New Roman"/>
          <w:i/>
          <w:sz w:val="18"/>
          <w:szCs w:val="18"/>
          <w:rtl w:val="false"/>
        </w:rPr>
        <w:t xml:space="preserve">Journal of Futures Studies</w:t>
      </w:r>
      <w:r>
        <w:rPr>
          <w:rFonts w:ascii="Times New Roman" w:cs="Noto Naskh Arabic" w:eastAsia="Noto Naskh Arabic" w:hAnsi="Times New Roman"/>
          <w:sz w:val="18"/>
          <w:szCs w:val="18"/>
          <w:rtl w:val="false"/>
        </w:rPr>
        <w:t xml:space="preserve">. https://jfsdigital.org/cultural-dimensions-in-foresight-and-scenario-planning-an-exploratory-study/</w:t>
      </w:r>
    </w:p>
  </w:footnote>
  <w:footnote w:id="112">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University of Houston. (2008, March). </w:t>
      </w:r>
      <w:r>
        <w:rPr>
          <w:rFonts w:ascii="Times New Roman" w:cs="Noto Naskh Arabic" w:eastAsia="Noto Naskh Arabic" w:hAnsi="Times New Roman"/>
          <w:i/>
          <w:sz w:val="18"/>
          <w:szCs w:val="18"/>
          <w:rtl w:val="false"/>
        </w:rPr>
        <w:t xml:space="preserve">Future studies degree</w:t>
      </w:r>
      <w:r>
        <w:rPr>
          <w:rFonts w:ascii="Times New Roman" w:cs="Noto Naskh Arabic" w:eastAsia="Noto Naskh Arabic" w:hAnsi="Times New Roman"/>
          <w:sz w:val="18"/>
          <w:szCs w:val="18"/>
          <w:rtl w:val="false"/>
        </w:rPr>
        <w:t xml:space="preserve"> [News release]. https://www.uh.edu/news-events/stories/2008articles/mar08/303_future_studies.php</w:t>
      </w:r>
    </w:p>
  </w:footnote>
  <w:footnote w:id="11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Bishop, P. C., &amp; Hines, A. (2012). </w:t>
      </w:r>
      <w:r>
        <w:rPr>
          <w:rFonts w:ascii="Times New Roman" w:cs="Noto Naskh Arabic" w:eastAsia="Noto Naskh Arabic" w:hAnsi="Times New Roman"/>
          <w:i/>
          <w:sz w:val="18"/>
          <w:szCs w:val="18"/>
          <w:rtl w:val="false"/>
        </w:rPr>
        <w:t xml:space="preserve">Teaching about the future</w:t>
      </w:r>
      <w:r>
        <w:rPr>
          <w:rFonts w:ascii="Times New Roman" w:cs="Noto Naskh Arabic" w:eastAsia="Noto Naskh Arabic" w:hAnsi="Times New Roman"/>
          <w:sz w:val="18"/>
          <w:szCs w:val="18"/>
          <w:rtl w:val="false"/>
        </w:rPr>
        <w:t xml:space="preserve">. Palgrave Macmillan. https://doi.org/10.1057/9781137020703</w:t>
      </w:r>
    </w:p>
  </w:footnote>
  <w:footnote w:id="114">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University of Houston. (n.d.). </w:t>
      </w:r>
      <w:r>
        <w:rPr>
          <w:rFonts w:ascii="Times New Roman" w:cs="Noto Naskh Arabic" w:eastAsia="Noto Naskh Arabic" w:hAnsi="Times New Roman"/>
          <w:i/>
          <w:sz w:val="18"/>
          <w:szCs w:val="18"/>
          <w:rtl w:val="false"/>
        </w:rPr>
        <w:t xml:space="preserve">Master of Science in Foresight: Course requirements</w:t>
      </w:r>
      <w:r>
        <w:rPr>
          <w:rFonts w:ascii="Times New Roman" w:cs="Noto Naskh Arabic" w:eastAsia="Noto Naskh Arabic" w:hAnsi="Times New Roman"/>
          <w:sz w:val="18"/>
          <w:szCs w:val="18"/>
          <w:rtl w:val="false"/>
        </w:rPr>
        <w:t xml:space="preserve">. Retrieved October 11, 2026, from https://dot.egr.uh.edu/programs/graduate/foresight/course-requirements</w:t>
      </w:r>
    </w:p>
  </w:footnote>
  <w:footnote w:id="115">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Bishop, P. C., &amp; Hines, A. (2012). </w:t>
      </w:r>
      <w:r>
        <w:rPr>
          <w:rFonts w:ascii="Times New Roman" w:cs="Noto Naskh Arabic" w:eastAsia="Noto Naskh Arabic" w:hAnsi="Times New Roman"/>
          <w:i/>
          <w:sz w:val="18"/>
          <w:szCs w:val="18"/>
          <w:rtl w:val="false"/>
        </w:rPr>
        <w:t xml:space="preserve">Teaching about the future</w:t>
      </w:r>
      <w:r>
        <w:rPr>
          <w:rFonts w:ascii="Times New Roman" w:cs="Noto Naskh Arabic" w:eastAsia="Noto Naskh Arabic" w:hAnsi="Times New Roman"/>
          <w:sz w:val="18"/>
          <w:szCs w:val="18"/>
          <w:rtl w:val="false"/>
        </w:rPr>
        <w:t xml:space="preserve">. Palgrave Macmillan. https://doi.org/10.1057/9781137020703</w:t>
      </w:r>
    </w:p>
  </w:footnote>
  <w:footnote w:id="116">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Minkkinen, M. (n.d.). </w:t>
      </w:r>
      <w:r>
        <w:rPr>
          <w:rFonts w:ascii="Times New Roman" w:cs="Noto Naskh Arabic" w:eastAsia="Noto Naskh Arabic" w:hAnsi="Times New Roman"/>
          <w:i/>
          <w:sz w:val="18"/>
          <w:szCs w:val="18"/>
          <w:rtl w:val="false"/>
        </w:rPr>
        <w:t xml:space="preserve">Futures teaching and learning – lessons from Finland</w:t>
      </w:r>
      <w:r>
        <w:rPr>
          <w:rFonts w:ascii="Times New Roman" w:cs="Noto Naskh Arabic" w:eastAsia="Noto Naskh Arabic" w:hAnsi="Times New Roman"/>
          <w:sz w:val="18"/>
          <w:szCs w:val="18"/>
          <w:rtl w:val="false"/>
        </w:rPr>
        <w:t xml:space="preserve">. University of Turku. https://www.utupub.fi/bitstreams/9d713f69-c539-4208-aac0-860d63112aa1/download</w:t>
      </w:r>
    </w:p>
  </w:footnote>
  <w:footnote w:id="117">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EPTA. (2012). </w:t>
      </w:r>
      <w:r>
        <w:rPr>
          <w:rFonts w:ascii="Times New Roman" w:cs="Noto Naskh Arabic" w:eastAsia="Noto Naskh Arabic" w:hAnsi="Times New Roman"/>
          <w:i/>
          <w:sz w:val="18"/>
          <w:szCs w:val="18"/>
          <w:rtl w:val="false"/>
        </w:rPr>
        <w:t xml:space="preserve">Finland: Committee for the Future</w:t>
      </w:r>
      <w:r>
        <w:rPr>
          <w:rFonts w:ascii="Times New Roman" w:cs="Noto Naskh Arabic" w:eastAsia="Noto Naskh Arabic" w:hAnsi="Times New Roman"/>
          <w:sz w:val="18"/>
          <w:szCs w:val="18"/>
          <w:rtl w:val="false"/>
        </w:rPr>
        <w:t xml:space="preserve"> [Country report, version 20 October 2012]. European Parliamentary Technology Assessment network. https://eptanetwork.org/static-html/comparative-table/countryreport/finland.html</w:t>
      </w:r>
    </w:p>
  </w:footnote>
  <w:footnote w:id="118">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Andersen, P. D., &amp; Rasmussen, L. B. (2014). The impact of national traditions and cultures on national foresight processes. </w:t>
      </w:r>
      <w:r>
        <w:rPr>
          <w:rFonts w:ascii="Times New Roman" w:cs="Noto Naskh Arabic" w:eastAsia="Noto Naskh Arabic" w:hAnsi="Times New Roman"/>
          <w:i/>
          <w:sz w:val="18"/>
          <w:szCs w:val="18"/>
          <w:rtl w:val="false"/>
        </w:rPr>
        <w:t xml:space="preserve">Futures, 59</w:t>
      </w:r>
      <w:r>
        <w:rPr>
          <w:rFonts w:ascii="Times New Roman" w:cs="Noto Naskh Arabic" w:eastAsia="Noto Naskh Arabic" w:hAnsi="Times New Roman"/>
          <w:sz w:val="18"/>
          <w:szCs w:val="18"/>
          <w:rtl w:val="false"/>
        </w:rPr>
        <w:t xml:space="preserve">, 5–17. https://doi.org/10.1016/j.futures.2014.01.013</w:t>
      </w:r>
    </w:p>
  </w:footnote>
  <w:footnote w:id="119">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حكومة دولة الإمارات. (د.ت.). </w:t>
      </w:r>
      <w:r>
        <w:rPr>
          <w:rFonts w:ascii="Times New Roman" w:cs="Noto Naskh Arabic" w:eastAsia="Noto Naskh Arabic" w:hAnsi="Times New Roman"/>
          <w:i w:val="false"/>
          <w:sz w:val="18"/>
          <w:szCs w:val="18"/>
          <w:rtl/>
        </w:rPr>
        <w:t xml:space="preserve">الاستراتيجية الوطنية للصناعات الثقافية والإبداعية</w:t>
      </w:r>
      <w:r>
        <w:rPr>
          <w:rFonts w:ascii="Times New Roman" w:cs="Noto Naskh Arabic" w:eastAsia="Noto Naskh Arabic" w:hAnsi="Times New Roman"/>
          <w:sz w:val="18"/>
          <w:szCs w:val="18"/>
          <w:rtl/>
        </w:rPr>
        <w:t xml:space="preserve">. البوابة الرسمية لحكومة دولة الإمارات. </w:t>
      </w:r>
      <w:r>
        <w:rPr>
          <w:rFonts w:ascii="Times New Roman" w:cs="Noto Naskh Arabic" w:eastAsia="Noto Naskh Arabic" w:hAnsi="Times New Roman"/>
          <w:sz w:val="18"/>
          <w:szCs w:val="18"/>
          <w:rtl w:val="false"/>
        </w:rPr>
        <w:t xml:space="preserve">https://u.ae/en/about-the-uae/strategies-initiatives-and-awards/strategies-plans-and-visions/finance-and-economy/national-strategy-for-the-cultural-and-creative-industries</w:t>
      </w:r>
    </w:p>
  </w:footnote>
  <w:footnote w:id="120">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الكيلاني، شمس الدين. (٢٠١٦). مشروع استشراف «مستقبل الأمة العربية»: بين استشراف المستقبل والتطلّع الأيديولوجي. </w:t>
      </w:r>
      <w:r>
        <w:rPr>
          <w:rFonts w:ascii="Times New Roman" w:cs="Noto Naskh Arabic" w:eastAsia="Noto Naskh Arabic" w:hAnsi="Times New Roman"/>
          <w:i w:val="false"/>
          <w:sz w:val="18"/>
          <w:szCs w:val="18"/>
          <w:rtl/>
        </w:rPr>
        <w:t xml:space="preserve">استشراف للدراسات المستقبلية</w:t>
      </w:r>
      <w:r>
        <w:rPr>
          <w:rFonts w:ascii="Times New Roman" w:cs="Noto Naskh Arabic" w:eastAsia="Noto Naskh Arabic" w:hAnsi="Times New Roman"/>
          <w:sz w:val="18"/>
          <w:szCs w:val="18"/>
          <w:rtl/>
        </w:rPr>
        <w:t xml:space="preserve">، (١)، ١٩٣–. </w:t>
      </w:r>
      <w:r>
        <w:rPr>
          <w:rFonts w:ascii="Times New Roman" w:cs="Noto Naskh Arabic" w:eastAsia="Noto Naskh Arabic" w:hAnsi="Times New Roman"/>
          <w:sz w:val="18"/>
          <w:szCs w:val="18"/>
          <w:rtl w:val="false"/>
        </w:rPr>
        <w:t xml:space="preserve">https://ojs.acrps.ai/index.php/istishraf/en/article/download/issue001-art08/14862/7137</w:t>
      </w:r>
    </w:p>
  </w:footnote>
  <w:footnote w:id="121">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Jackson, J. C., &amp; Medvedev, D. (2024). Worldwide divergence of values. </w:t>
      </w:r>
      <w:r>
        <w:rPr>
          <w:rFonts w:ascii="Times New Roman" w:cs="Noto Naskh Arabic" w:eastAsia="Noto Naskh Arabic" w:hAnsi="Times New Roman"/>
          <w:i/>
          <w:sz w:val="18"/>
          <w:szCs w:val="18"/>
          <w:rtl w:val="false"/>
        </w:rPr>
        <w:t xml:space="preserve">Nature Communications, 15</w:t>
      </w:r>
      <w:r>
        <w:rPr>
          <w:rFonts w:ascii="Times New Roman" w:cs="Noto Naskh Arabic" w:eastAsia="Noto Naskh Arabic" w:hAnsi="Times New Roman"/>
          <w:sz w:val="18"/>
          <w:szCs w:val="18"/>
          <w:rtl w:val="false"/>
        </w:rPr>
        <w:t xml:space="preserve">, Article 2650. https://doi.org/10.1038/s41467-024-46581-5</w:t>
      </w:r>
    </w:p>
  </w:footnote>
  <w:footnote w:id="122">
    <w:p>
      <w:pPr>
        <w:bidi/>
        <w:spacing w:after="40" w:line="240"/>
        <w:jc w:val="both"/>
      </w:pPr>
      <w:r>
        <w:rPr>
          <w:rStyle w:val="FootnoteReference"/>
        </w:rPr>
        <w:footnoteRef/>
      </w:r>
      <w:r>
        <w:rPr>
          <w:rFonts w:ascii="Times New Roman" w:cs="Noto Naskh Arabic" w:eastAsia="Noto Naskh Arabic" w:hAnsi="Times New Roman"/>
          <w:sz w:val="18"/>
          <w:szCs w:val="18"/>
          <w:rtl/>
        </w:rPr>
        <w:t xml:space="preserve">حكومة دولة الإمارات. (د.ت.). </w:t>
      </w:r>
      <w:r>
        <w:rPr>
          <w:rFonts w:ascii="Times New Roman" w:cs="Noto Naskh Arabic" w:eastAsia="Noto Naskh Arabic" w:hAnsi="Times New Roman"/>
          <w:i w:val="false"/>
          <w:sz w:val="18"/>
          <w:szCs w:val="18"/>
          <w:rtl/>
        </w:rPr>
        <w:t xml:space="preserve">الاستراتيجية الوطنية للصناعات الثقافية والإبداعية</w:t>
      </w:r>
      <w:r>
        <w:rPr>
          <w:rFonts w:ascii="Times New Roman" w:cs="Noto Naskh Arabic" w:eastAsia="Noto Naskh Arabic" w:hAnsi="Times New Roman"/>
          <w:sz w:val="18"/>
          <w:szCs w:val="18"/>
          <w:rtl/>
        </w:rPr>
        <w:t xml:space="preserve">. البوابة الرسمية لحكومة دولة الإمارات. </w:t>
      </w:r>
      <w:r>
        <w:rPr>
          <w:rFonts w:ascii="Times New Roman" w:cs="Noto Naskh Arabic" w:eastAsia="Noto Naskh Arabic" w:hAnsi="Times New Roman"/>
          <w:sz w:val="18"/>
          <w:szCs w:val="18"/>
          <w:rtl w:val="false"/>
        </w:rPr>
        <w:t xml:space="preserve">https://u.ae/en/about-the-uae/strategies-initiatives-and-awards/strategies-plans-and-visions/finance-and-economy/national-strategy-for-the-cultural-and-creative-industries</w:t>
      </w:r>
    </w:p>
  </w:footnote>
  <w:footnote w:id="123">
    <w:p>
      <w:pPr>
        <w:bidi w:val="false"/>
        <w:spacing w:after="40" w:line="240"/>
        <w:jc w:val="both"/>
      </w:pPr>
      <w:r>
        <w:rPr>
          <w:rStyle w:val="FootnoteReference"/>
        </w:rPr>
        <w:footnoteRef/>
      </w:r>
      <w:r>
        <w:rPr>
          <w:rFonts w:ascii="Times New Roman" w:cs="Noto Naskh Arabic" w:eastAsia="Noto Naskh Arabic" w:hAnsi="Times New Roman"/>
          <w:sz w:val="18"/>
          <w:szCs w:val="18"/>
          <w:rtl w:val="false"/>
        </w:rPr>
        <w:t xml:space="preserve">Anderson, A., Maystre, L., Anderson, I., Mehrotra, R., &amp; Lalmas, M. (2020). Algorithmic effects on the diversity of consumption on Spotify. In </w:t>
      </w:r>
      <w:r>
        <w:rPr>
          <w:rFonts w:ascii="Times New Roman" w:cs="Noto Naskh Arabic" w:eastAsia="Noto Naskh Arabic" w:hAnsi="Times New Roman"/>
          <w:i/>
          <w:sz w:val="18"/>
          <w:szCs w:val="18"/>
          <w:rtl w:val="false"/>
        </w:rPr>
        <w:t xml:space="preserve">Proceedings of The Web Conference 2020 (WWW '20)</w:t>
      </w:r>
      <w:r>
        <w:rPr>
          <w:rFonts w:ascii="Times New Roman" w:cs="Noto Naskh Arabic" w:eastAsia="Noto Naskh Arabic" w:hAnsi="Times New Roman"/>
          <w:sz w:val="18"/>
          <w:szCs w:val="18"/>
          <w:rtl w:val="false"/>
        </w:rPr>
        <w:t xml:space="preserve"> (pp. 2155–2165). Association for Computing Machinery. https://doi.org/10.1145/3366423.3380281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bidi/>
      <w:jc w:val="center"/>
    </w:pPr>
    <w:r>
      <w:rPr>
        <w:rFonts w:ascii="Times New Roman" w:cs="Noto Naskh Arabic" w:eastAsia="Noto Naskh Arabic" w:hAnsi="Times New Roman"/>
        <w:color w:val="1F4E79"/>
        <w:sz w:val="18"/>
        <w:szCs w:val="18"/>
        <w:rtl/>
      </w:rPr>
      <w:t xml:space="preserve">مسارات تباعد القيمة — الدراسات المستقبلية للسياسات الثقافية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67" w:hanging="340"/>
      </w:pPr>
    </w:lvl>
  </w:abstractNum>
  <w:abstractNum w:abstractNumId="3" w15:restartNumberingAfterBreak="0">
    <w:multiLevelType w:val="hybridMultilevel"/>
    <w:lvl w:ilvl="0" w15:tentative="1">
      <w:start w:val="1"/>
      <w:numFmt w:val="bullet"/>
      <w:lvlText w:val="•"/>
      <w:lvlJc w:val="start"/>
      <w:pPr>
        <w:ind w:left="567" w:hanging="340"/>
      </w:pPr>
      <w:rPr>
        <w:color w:val="B8860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oto Naskh Arabic" w:hAnsi="Times New Roman"/>
        <w:sz w:val="26"/>
        <w:szCs w:val="26"/>
      </w:rPr>
    </w:rPrDefault>
    <w:pPrDefault>
      <w:pPr>
        <w:spacing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8" w:space="6"/>
      </w:pBdr>
      <w:spacing w:after="200" w:before="360"/>
      <w:outlineLvl w:val="0"/>
    </w:pPr>
    <w:rPr>
      <w:rFonts w:ascii="Times New Roman" w:cs="Noto Naskh Arabic" w:hAnsi="Times New Roman"/>
      <w:b/>
      <w:bCs/>
      <w:color w:val="1F4E79"/>
      <w:sz w:val="34"/>
      <w:szCs w:val="34"/>
    </w:rPr>
  </w:style>
  <w:style w:type="paragraph" w:styleId="Heading2">
    <w:name w:val="Heading 2"/>
    <w:basedOn w:val="Normal"/>
    <w:next w:val="Normal"/>
    <w:qFormat/>
    <w:pPr>
      <w:keepNext/>
      <w:spacing w:after="120" w:before="240"/>
      <w:outlineLvl w:val="1"/>
    </w:pPr>
    <w:rPr>
      <w:rFonts w:ascii="Times New Roman" w:cs="Noto Naskh Arabic" w:hAnsi="Times New Roman"/>
      <w:b/>
      <w:bCs/>
      <w:color w:val="1F4E79"/>
      <w:sz w:val="28"/>
      <w:szCs w:val="28"/>
    </w:rPr>
  </w:style>
  <w:style w:type="paragraph" w:styleId="FootnoteText">
    <w:name w:val="footnote text"/>
    <w:basedOn w:val="Normal"/>
    <w:pPr>
      <w:spacing w:after="40" w:line="240"/>
    </w:pPr>
    <w:rPr>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مسارات تباعد القيمة: نموذج استشرافي لديناميكيات القيمة الاقتصادية والفكرية في السياسات الثقافية حتى ٢٠٥٠</dc:title>
  <dc:creator>د. ماجد عبدالله بوشليبي</dc:creator>
  <dc:description>CPFRA-X — المخطوطة العربية الموسعة</dc:description>
  <cp:lastModifiedBy>Un-named</cp:lastModifiedBy>
  <cp:revision>1</cp:revision>
  <dcterms:created xsi:type="dcterms:W3CDTF">2026-10-11T09:33:47.354Z</dcterms:created>
  <dcterms:modified xsi:type="dcterms:W3CDTF">2026-10-11T09:33:47.354Z</dcterms:modified>
</cp:coreProperties>
</file>

<file path=docProps/custom.xml><?xml version="1.0" encoding="utf-8"?>
<Properties xmlns="http://schemas.openxmlformats.org/officeDocument/2006/custom-properties" xmlns:vt="http://schemas.openxmlformats.org/officeDocument/2006/docPropsVTypes"/>
</file>