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center"/>
      </w:pPr>
      <w:r>
        <w:rPr>
          <w:b/>
          <w:color w:val="B8860B"/>
          <w:sz w:val="22"/>
          <w:rtl/>
          <w:szCs w:val="22"/>
          <w:bCs/>
        </w:rPr>
        <w:t>إدارة الدراسات والبحوث التراثية الإماراتية</w:t>
      </w:r>
    </w:p>
    <w:p>
      <w:pPr>
        <w:bidi/>
        <w:jc w:val="right"/>
        <w:pBdr>
          <w:bottom w:val="single" w:sz="12" w:color="B8860B" w:space="4"/>
        </w:pBdr>
      </w:pPr>
      <w:r>
        <w:rPr>
          <w:b/>
          <w:color w:val="1F4E79"/>
          <w:sz w:val="40"/>
          <w:rtl/>
          <w:szCs w:val="40"/>
          <w:bCs/>
        </w:rPr>
        <w:t>دليل توثيق الروايات والشعر والمفردات وقواعد الاستشهاد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الوثيقة:</w:t>
      </w:r>
      <w:r>
        <w:rPr>
          <w:b w:val="0"/>
          <w:color w:val="5B6B7A"/>
          <w:sz w:val="22"/>
          <w:rtl/>
          <w:szCs w:val="22"/>
        </w:rPr>
        <w:t xml:space="preserve"> 08 · </w:t>
      </w:r>
      <w:r>
        <w:rPr>
          <w:b/>
          <w:color w:val="5B6B7A"/>
          <w:sz w:val="22"/>
          <w:rtl/>
          <w:szCs w:val="22"/>
          <w:bCs/>
        </w:rPr>
        <w:t>المستعملون:</w:t>
      </w:r>
      <w:r>
        <w:rPr>
          <w:b w:val="0"/>
          <w:color w:val="5B6B7A"/>
          <w:sz w:val="22"/>
          <w:rtl/>
          <w:szCs w:val="22"/>
        </w:rPr>
        <w:t xml:space="preserve"> AG-ORL، AG-TRN، AG-DIA، AG-PTR، AG-PUB، AG-SRC.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السجلات:</w:t>
      </w:r>
      <w:r>
        <w:rPr>
          <w:b w:val="0"/>
          <w:color w:val="5B6B7A"/>
          <w:sz w:val="22"/>
          <w:rtl/>
          <w:szCs w:val="22"/>
        </w:rPr>
        <w:t xml:space="preserve"> oral_narratives، transcript_segments، poems، dialect_lexicon، bibliography، sources، interviews، وجدول النظام lab_steps.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قاعدة عامة:</w:t>
      </w:r>
      <w:r>
        <w:rPr>
          <w:b w:val="0"/>
          <w:color w:val="5B6B7A"/>
          <w:sz w:val="22"/>
          <w:rtl/>
          <w:szCs w:val="22"/>
        </w:rPr>
        <w:t xml:space="preserve"> القوالب الواردة هنا أنماطٌ بعناصر نائبة بين معقوفين </w:t>
      </w:r>
      <w:r>
        <w:rPr>
          <w:b w:val="0"/>
          <w:color w:val="FF0000"/>
          <w:sz w:val="22"/>
          <w:rtl/>
          <w:szCs w:val="22"/>
        </w:rPr>
        <w:t>[ … ]</w:t>
      </w:r>
      <w:r>
        <w:rPr>
          <w:b w:val="0"/>
          <w:color w:val="5B6B7A"/>
          <w:sz w:val="22"/>
          <w:rtl/>
          <w:szCs w:val="22"/>
        </w:rPr>
        <w:t>، وليست أمثلة لمراجع حقيقية. لا يُملأ أي عنصر إلا من المصدر الفعلي، وما لم يُعرف يُكتب «يُستكمل» أو يُحذف وفق قاعدة الأسلوب.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1. تصنيف أنواع الروايات الشفهية </w:t>
      </w:r>
      <w:r>
        <w:rPr>
          <w:b/>
          <w:color w:val="FF0000"/>
          <w:sz w:val="32"/>
          <w:rtl/>
          <w:szCs w:val="32"/>
          <w:bCs/>
        </w:rPr>
        <w:t>(التصنيف السداسي)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يُلزَم كل سجل في oral_narratives بتحديد نوع واحد في الحقل narrative_type من القيم الست المعرّفة في turath/entities.py </w:t>
      </w:r>
      <w:r>
        <w:rPr>
          <w:b w:val="0"/>
          <w:color w:val="FF0000"/>
          <w:sz w:val="24"/>
          <w:rtl/>
          <w:szCs w:val="24"/>
        </w:rPr>
        <w:t>(NARRATIVE_TYPES)</w:t>
      </w:r>
      <w:r>
        <w:rPr>
          <w:b w:val="0"/>
          <w:sz w:val="24"/>
          <w:rtl/>
          <w:szCs w:val="24"/>
        </w:rPr>
        <w:t xml:space="preserve">، لأن النوع يحدد وزن الرواية دليلاً وطريقة نقدها. ويُسجَّل معه زمن الحدث المروي </w:t>
      </w:r>
      <w:r>
        <w:rPr>
          <w:b w:val="0"/>
          <w:color w:val="FF0000"/>
          <w:sz w:val="24"/>
          <w:rtl/>
          <w:szCs w:val="24"/>
        </w:rPr>
        <w:t>(event_date_text)</w:t>
      </w:r>
      <w:r>
        <w:rPr>
          <w:b w:val="0"/>
          <w:sz w:val="24"/>
          <w:rtl/>
          <w:szCs w:val="24"/>
        </w:rPr>
        <w:t xml:space="preserve">، والفاصل بين الحدث والتسجيل بالسنوات </w:t>
      </w:r>
      <w:r>
        <w:rPr>
          <w:b w:val="0"/>
          <w:color w:val="FF0000"/>
          <w:sz w:val="24"/>
          <w:rtl/>
          <w:szCs w:val="24"/>
        </w:rPr>
        <w:t>(gap_years)</w:t>
      </w:r>
      <w:r>
        <w:rPr>
          <w:b w:val="0"/>
          <w:sz w:val="24"/>
          <w:rtl/>
          <w:szCs w:val="24"/>
        </w:rPr>
        <w:t xml:space="preserve">، وسلسلة النقل </w:t>
      </w:r>
      <w:r>
        <w:rPr>
          <w:b w:val="0"/>
          <w:color w:val="FF0000"/>
          <w:sz w:val="24"/>
          <w:rtl/>
          <w:szCs w:val="24"/>
        </w:rPr>
        <w:t>(chain)</w:t>
      </w:r>
      <w:r>
        <w:rPr>
          <w:b w:val="0"/>
          <w:sz w:val="24"/>
          <w:rtl/>
          <w:szCs w:val="24"/>
        </w:rPr>
        <w:t xml:space="preserve">، والنقد الخارجي والداخلي </w:t>
      </w:r>
      <w:r>
        <w:rPr>
          <w:b w:val="0"/>
          <w:color w:val="FF0000"/>
          <w:sz w:val="24"/>
          <w:rtl/>
          <w:szCs w:val="24"/>
        </w:rPr>
        <w:t>(critique)</w:t>
      </w:r>
      <w:r>
        <w:rPr>
          <w:b w:val="0"/>
          <w:sz w:val="24"/>
          <w:rtl/>
          <w:szCs w:val="24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المفتاح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النوع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التعريف الإجرائي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الوزن الدليلي الأولي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صيغة دالة نموذجية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direct_witness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مشاهدة مباشرة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ما رآه الراوي أو شارك فيه بنفسه في واقعة محددة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الأعلى في الوقائع التي شهدها، مع نقد الذاكرة والفاصل الزمني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«كنتُ معهم حين…»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personal_memory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ذاكرة شخصية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ما يتذكره الراوي من حياته وبيئته على وجه العموم لا من واقعة بعينها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قوي في وصف الأنماط المعيشة، أضعف في التواريخ والتفاصيل الدقيقة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«كنا في القيظ نـ…»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transmitted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رواية منقولة عن شاهد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ما نقله الراوي عن شاهد معيّن معروف له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متوسط؛ يتوقف على تحديد الواسطة في chain وتقييمها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«حدثني أبي أنه…»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collective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موروث جمعي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ما تعرفه الجماعة وتتداوله دون إسناد إلى شاهد محدد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منخفض في الوقائع، مرتفع في التمثلات الجمعية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«كان الناس يقولون…»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symbolic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حكاية رمزية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الحكايات والخرافات والسرديات ذات الوظيفة الرمزية أو التعليمية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دليل على المتخيَّل والقيم، لا على الوقائع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«كان يا ما كان…»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reinterpretation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تخمين أو إعادة تفسير لاحقة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تفسير يقدمه الراوي لاحقاً لأصل اسم أو عادة أو حدث، أو ترجيح منه لا عن معاينة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الأضعف دليلاً على الوقائع؛ دليل على طرق التفسير المحلي، ويحتاج حذراً شديداً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«أظن أنه سُمّي كذا لأن…»</w:t>
            </w:r>
          </w:p>
        </w:tc>
      </w:tr>
    </w:tbl>
    <w:p/>
    <w:p>
      <w:pPr>
        <w:bidi/>
        <w:jc w:val="right"/>
      </w:pPr>
      <w:r>
        <w:rPr>
          <w:b w:val="0"/>
          <w:color w:val="5B6B7A"/>
          <w:sz w:val="22"/>
          <w:rtl/>
          <w:szCs w:val="22"/>
        </w:rPr>
        <w:t xml:space="preserve">قد تتضمن المقابلة الواحدة أنواعاً متعددة؛ فتُقسَّم إلى روايات متعددة، لكلٍّ منها موضع زمني </w:t>
      </w:r>
      <w:r>
        <w:rPr>
          <w:b w:val="0"/>
          <w:color w:val="FF0000"/>
          <w:sz w:val="22"/>
          <w:rtl/>
          <w:szCs w:val="22"/>
        </w:rPr>
        <w:t>(timecode)</w:t>
      </w:r>
      <w:r>
        <w:rPr>
          <w:b w:val="0"/>
          <w:color w:val="5B6B7A"/>
          <w:sz w:val="22"/>
          <w:rtl/>
          <w:szCs w:val="22"/>
        </w:rPr>
        <w:t xml:space="preserve"> ونوع.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>2. قواعد التفريغ</w:t>
      </w:r>
    </w:p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>2.1 مستويا التفريغ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المستوى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 في transcript_segments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الوصف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الاستعمال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حرفي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(Verbatim)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verbatim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كل ما يُسمع: التكرار، والتردد، والكلمات المقطوعة، واللهجة كما تُنطق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الأصل المرجعي للتحليل اللغوي والنقد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مقروء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(Readable)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readable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حذف التردد والتكرار غير الدال، وتقويم الترقيم، مع </w:t>
            </w:r>
            <w:r>
              <w:rPr>
                <w:b/>
                <w:sz w:val="22"/>
                <w:rtl/>
                <w:szCs w:val="22"/>
                <w:bCs/>
              </w:rPr>
              <w:t>إبقاء</w:t>
            </w:r>
            <w:r>
              <w:rPr>
                <w:b w:val="0"/>
                <w:sz w:val="22"/>
                <w:rtl/>
                <w:szCs w:val="22"/>
              </w:rPr>
              <w:t xml:space="preserve"> المفردات اللهجية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الاقتباس في المنشورات</w:t>
            </w:r>
          </w:p>
        </w:tc>
      </w:tr>
    </w:tbl>
    <w:p/>
    <w:p>
      <w:pPr>
        <w:bidi/>
        <w:jc w:val="right"/>
      </w:pPr>
      <w:r>
        <w:rPr>
          <w:b/>
          <w:sz w:val="24"/>
          <w:rtl/>
          <w:szCs w:val="24"/>
          <w:bCs/>
        </w:rPr>
        <w:t>قاعدة إلزامية (منصوصة في المختبر):</w:t>
      </w:r>
      <w:r>
        <w:rPr>
          <w:b w:val="0"/>
          <w:sz w:val="24"/>
          <w:rtl/>
          <w:szCs w:val="24"/>
        </w:rPr>
        <w:t xml:space="preserve"> لا تُستبدل الكلمات المحلية بالفصحى داخل التفريغ الحرفي، ولا يُخمَّن المقطع غير المفهوم. ويعدّ التطبيق آلياً علامات عدم الوضوح في كل مقطع </w:t>
      </w:r>
      <w:r>
        <w:rPr>
          <w:b w:val="0"/>
          <w:color w:val="FF0000"/>
          <w:sz w:val="24"/>
          <w:rtl/>
          <w:szCs w:val="24"/>
        </w:rPr>
        <w:t>(الحقل unclear)</w:t>
      </w:r>
      <w:r>
        <w:rPr>
          <w:b w:val="0"/>
          <w:sz w:val="24"/>
          <w:rtl/>
          <w:szCs w:val="24"/>
        </w:rPr>
        <w:t>، ويسجل في corrections ما إذا عُدِّل نص المقطع عند إعادة الحفظ، ومنه يُحسب مؤشر «معدل أخطاء التفريغ اللهجي بعد التدقيق».</w:t>
      </w:r>
    </w:p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>2.2 الرموز والاصطلاحات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الرمز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الدلالة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يعدّه التطبيق آلياً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[hh:mm:ss]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طابع زمني في بداية كل مقطع، وكل تغيّر متحدث، وكل دقيقة على الأقل في المقاطع الطويلة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يُحلَّل إلى start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[hh:mm:ss]</w:t>
            </w:r>
            <w:r>
              <w:rPr>
                <w:b w:val="0"/>
                <w:sz w:val="22"/>
                <w:rtl/>
                <w:szCs w:val="22"/>
              </w:rPr>
              <w:t xml:space="preserve"> -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[hh:mm:ss]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بداية المقطع ونهايته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يُحلَّل إلى start وend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[غير مفهوم]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كلمة أو عبارة تعذّر سماعها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نعم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(unclear)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كلمة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[؟]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قراءة مرجّحة غير مؤكدة للكلمة السابقة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نعم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(unclear)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[…]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حذف في التفريغ المقروء فقط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[ضحك]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[صمت]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[بكاء]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[تصفيق]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أصوات غير لفظية دالة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[مقاطعة]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مقاطعة متحدث لآخر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[محجوب: سبب]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مقطع محجوب بقيد في الموافقة؛ يبقى الأصل في الخزنة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{شرح: …}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توضيح من المفرّغ لا من الراوي، ويُستعمل بأقل قدر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</w:tbl>
    <w:p/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>2.3 وسوم المتحدثين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يُكتب وسم المتحدث بعد الطابع الزمني وقبل نقطتين </w:t>
      </w:r>
      <w:r>
        <w:rPr>
          <w:b w:val="0"/>
          <w:color w:val="FF0000"/>
          <w:sz w:val="24"/>
          <w:rtl/>
          <w:szCs w:val="24"/>
        </w:rPr>
        <w:t>(بحد أقصى ثلاثين حرفاً)</w:t>
      </w:r>
      <w:r>
        <w:rPr>
          <w:b w:val="0"/>
          <w:sz w:val="24"/>
          <w:rtl/>
          <w:szCs w:val="24"/>
        </w:rPr>
        <w:t>، فيُحلَّل آلياً إلى الحقل speaker.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الوسم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الدلالة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الراوي أو رمزه NAR-YYYY-NNNN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الراوي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محاور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المحاور الرئيس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محاور2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محاور ثانٍ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حاضر1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شخص حاضر يشارك في الكلام</w:t>
            </w:r>
          </w:p>
        </w:tc>
      </w:tr>
    </w:tbl>
    <w:p/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>2.4 نموذج مقطع مفرَّغ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الصيغتان اللتان يقبلهما المحلل الآلي </w:t>
      </w:r>
      <w:r>
        <w:rPr>
          <w:b w:val="0"/>
          <w:color w:val="FF0000"/>
          <w:sz w:val="24"/>
          <w:rtl/>
          <w:szCs w:val="24"/>
        </w:rPr>
        <w:t>(oral_lab.parse_transcript)</w:t>
      </w:r>
      <w:r>
        <w:rPr>
          <w:b w:val="0"/>
          <w:sz w:val="24"/>
          <w:rtl/>
          <w:szCs w:val="24"/>
        </w:rPr>
        <w:t>:</w:t>
      </w:r>
    </w:p>
    <w:p>
      <w:pPr>
        <w:bidi/>
        <w:jc w:val="right"/>
      </w:pPr>
      <w:r>
        <w:rPr>
          <w:b w:val="0"/>
          <w:color w:val="FF0000"/>
          <w:sz w:val="20"/>
          <w:rtl/>
          <w:szCs w:val="20"/>
        </w:rPr>
        <w:t>[00:12:40]</w:t>
      </w:r>
      <w:r>
        <w:rPr>
          <w:b w:val="0"/>
          <w:sz w:val="20"/>
          <w:rtl/>
          <w:szCs w:val="20"/>
        </w:rPr>
        <w:t xml:space="preserve"> محاور: وين كنتوا تروحون في القيظ؟</w:t>
        <w:br/>
      </w:r>
      <w:r>
        <w:rPr>
          <w:b w:val="0"/>
          <w:color w:val="FF0000"/>
          <w:sz w:val="20"/>
          <w:rtl/>
          <w:szCs w:val="20"/>
        </w:rPr>
        <w:t>[00:12:44]</w:t>
      </w:r>
      <w:r>
        <w:rPr>
          <w:b w:val="0"/>
          <w:sz w:val="20"/>
          <w:rtl/>
          <w:szCs w:val="20"/>
        </w:rPr>
        <w:t xml:space="preserve"> الراوي: ……… </w:t>
      </w:r>
      <w:r>
        <w:rPr>
          <w:b w:val="0"/>
          <w:color w:val="FF0000"/>
          <w:sz w:val="20"/>
          <w:rtl/>
          <w:szCs w:val="20"/>
        </w:rPr>
        <w:t>[غير مفهوم]</w:t>
      </w:r>
      <w:r>
        <w:rPr>
          <w:b w:val="0"/>
          <w:sz w:val="20"/>
          <w:rtl/>
          <w:szCs w:val="20"/>
        </w:rPr>
        <w:t xml:space="preserve"> ……… </w:t>
      </w:r>
      <w:r>
        <w:rPr>
          <w:b w:val="0"/>
          <w:color w:val="FF0000"/>
          <w:sz w:val="20"/>
          <w:rtl/>
          <w:szCs w:val="20"/>
        </w:rPr>
        <w:t>[ضحك]</w:t>
      </w:r>
      <w:r>
        <w:rPr>
          <w:b w:val="0"/>
          <w:sz w:val="20"/>
          <w:rtl/>
          <w:szCs w:val="20"/>
        </w:rPr>
        <w:br/>
        <w:t xml:space="preserve">00:13:10 - 00:13:25 حاضر1: ……… كلمة </w:t>
      </w:r>
      <w:r>
        <w:rPr>
          <w:b w:val="0"/>
          <w:color w:val="FF0000"/>
          <w:sz w:val="20"/>
          <w:rtl/>
          <w:szCs w:val="20"/>
        </w:rPr>
        <w:t>[؟]</w:t>
      </w:r>
      <w:r>
        <w:rPr>
          <w:b w:val="0"/>
          <w:sz w:val="20"/>
          <w:rtl/>
          <w:szCs w:val="20"/>
        </w:rPr>
        <w:t xml:space="preserve"> ………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وتُصدَّر المقاطع بصيغة </w:t>
      </w:r>
      <w:r>
        <w:rPr>
          <w:b/>
          <w:sz w:val="24"/>
          <w:rtl/>
          <w:szCs w:val="24"/>
          <w:bCs/>
        </w:rPr>
        <w:t>SRT</w:t>
      </w:r>
      <w:r>
        <w:rPr>
          <w:b w:val="0"/>
          <w:sz w:val="24"/>
          <w:rtl/>
          <w:szCs w:val="24"/>
        </w:rPr>
        <w:t xml:space="preserve"> للترجمة النصية المتزامنة </w:t>
      </w:r>
      <w:r>
        <w:rPr>
          <w:b w:val="0"/>
          <w:color w:val="FF0000"/>
          <w:sz w:val="24"/>
          <w:rtl/>
          <w:szCs w:val="24"/>
        </w:rPr>
        <w:t>(مُنفَّذ)</w:t>
      </w:r>
      <w:r>
        <w:rPr>
          <w:b w:val="0"/>
          <w:sz w:val="24"/>
          <w:rtl/>
          <w:szCs w:val="24"/>
        </w:rPr>
        <w:t>.</w:t>
      </w:r>
    </w:p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 xml:space="preserve">2.5 دورة المختبر السمعي واللغوي </w:t>
      </w:r>
      <w:r>
        <w:rPr>
          <w:b/>
          <w:color w:val="FF0000"/>
          <w:sz w:val="28"/>
          <w:rtl/>
          <w:szCs w:val="28"/>
          <w:bCs/>
        </w:rPr>
        <w:t>(اثنتا عشرة خطوة — مُنفَّذة)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>تُتابَع كل مقابلة في جدول lab_steps، ويُحدَّث الحقل interviews.lab_stage بأعلى خطوة منجزة، ويُسجَّل كل تعليم في change_log. وتُعدّ الخطوات 1–3 منجزة آلياً متى رُبط بالمقابلة أصلٌ مودَع في الخزنة.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الخطوة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المهمة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المنفّذ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النمط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1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تسجيل مصدر الملف وصاحبه وحقوق استخدامه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AG-ARC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آلي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2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إنشاء بصمة رقمية للتحقق من سلامة الأصل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AG-ARC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آلي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3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حفظ نسخة أصلية لا تُعدَّل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AG-ARC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آلي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4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التعرف على المتحدثين وفصل المقاطع عند الإمكان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AG-TRN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يدوي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5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تفريغ الكلام تفريغاً حرفياً مع الطوابع الزمنية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AG-TRN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يدوي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(مع مسودة آلية مشروطة)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6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تمييز ألفاظ اللهجة والمفردات المحلية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AG-DIA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يدوي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7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استخراج الأسماء والأماكن والتواريخ والوقائع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AG-ORL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يدوي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8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تمييز المقاطع غير المفهومة دون تخمين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AG-TRN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يدوي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9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إعداد نسخة لغوية مقروءة إلى جانب الحرفية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AG-DIA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يدوي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10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مراجعة بشرية مع متحدث محلي مؤهل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HUM-NATIVE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بشري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(حساب بشري حصراً)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11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ربط كل معلومة بالتسجيل وموضعها الزمني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AG-ORL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يدوي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12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مراجعة أحكام الخصوصية والموافقة قبل النشر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AG-ETH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يدوي</w:t>
            </w:r>
          </w:p>
        </w:tc>
      </w:tr>
    </w:tbl>
    <w:p/>
    <w:p>
      <w:pPr>
        <w:bidi/>
        <w:jc w:val="right"/>
      </w:pPr>
      <w:r>
        <w:rPr>
          <w:b/>
          <w:sz w:val="24"/>
          <w:rtl/>
          <w:szCs w:val="24"/>
          <w:bCs/>
        </w:rPr>
        <w:t>حالة التفريغ</w:t>
      </w:r>
      <w:r>
        <w:rPr>
          <w:b w:val="0"/>
          <w:sz w:val="24"/>
          <w:rtl/>
          <w:szCs w:val="24"/>
        </w:rPr>
        <w:t xml:space="preserve"> </w:t>
      </w:r>
      <w:r>
        <w:rPr>
          <w:b w:val="0"/>
          <w:color w:val="FF0000"/>
          <w:sz w:val="24"/>
          <w:rtl/>
          <w:szCs w:val="24"/>
        </w:rPr>
        <w:t>(interviews.transcript_status)</w:t>
      </w:r>
      <w:r>
        <w:rPr>
          <w:b w:val="0"/>
          <w:sz w:val="24"/>
          <w:rtl/>
          <w:szCs w:val="24"/>
        </w:rPr>
        <w:t xml:space="preserve">: none ← draft </w:t>
      </w:r>
      <w:r>
        <w:rPr>
          <w:b w:val="0"/>
          <w:color w:val="FF0000"/>
          <w:sz w:val="24"/>
          <w:rtl/>
          <w:szCs w:val="24"/>
        </w:rPr>
        <w:t>(عند أول حفظ للتفريغ)</w:t>
      </w:r>
      <w:r>
        <w:rPr>
          <w:b w:val="0"/>
          <w:sz w:val="24"/>
          <w:rtl/>
          <w:szCs w:val="24"/>
        </w:rPr>
        <w:t xml:space="preserve"> ← native_reviewed </w:t>
      </w:r>
      <w:r>
        <w:rPr>
          <w:b w:val="0"/>
          <w:color w:val="FF0000"/>
          <w:sz w:val="24"/>
          <w:rtl/>
          <w:szCs w:val="24"/>
        </w:rPr>
        <w:t>(تلقائياً عند تعليم الخطوة 10)</w:t>
      </w:r>
      <w:r>
        <w:rPr>
          <w:b w:val="0"/>
          <w:sz w:val="24"/>
          <w:rtl/>
          <w:szCs w:val="24"/>
        </w:rPr>
        <w:t xml:space="preserve"> ← approved. وتحجب بوابة S08 الانتقال ما دامت في المشروع مقابلة ذات ملف وحالة تفريغها none أو draft.</w:t>
      </w:r>
    </w:p>
    <w:p>
      <w:pPr>
        <w:bidi/>
        <w:jc w:val="right"/>
      </w:pPr>
      <w:r>
        <w:rPr>
          <w:b/>
          <w:sz w:val="24"/>
          <w:rtl/>
          <w:szCs w:val="24"/>
          <w:bCs/>
        </w:rPr>
        <w:t>التفريغ الآلي (مشروط):</w:t>
      </w:r>
      <w:r>
        <w:rPr>
          <w:b w:val="0"/>
          <w:sz w:val="24"/>
          <w:rtl/>
          <w:szCs w:val="24"/>
        </w:rPr>
        <w:t xml:space="preserve"> لا يظهر خيار «تفريغ أولي آلي» إلا إذا وُجدت مكتبة faster-whisper على الجهاز؛ ويعمل محلياً، ويُحفظ ناتجه مسودة </w:t>
      </w:r>
      <w:r>
        <w:rPr>
          <w:b w:val="0"/>
          <w:color w:val="FF0000"/>
          <w:sz w:val="24"/>
          <w:rtl/>
          <w:szCs w:val="24"/>
        </w:rPr>
        <w:t>(draft)</w:t>
      </w:r>
      <w:r>
        <w:rPr>
          <w:b w:val="0"/>
          <w:sz w:val="24"/>
          <w:rtl/>
          <w:szCs w:val="24"/>
        </w:rPr>
        <w:t xml:space="preserve"> بوسم «مسودة آلية — تلزم المراجعة البشرية». ولا يُستشهد بتفريغ لم يبلغ حالة native_reviewed على الأقل.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>3. توثيق الشعر والأهازيج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 في poems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الوصف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ملاحظة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title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المطلع أو الاسم الذي يُعرف به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لا يُخترع عنوان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genre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النوع: nabati نبطي · hazij هزج/أهزوجة · song أغنية · chant إنشاد/ترديد · other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يُحفظ الاسم المحلي الدقيق في variants أو occasion عند الحاجة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meter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البحر أو الطرق المرجّح، مع بيان درجة اليقين نصاً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يُحال الحسم إلى AG-PTR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text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النص كما رُوي، حرفياً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لا «تصحيح» للهجة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poet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الشاعر إن عُرف، مع بيان «منسوب» أو «متداول» عند الشك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لا نسبة بلا سند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reciter_id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الراوي المنشد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(رمز من narrators)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interview_id وtimecode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المقابلة والموضع الزمني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يربط النص بالتسجيل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occasion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المناسبة والسياق الأدائي: متى يُقال؟ من يؤديه؟ بمصاحبة ماذا؟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variants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الروايات المختلفة: يُسجَّل لكل رواية مصدرها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(راوٍ/مقابلة/مخطوط)</w:t>
            </w:r>
            <w:r>
              <w:rPr>
                <w:b w:val="0"/>
                <w:sz w:val="22"/>
                <w:rtl/>
                <w:szCs w:val="22"/>
              </w:rPr>
              <w:t xml:space="preserve"> وموضع الاختلاف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/>
                <w:sz w:val="22"/>
                <w:rtl/>
                <w:szCs w:val="22"/>
                <w:bCs/>
              </w:rPr>
              <w:t>لا تُدمج الروايات في نص «مُوحَّد» دون إبقاء الأصول</w:t>
            </w:r>
          </w:p>
        </w:tc>
      </w:tr>
    </w:tbl>
    <w:p/>
    <w:p>
      <w:pPr>
        <w:bidi/>
        <w:jc w:val="right"/>
      </w:pPr>
      <w:r>
        <w:rPr>
          <w:b w:val="0"/>
          <w:sz w:val="24"/>
          <w:rtl/>
          <w:szCs w:val="24"/>
        </w:rPr>
        <w:t xml:space="preserve">ويعدّ AG-PTR جدول فروق في الحقل variants: البيت/الشطر · الرواية أ · الرواية ب · ملاحظة. وتسجيل كل رواية سجلاً مستقلاً مرتبطاً بغيره </w:t>
      </w:r>
      <w:r>
        <w:rPr>
          <w:b/>
          <w:sz w:val="24"/>
          <w:rtl/>
          <w:szCs w:val="24"/>
          <w:bCs/>
        </w:rPr>
        <w:t>مقترح للإصدار التالي</w:t>
      </w:r>
      <w:r>
        <w:rPr>
          <w:b w:val="0"/>
          <w:sz w:val="24"/>
          <w:rtl/>
          <w:szCs w:val="24"/>
        </w:rPr>
        <w:t>.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>4. مدخل المعجم اللهجي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 في dialect_lexicon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الوصف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إلزامي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term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اللفظ المحلي بالرسم العربي كما يُنطق تقريباً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phonetic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الضبط الصوتي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(بالأبجدية الصوتية الدولية متى أمكن، أو بالشكل التام)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meaning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المعنى بالفصحى، مع الصنف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(اسم/فعل/صفة…)</w:t>
            </w:r>
            <w:r>
              <w:rPr>
                <w:b w:val="0"/>
                <w:sz w:val="22"/>
                <w:rtl/>
                <w:szCs w:val="22"/>
              </w:rPr>
              <w:t xml:space="preserve"> والصيغ البديلة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context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المجال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(بحر، بر، زراعة، بيت…)</w:t>
            </w:r>
            <w:r>
              <w:rPr>
                <w:b w:val="0"/>
                <w:sz w:val="22"/>
                <w:rtl/>
                <w:szCs w:val="22"/>
              </w:rPr>
              <w:t xml:space="preserve"> وجملة شاهدة من التفريغ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region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النطاق الجغرافي-الثقافي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locality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المنطقة حيث سُجّل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narrator_id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الراوي المستعمل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interview_id وtimecode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المقابلة والموضع الزمني للشاهد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comparative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الشواهد المقارنة: ورودها في مصادر مكتوبة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(بمعرّفات sources)</w:t>
            </w:r>
            <w:r>
              <w:rPr>
                <w:b w:val="0"/>
                <w:sz w:val="22"/>
                <w:rtl/>
                <w:szCs w:val="22"/>
              </w:rPr>
              <w:t xml:space="preserve"> أو مناطق أخرى، والأصل المرجّح مع بيان أنه اجتهاد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confidence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high: رواة مستقلون متعددون + مراجعة HUM-NATIVE · medium: راوٍ واحد مع مراجعة · low: راوٍ واحد دون مراجعة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✓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>5. قواعد الاستشهاد</w:t>
      </w:r>
    </w:p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>5.1 مبادئ عامة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1. يُعتمد </w:t>
      </w:r>
      <w:r>
        <w:rPr>
          <w:b/>
          <w:sz w:val="24"/>
          <w:rtl/>
          <w:szCs w:val="24"/>
          <w:bCs/>
        </w:rPr>
        <w:t>APA 7</w:t>
      </w:r>
      <w:r>
        <w:rPr>
          <w:b w:val="0"/>
          <w:sz w:val="24"/>
          <w:rtl/>
          <w:szCs w:val="24"/>
        </w:rPr>
        <w:t xml:space="preserve"> للدراسات ذات الطابع الاجتماعي والتحليلي، و</w:t>
      </w:r>
      <w:r>
        <w:rPr>
          <w:b/>
          <w:sz w:val="24"/>
          <w:rtl/>
          <w:szCs w:val="24"/>
          <w:bCs/>
        </w:rPr>
        <w:t>Chicago (الحواشي والمراجع N-B)</w:t>
      </w:r>
      <w:r>
        <w:rPr>
          <w:b w:val="0"/>
          <w:sz w:val="24"/>
          <w:rtl/>
          <w:szCs w:val="24"/>
        </w:rPr>
        <w:t xml:space="preserve"> للدراسات التاريخية والأرشيفية؛ ويحدد AG-PUB النظام لكل منشور ولا يُخلط بينهما. ويُسجَّل النمط في bibliography.style </w:t>
      </w:r>
      <w:r>
        <w:rPr>
          <w:b w:val="0"/>
          <w:color w:val="FF0000"/>
          <w:sz w:val="24"/>
          <w:rtl/>
          <w:szCs w:val="24"/>
        </w:rPr>
        <w:t>(apa7 أو chicago_nb)</w:t>
      </w:r>
      <w:r>
        <w:rPr>
          <w:b w:val="0"/>
          <w:sz w:val="24"/>
          <w:rtl/>
          <w:szCs w:val="24"/>
        </w:rPr>
        <w:t xml:space="preserve"> والإحالة المنسقة في bibliography.formatted.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2. </w:t>
      </w:r>
      <w:r>
        <w:rPr>
          <w:b/>
          <w:sz w:val="24"/>
          <w:rtl/>
          <w:szCs w:val="24"/>
          <w:bCs/>
        </w:rPr>
        <w:t>التنسيق الآلي (مُنفَّذ):</w:t>
      </w:r>
      <w:r>
        <w:rPr>
          <w:b w:val="0"/>
          <w:sz w:val="24"/>
          <w:rtl/>
          <w:szCs w:val="24"/>
        </w:rPr>
        <w:t xml:space="preserve"> يولّد التطبيق إحالة APA 7 وChicago من الحقول المسجلة في sources وحدها </w:t>
      </w:r>
      <w:r>
        <w:rPr>
          <w:b w:val="0"/>
          <w:color w:val="FF0000"/>
          <w:sz w:val="24"/>
          <w:rtl/>
          <w:szCs w:val="24"/>
        </w:rPr>
        <w:t>(creator، year، title، publisher، doi، url، accessed)</w:t>
      </w:r>
      <w:r>
        <w:rPr>
          <w:b w:val="0"/>
          <w:sz w:val="24"/>
          <w:rtl/>
          <w:szCs w:val="24"/>
        </w:rPr>
        <w:t>، ولا يضيف ما ليس في السجل؛ فما غاب يظهر «مؤلف غير محدد» أو «د.ت.» أو «</w:t>
      </w:r>
      <w:r>
        <w:rPr>
          <w:b w:val="0"/>
          <w:color w:val="FF0000"/>
          <w:sz w:val="24"/>
          <w:rtl/>
          <w:szCs w:val="24"/>
        </w:rPr>
        <w:t>[بلا عنوان]</w:t>
      </w:r>
      <w:r>
        <w:rPr>
          <w:b w:val="0"/>
          <w:sz w:val="24"/>
          <w:rtl/>
          <w:szCs w:val="24"/>
        </w:rPr>
        <w:t>» ليُستكمل يدوياً. والأنماط المفصلة في 5.2 و5.3 تُطبَّق يدوياً حين تتطلب الإحالة عناصر أكثر من ذلك.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>3. تُكتب المراجع العربية بحروفها، مع إضافة ترجمة العنوان بين معقوفين عند النشر بلغة أخرى.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4. لا يُدرج في قائمة المراجع ما لم يُتحقق من وجوده </w:t>
      </w:r>
      <w:r>
        <w:rPr>
          <w:b w:val="0"/>
          <w:color w:val="FF0000"/>
          <w:sz w:val="24"/>
          <w:rtl/>
          <w:szCs w:val="24"/>
        </w:rPr>
        <w:t>(sources.verified = 1)</w:t>
      </w:r>
      <w:r>
        <w:rPr>
          <w:b w:val="0"/>
          <w:sz w:val="24"/>
          <w:rtl/>
          <w:szCs w:val="24"/>
        </w:rPr>
        <w:t>؛ وتحجب بوابة S05 الانتقال ما دام في المشروع مصدر غير متحقق من وجوده أو غير مصنف في هرم المصادر.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5. </w:t>
      </w:r>
      <w:r>
        <w:rPr>
          <w:b/>
          <w:sz w:val="24"/>
          <w:rtl/>
          <w:szCs w:val="24"/>
          <w:bCs/>
        </w:rPr>
        <w:t>التسجيلات الشفهية غير المنشورة</w:t>
      </w:r>
      <w:r>
        <w:rPr>
          <w:b w:val="0"/>
          <w:sz w:val="24"/>
          <w:rtl/>
          <w:szCs w:val="24"/>
        </w:rPr>
        <w:t xml:space="preserve"> </w:t>
      </w:r>
      <w:r>
        <w:rPr>
          <w:b w:val="0"/>
          <w:color w:val="FF0000"/>
          <w:sz w:val="24"/>
          <w:rtl/>
          <w:szCs w:val="24"/>
        </w:rPr>
        <w:t>(sources.kind = oral)</w:t>
      </w:r>
      <w:r>
        <w:rPr>
          <w:b w:val="0"/>
          <w:sz w:val="24"/>
          <w:rtl/>
          <w:szCs w:val="24"/>
        </w:rPr>
        <w:t xml:space="preserve"> لا تُدرج في قائمة المراجع العامة في ملف المشروع المصدَّر، ويُحال إليها منهجياً. وصيغة الإحالة الآلية إلى المقابلة: «مقابلة </w:t>
      </w:r>
      <w:r>
        <w:rPr>
          <w:b w:val="0"/>
          <w:color w:val="FF0000"/>
          <w:sz w:val="24"/>
          <w:rtl/>
          <w:szCs w:val="24"/>
        </w:rPr>
        <w:t>[المعرّف الأرشيفي]</w:t>
      </w:r>
      <w:r>
        <w:rPr>
          <w:b w:val="0"/>
          <w:sz w:val="24"/>
          <w:rtl/>
          <w:szCs w:val="24"/>
        </w:rPr>
        <w:t xml:space="preserve">، الراوي: </w:t>
      </w:r>
      <w:r>
        <w:rPr>
          <w:b w:val="0"/>
          <w:color w:val="FF0000"/>
          <w:sz w:val="24"/>
          <w:rtl/>
          <w:szCs w:val="24"/>
        </w:rPr>
        <w:t>[الاسم إن أذن، وإلا الرمز]</w:t>
      </w:r>
      <w:r>
        <w:rPr>
          <w:b w:val="0"/>
          <w:sz w:val="24"/>
          <w:rtl/>
          <w:szCs w:val="24"/>
        </w:rPr>
        <w:t xml:space="preserve">، الباحث: </w:t>
      </w:r>
      <w:r>
        <w:rPr>
          <w:b w:val="0"/>
          <w:color w:val="FF0000"/>
          <w:sz w:val="24"/>
          <w:rtl/>
          <w:szCs w:val="24"/>
        </w:rPr>
        <w:t>[……]</w:t>
      </w:r>
      <w:r>
        <w:rPr>
          <w:b w:val="0"/>
          <w:sz w:val="24"/>
          <w:rtl/>
          <w:szCs w:val="24"/>
        </w:rPr>
        <w:t xml:space="preserve">، </w:t>
      </w:r>
      <w:r>
        <w:rPr>
          <w:b w:val="0"/>
          <w:color w:val="FF0000"/>
          <w:sz w:val="24"/>
          <w:rtl/>
          <w:szCs w:val="24"/>
        </w:rPr>
        <w:t>[التاريخ]</w:t>
      </w:r>
      <w:r>
        <w:rPr>
          <w:b w:val="0"/>
          <w:sz w:val="24"/>
          <w:rtl/>
          <w:szCs w:val="24"/>
        </w:rPr>
        <w:t xml:space="preserve">، الملف </w:t>
      </w:r>
      <w:r>
        <w:rPr>
          <w:b w:val="0"/>
          <w:color w:val="FF0000"/>
          <w:sz w:val="24"/>
          <w:rtl/>
          <w:szCs w:val="24"/>
        </w:rPr>
        <w:t>[معرّف الأصل]</w:t>
      </w:r>
      <w:r>
        <w:rPr>
          <w:b w:val="0"/>
          <w:sz w:val="24"/>
          <w:rtl/>
          <w:szCs w:val="24"/>
        </w:rPr>
        <w:t xml:space="preserve">، الموضع </w:t>
      </w:r>
      <w:r>
        <w:rPr>
          <w:b w:val="0"/>
          <w:color w:val="FF0000"/>
          <w:sz w:val="24"/>
          <w:rtl/>
          <w:szCs w:val="24"/>
        </w:rPr>
        <w:t>[hh:mm:ss]</w:t>
      </w:r>
      <w:r>
        <w:rPr>
          <w:b w:val="0"/>
          <w:sz w:val="24"/>
          <w:rtl/>
          <w:szCs w:val="24"/>
        </w:rPr>
        <w:t>.»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>6. خيار إدراج المرجع في القائمة العامة يُضبط بالحقل bibliography.public_list.</w:t>
      </w:r>
    </w:p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>5.2 أنماط APA 7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نوع المادة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النمط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كتاب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[اسم العائلة]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[الحرف الأول]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الكتاب]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([الطبعة])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[الناشر]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فصل في كتاب محرر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[اسم العائلة]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[ح.]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الفصل]</w:t>
            </w:r>
            <w:r>
              <w:rPr>
                <w:b w:val="0"/>
                <w:sz w:val="22"/>
                <w:rtl/>
                <w:szCs w:val="22"/>
              </w:rPr>
              <w:t xml:space="preserve">. في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[ح.]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[المحرر]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(محرر)</w:t>
            </w:r>
            <w:r>
              <w:rPr>
                <w:b w:val="0"/>
                <w:sz w:val="22"/>
                <w:rtl/>
                <w:szCs w:val="22"/>
              </w:rPr>
              <w:t>،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الكتاب]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(ص. [من–إلى])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[الناشر]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مقالة في دورية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[اسم العائلة]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[ح.]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المقالة]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[اسم الدورية]</w:t>
            </w:r>
            <w:r>
              <w:rPr>
                <w:b w:val="0"/>
                <w:sz w:val="22"/>
                <w:rtl/>
                <w:szCs w:val="22"/>
              </w:rPr>
              <w:t>*،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[المجلد]</w:t>
            </w:r>
            <w:r>
              <w:rPr>
                <w:b w:val="0"/>
                <w:sz w:val="22"/>
                <w:rtl/>
                <w:szCs w:val="22"/>
              </w:rPr>
              <w:t>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([العدد])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[الصفحات]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[المعرّف الرقمي إن وُجد فعلاً]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رسالة جامعية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[اسم العائلة]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[ح.]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 [رسالة دكتوراه/ماجستير،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[الجامعة]</w:t>
            </w:r>
            <w:r>
              <w:rPr>
                <w:b w:val="0"/>
                <w:sz w:val="22"/>
                <w:rtl/>
                <w:szCs w:val="22"/>
              </w:rPr>
              <w:t xml:space="preserve">].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[المستودع إن وُجد]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مخطوط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[المؤلف إن عُرف]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([التاريخ أو د.ت.])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المخطوط أو وصفه]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[مخطوط، رقم الحفظ]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الحافظة]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[المدينة]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رسالة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(مراسلة)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[المرسل]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([التاريخ])</w:t>
            </w:r>
            <w:r>
              <w:rPr>
                <w:b w:val="0"/>
                <w:sz w:val="22"/>
                <w:rtl/>
                <w:szCs w:val="22"/>
              </w:rPr>
              <w:t xml:space="preserve">. [رسالة إلى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[المرسل إليه]</w:t>
            </w:r>
            <w:r>
              <w:rPr>
                <w:b w:val="0"/>
                <w:sz w:val="22"/>
                <w:rtl/>
                <w:szCs w:val="22"/>
              </w:rPr>
              <w:t xml:space="preserve">].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[المجموعة، الصندوق/الملف]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الحافظة]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وثيقة أرشيفية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[الجهة المصدرة أو المؤلف]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([التاريخ])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الوثيقة أو وصفها]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([الرمز المرجعي])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[الأرشيف]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[المدينة]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تسجيل شفهي مؤرشف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[اسم الراوي أو رمزه]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([السنة، اليوم الشهر])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[عنوان/وصف المقابلة]</w:t>
            </w:r>
            <w:r>
              <w:rPr>
                <w:b w:val="0"/>
                <w:sz w:val="22"/>
                <w:rtl/>
                <w:szCs w:val="22"/>
              </w:rPr>
              <w:t xml:space="preserve">* [مقابلة أجراها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[المحاور]</w:t>
            </w:r>
            <w:r>
              <w:rPr>
                <w:b w:val="0"/>
                <w:sz w:val="22"/>
                <w:rtl/>
                <w:szCs w:val="22"/>
              </w:rPr>
              <w:t xml:space="preserve">؛ تسجيل صوتي، المعرّف INT-…].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الحافظة]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صورة فوتوغرافية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[المصوِّر أو «مجهول»]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[عنوان/وصف الصورة]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[صورة فوتوغرافية، المعرّف IMG-…]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[الحائز]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فيلم/تسجيل مرئي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[المخرج/المنتج]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(مخرج)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[فيلم/تسجيل مرئي]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[جهة الإنتاج]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خريطة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[الجهة أو المؤلف]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الخريطة]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[خريطة، المقياس إن وُجد]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[الناشر أو الحافظ]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قصيدة من رواية شفهية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[الشاعر المنسوب إليه أو «مجهول»]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([سنة التسجيل])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[مطلع القصيدة]</w:t>
            </w:r>
            <w:r>
              <w:rPr>
                <w:b w:val="0"/>
                <w:sz w:val="22"/>
                <w:rtl/>
                <w:szCs w:val="22"/>
              </w:rPr>
              <w:t xml:space="preserve"> [قصيدة، رواية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[رمز الراوي]</w:t>
            </w:r>
            <w:r>
              <w:rPr>
                <w:b w:val="0"/>
                <w:sz w:val="22"/>
                <w:rtl/>
                <w:szCs w:val="22"/>
              </w:rPr>
              <w:t xml:space="preserve">، المعرّف PEM-…].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الحافظة]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قصيدة منشورة في ديوان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[الشاعر]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[عنوان/مطلع القصيدة]</w:t>
            </w:r>
            <w:r>
              <w:rPr>
                <w:b w:val="0"/>
                <w:sz w:val="22"/>
                <w:rtl/>
                <w:szCs w:val="22"/>
              </w:rPr>
              <w:t>. في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الديوان]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(ص. [ ])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[الناشر]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قطعة تراثية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[الصانع أو «مجهول»]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([التاريخ التقريبي])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[اسم القطعة]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[المادة، المعرّف SRC-…]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[الحائز]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[المكان]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ملاحظات ميدانية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color w:val="FF0000"/>
                <w:sz w:val="22"/>
                <w:rtl/>
                <w:szCs w:val="22"/>
              </w:rPr>
              <w:t>[الباحث]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([السنة، اليوم الشهر])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الملاحظة]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[ملاحظات ميدانية، المعرّف OBS-…]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[المشروع/الجهة]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</w:tbl>
    <w:p/>
    <w:p>
      <w:pPr>
        <w:bidi/>
        <w:jc w:val="right"/>
      </w:pPr>
      <w:r>
        <w:rPr>
          <w:b/>
          <w:sz w:val="24"/>
          <w:rtl/>
          <w:szCs w:val="24"/>
          <w:bCs/>
        </w:rPr>
        <w:t>الإحالة في المتن (APA):</w:t>
      </w:r>
      <w:r>
        <w:rPr>
          <w:b w:val="0"/>
          <w:sz w:val="24"/>
          <w:rtl/>
          <w:szCs w:val="24"/>
        </w:rPr>
        <w:t xml:space="preserve"> </w:t>
      </w:r>
      <w:r>
        <w:rPr>
          <w:b w:val="0"/>
          <w:color w:val="FF0000"/>
          <w:sz w:val="24"/>
          <w:rtl/>
          <w:szCs w:val="24"/>
        </w:rPr>
        <w:t>([اسم العائلة]، [السنة]، ص. [ ])</w:t>
      </w:r>
      <w:r>
        <w:rPr>
          <w:b w:val="0"/>
          <w:sz w:val="24"/>
          <w:rtl/>
          <w:szCs w:val="24"/>
        </w:rPr>
        <w:t xml:space="preserve">؛ وللتسجيل الشفهي: </w:t>
      </w:r>
      <w:r>
        <w:rPr>
          <w:b w:val="0"/>
          <w:color w:val="FF0000"/>
          <w:sz w:val="24"/>
          <w:rtl/>
          <w:szCs w:val="24"/>
        </w:rPr>
        <w:t>([رمز الراوي]، [السنة]، [hh:mm:ss])</w:t>
      </w:r>
      <w:r>
        <w:rPr>
          <w:b w:val="0"/>
          <w:sz w:val="24"/>
          <w:rtl/>
          <w:szCs w:val="24"/>
        </w:rPr>
        <w:t>.</w:t>
      </w:r>
    </w:p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 xml:space="preserve">5.3 أنماط Chicago </w:t>
      </w:r>
      <w:r>
        <w:rPr>
          <w:b/>
          <w:color w:val="FF0000"/>
          <w:sz w:val="28"/>
          <w:rtl/>
          <w:szCs w:val="28"/>
          <w:bCs/>
        </w:rPr>
        <w:t>(حواشٍ ومراجع)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نوع المادة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 xml:space="preserve">الحاشية </w:t>
            </w:r>
            <w:r>
              <w:rPr>
                <w:b/>
                <w:color w:val="FF0000"/>
                <w:sz w:val="22"/>
                <w:rtl/>
                <w:szCs w:val="22"/>
                <w:bCs/>
              </w:rPr>
              <w:t>(ح)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 xml:space="preserve">قائمة المراجع </w:t>
            </w:r>
            <w:r>
              <w:rPr>
                <w:b/>
                <w:color w:val="FF0000"/>
                <w:sz w:val="22"/>
                <w:rtl/>
                <w:szCs w:val="22"/>
                <w:bCs/>
              </w:rPr>
              <w:t>(م)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كتاب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[الاسم الأول]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[اسم العائلة]</w:t>
            </w:r>
            <w:r>
              <w:rPr>
                <w:b w:val="0"/>
                <w:sz w:val="22"/>
                <w:rtl/>
                <w:szCs w:val="22"/>
              </w:rPr>
              <w:t>،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([المدينة]: [الناشر]، [السنة])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[الصفحة]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[اسم العائلة]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[الاسم الأول]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[المدينة]</w:t>
            </w:r>
            <w:r>
              <w:rPr>
                <w:b w:val="0"/>
                <w:sz w:val="22"/>
                <w:rtl/>
                <w:szCs w:val="22"/>
              </w:rPr>
              <w:t xml:space="preserve">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[الناشر]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[السنة]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مقالة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[الاسم]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[العائلة]</w:t>
            </w:r>
            <w:r>
              <w:rPr>
                <w:b w:val="0"/>
                <w:sz w:val="22"/>
                <w:rtl/>
                <w:szCs w:val="22"/>
              </w:rPr>
              <w:t>، «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المقالة]</w:t>
            </w:r>
            <w:r>
              <w:rPr>
                <w:b w:val="0"/>
                <w:sz w:val="22"/>
                <w:rtl/>
                <w:szCs w:val="22"/>
              </w:rPr>
              <w:t>»،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[الدورية]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[المجلد]</w:t>
            </w:r>
            <w:r>
              <w:rPr>
                <w:b w:val="0"/>
                <w:sz w:val="22"/>
                <w:rtl/>
                <w:szCs w:val="22"/>
              </w:rPr>
              <w:t xml:space="preserve">، العدد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 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 xml:space="preserve">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[الصفحة]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[العائلة]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[الاسم]</w:t>
            </w:r>
            <w:r>
              <w:rPr>
                <w:b w:val="0"/>
                <w:sz w:val="22"/>
                <w:rtl/>
                <w:szCs w:val="22"/>
              </w:rPr>
              <w:t>. «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المقالة]</w:t>
            </w:r>
            <w:r>
              <w:rPr>
                <w:b w:val="0"/>
                <w:sz w:val="22"/>
                <w:rtl/>
                <w:szCs w:val="22"/>
              </w:rPr>
              <w:t>».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[الدورية]</w:t>
            </w:r>
            <w:r>
              <w:rPr>
                <w:b w:val="0"/>
                <w:sz w:val="22"/>
                <w:rtl/>
                <w:szCs w:val="22"/>
              </w:rPr>
              <w:t xml:space="preserve">*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[المجلد]</w:t>
            </w:r>
            <w:r>
              <w:rPr>
                <w:b w:val="0"/>
                <w:sz w:val="22"/>
                <w:rtl/>
                <w:szCs w:val="22"/>
              </w:rPr>
              <w:t xml:space="preserve">، العدد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 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([السنة])</w:t>
            </w:r>
            <w:r>
              <w:rPr>
                <w:b w:val="0"/>
                <w:sz w:val="22"/>
                <w:rtl/>
                <w:szCs w:val="22"/>
              </w:rPr>
              <w:t xml:space="preserve">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[من–إلى]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مخطوط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[المؤلف]</w:t>
            </w:r>
            <w:r>
              <w:rPr>
                <w:b w:val="0"/>
                <w:sz w:val="22"/>
                <w:rtl/>
                <w:szCs w:val="22"/>
              </w:rPr>
              <w:t>،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[رقم الحفظ]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[الورقة]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الحافظة]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[المؤلف]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[رقم الحفظ]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الحافظة]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[المدينة]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رسالة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(مراسلة)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[المرسل]</w:t>
            </w:r>
            <w:r>
              <w:rPr>
                <w:b w:val="0"/>
                <w:sz w:val="22"/>
                <w:rtl/>
                <w:szCs w:val="22"/>
              </w:rPr>
              <w:t xml:space="preserve"> إلى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[المرسل إليه]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[المجموعة]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[الصندوق/الملف]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[الأرشيف]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[المجموعة]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[الأرشيف]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[المدينة]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وثيقة أرشيفية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المصدرة]</w:t>
            </w:r>
            <w:r>
              <w:rPr>
                <w:b w:val="0"/>
                <w:sz w:val="22"/>
                <w:rtl/>
                <w:szCs w:val="22"/>
              </w:rPr>
              <w:t>، «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[وصف الوثيقة]</w:t>
            </w:r>
            <w:r>
              <w:rPr>
                <w:b w:val="0"/>
                <w:sz w:val="22"/>
                <w:rtl/>
                <w:szCs w:val="22"/>
              </w:rPr>
              <w:t xml:space="preserve">»،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[الرمز المرجعي]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[الأرشيف]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[الأرشيف]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[السلسلة/المجموعة]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[المدينة]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تسجيل شفهي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[الراوي أو رمزه]</w:t>
            </w:r>
            <w:r>
              <w:rPr>
                <w:b w:val="0"/>
                <w:sz w:val="22"/>
                <w:rtl/>
                <w:szCs w:val="22"/>
              </w:rPr>
              <w:t xml:space="preserve">، مقابلة أجراها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[المحاور]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[المكان]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[المعرّف]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[hh:mm:ss]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[الراوي أو رمزه]</w:t>
            </w:r>
            <w:r>
              <w:rPr>
                <w:b w:val="0"/>
                <w:sz w:val="22"/>
                <w:rtl/>
                <w:szCs w:val="22"/>
              </w:rPr>
              <w:t xml:space="preserve">. مقابلة أجراها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[المحاور]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[المكان]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[المعرّف]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 الحافظة]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صورة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[المصوِّر]</w:t>
            </w:r>
            <w:r>
              <w:rPr>
                <w:b w:val="0"/>
                <w:sz w:val="22"/>
                <w:rtl/>
                <w:szCs w:val="22"/>
              </w:rPr>
              <w:t>، «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[الوصف]</w:t>
            </w:r>
            <w:r>
              <w:rPr>
                <w:b w:val="0"/>
                <w:sz w:val="22"/>
                <w:rtl/>
                <w:szCs w:val="22"/>
              </w:rPr>
              <w:t xml:space="preserve">»، صورة فوتوغرافية،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[السنة]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[المعرّف]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[الحائز]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م: تُدرج ضمن المجموعة الحافظة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فيلم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ح: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*، إخراج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[المخرج]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([جهة الإنتاج]، [السنة])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[المخرج]</w:t>
            </w:r>
            <w:r>
              <w:rPr>
                <w:b w:val="0"/>
                <w:sz w:val="22"/>
                <w:rtl/>
                <w:szCs w:val="22"/>
              </w:rPr>
              <w:t>، مخرج.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[العنوان]</w:t>
            </w:r>
            <w:r>
              <w:rPr>
                <w:b w:val="0"/>
                <w:sz w:val="22"/>
                <w:rtl/>
                <w:szCs w:val="22"/>
              </w:rPr>
              <w:t xml:space="preserve">*.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[جهة الإنتاج]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[السنة]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خريطة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[الجهة]</w:t>
            </w:r>
            <w:r>
              <w:rPr>
                <w:b w:val="0"/>
                <w:sz w:val="22"/>
                <w:rtl/>
                <w:szCs w:val="22"/>
              </w:rPr>
              <w:t>،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الخريطة]</w:t>
            </w:r>
            <w:r>
              <w:rPr>
                <w:b w:val="0"/>
                <w:sz w:val="22"/>
                <w:rtl/>
                <w:szCs w:val="22"/>
              </w:rPr>
              <w:t xml:space="preserve">*،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[المقياس]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([الناشر]، [السنة])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[الجهة]</w:t>
            </w:r>
            <w:r>
              <w:rPr>
                <w:b w:val="0"/>
                <w:sz w:val="22"/>
                <w:rtl/>
                <w:szCs w:val="22"/>
              </w:rPr>
              <w:t>. *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[عنوان الخريطة]</w:t>
            </w:r>
            <w:r>
              <w:rPr>
                <w:b w:val="0"/>
                <w:sz w:val="22"/>
                <w:rtl/>
                <w:szCs w:val="22"/>
              </w:rPr>
              <w:t xml:space="preserve">*.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[المقياس]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[الناشر]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[السنة]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قصيدة شفهية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[المطلع]</w:t>
            </w:r>
            <w:r>
              <w:rPr>
                <w:b w:val="0"/>
                <w:sz w:val="22"/>
                <w:rtl/>
                <w:szCs w:val="22"/>
              </w:rPr>
              <w:t xml:space="preserve">، رواية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[رمز الراوي]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[المعرّف PEM]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[hh:mm:ss]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م: ضمن مدخل المقابلة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قطعة تراثية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[اسم القطعة]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[المادة]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 التقريبي]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[المعرّف]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[الحائز]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[المكان]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م: ضمن مدخل المجموعة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ملاحظات ميدانية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ح: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[الباحث]</w:t>
            </w:r>
            <w:r>
              <w:rPr>
                <w:b w:val="0"/>
                <w:sz w:val="22"/>
                <w:rtl/>
                <w:szCs w:val="22"/>
              </w:rPr>
              <w:t xml:space="preserve">، ملاحظات ميدانية،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[المكان العام]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[التاريخ]</w:t>
            </w:r>
            <w:r>
              <w:rPr>
                <w:b w:val="0"/>
                <w:sz w:val="22"/>
                <w:rtl/>
                <w:szCs w:val="22"/>
              </w:rPr>
              <w:t xml:space="preserve">،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[المعرّف OBS]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م: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[الباحث]</w:t>
            </w:r>
            <w:r>
              <w:rPr>
                <w:b w:val="0"/>
                <w:sz w:val="22"/>
                <w:rtl/>
                <w:szCs w:val="22"/>
              </w:rPr>
              <w:t xml:space="preserve">. ملاحظات ميدانية.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[المشروع]</w:t>
            </w:r>
            <w:r>
              <w:rPr>
                <w:b w:val="0"/>
                <w:sz w:val="22"/>
                <w:rtl/>
                <w:szCs w:val="22"/>
              </w:rPr>
              <w:t xml:space="preserve">.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[السنوات]</w:t>
            </w:r>
            <w:r>
              <w:rPr>
                <w:b w:val="0"/>
                <w:sz w:val="22"/>
                <w:rtl/>
                <w:szCs w:val="22"/>
              </w:rPr>
              <w:t>.</w:t>
            </w:r>
          </w:p>
        </w:tc>
      </w:tr>
    </w:tbl>
    <w:p/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>5.4 قواعد المقابلات المقيدة وغير المنشورة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الحالة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القاعدة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الراوي لم يأذن بإظهار اسمه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(name_permitted = 0)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يُستشهد بالرمز وحده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(ويفعل التطبيق ذلك آلياً)</w:t>
            </w:r>
            <w:r>
              <w:rPr>
                <w:b w:val="0"/>
                <w:sz w:val="22"/>
                <w:rtl/>
                <w:szCs w:val="22"/>
              </w:rPr>
              <w:t>، ولا يُذكر المكان بدقة تكشف الهوية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مقابلة محجوبة النشر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لا تُقتبس؛ ويجوز الإشارة إلى وجود دليل شفهي «محفوظ بقيد» مع ذكر المعرّف فقط لأغراض التحكيم الداخلي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حظر زمني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لا اقتباس قبل انقضاء الأجل المدوَّن في permissions.restrictions، ويُوسم الاستشهاد «مقيّد حتى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[التاريخ]</w:t>
            </w:r>
            <w:r>
              <w:rPr>
                <w:b w:val="0"/>
                <w:sz w:val="22"/>
                <w:rtl/>
                <w:szCs w:val="22"/>
              </w:rPr>
              <w:t>»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مقاطع محجوبة داخل مقابلة متاحة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يُستشهد بالمقاطع المتاحة فقط، ولا يُستدل بالمحجوب ولو ضمنياً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سحب الموافقة بعد النشر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يُؤشَّر permissions.withdrawn، ويُضاف في الطبعات اللاحقة تنبيه، ويُحذف الاقتباس، وتُسجَّل الواقعة في review_decisions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معرفة مقيدة مجتمعياً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لا تُذكر ولا يُلمَّح إليها في أي مخرج عام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تحقق المحكّمين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يُتاح للمحكّم الوصول المقيد عبر AG-ETH بإقرار سرية، لا عبر إرفاق التسجيل</w:t>
            </w:r>
          </w:p>
        </w:tc>
      </w:tr>
    </w:tbl>
    <w:p/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صيغة بيان مقترحة في الحاشية:</w:t>
      </w:r>
      <w:r>
        <w:rPr>
          <w:b w:val="0"/>
          <w:color w:val="5B6B7A"/>
          <w:sz w:val="22"/>
          <w:rtl/>
          <w:szCs w:val="22"/>
        </w:rPr>
        <w:t xml:space="preserve"> «مقابلة محفوظة في أرشيف </w:t>
      </w:r>
      <w:r>
        <w:rPr>
          <w:b w:val="0"/>
          <w:color w:val="FF0000"/>
          <w:sz w:val="22"/>
          <w:rtl/>
          <w:szCs w:val="22"/>
        </w:rPr>
        <w:t>[الجهة]</w:t>
      </w:r>
      <w:r>
        <w:rPr>
          <w:b w:val="0"/>
          <w:color w:val="5B6B7A"/>
          <w:sz w:val="22"/>
          <w:rtl/>
          <w:szCs w:val="22"/>
        </w:rPr>
        <w:t xml:space="preserve"> بالمعرّف </w:t>
      </w:r>
      <w:r>
        <w:rPr>
          <w:b w:val="0"/>
          <w:color w:val="FF0000"/>
          <w:sz w:val="22"/>
          <w:rtl/>
          <w:szCs w:val="22"/>
        </w:rPr>
        <w:t>[INT-…]</w:t>
      </w:r>
      <w:r>
        <w:rPr>
          <w:b w:val="0"/>
          <w:color w:val="5B6B7A"/>
          <w:sz w:val="22"/>
          <w:rtl/>
          <w:szCs w:val="22"/>
        </w:rPr>
        <w:t>، والوصول إليها مقيّد وفق شروط موافقة الراوي.»</w:t>
      </w:r>
    </w:p>
    <w:sectPr>
      <w:pgSz w:w="12240" w:h="15840"/>
      <w:pgMar w:top="1134" w:right="1247" w:bottom="1134" w:left="124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Noto Naskh Arabic" w:hAnsi="Noto Naskh Arabic" w:cs="Noto Naskh Arabic"/>
      <w:sz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توثيق الروايات والشعر والمفردات وقواعد الاستشهاد</dc:title>
  <dc:subject/>
  <dc:creator>إدارة الدراسات والبحوث التراثية الإماراتية</dc:creator>
  <cp:keywords/>
  <dc:description/>
  <cp:lastModifiedBy>إدارة الدراسات والبحوث التراثية الإماراتية</cp:lastModifiedBy>
  <cp:revision>1</cp:revision>
  <dcterms:created xsi:type="dcterms:W3CDTF">2026-10-14T12:15:18Z</dcterms:created>
  <dcterms:modified xsi:type="dcterms:W3CDTF">2026-10-14T12:15:18Z</dcterms:modified>
  <cp:category/>
  <cp:contentStatus/>
  <dc:identifier/>
  <cp:version/>
</cp:coreProperties>
</file>