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LLM Studio OCR fixture</w:t>
      </w:r>
    </w:p>
    <w:p>
      <w:r>
        <w:t xml:space="preserve">Invoice #4421 for homelab VPN lab.</w:t>
      </w:r>
    </w:p>
    <w:p>
      <w:r>
        <w:t xml:space="preserve">Secret token line: MARKER_OCR_ALPHA_791</w:t>
      </w:r>
    </w:p>
    <w:p>
      <w:r>
        <w:t xml:space="preserve">OpenObserve port 15080; API port 18080.</w:t>
      </w:r>
    </w:p>
    <w:p>
      <w:r>
        <w:t xml:space="preserve"/>
      </w:r>
    </w:p>
    <w:sectPr/>
  </w:body>
</w:document>
</file>