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口径总注记(2026-07-06)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:官方答复落地,主口径场景自 and(49 格)切换为 </w:t>
      </w:r>
      <w:r>
        <w:rPr>
          <w:rFonts w:ascii="Microsoft YaHei" w:hAnsi="Microsoft YaHei" w:eastAsia="Microsoft YaHei"/>
          <w:b/>
          <w:color w:val="606060"/>
          <w:sz w:val="20"/>
        </w:rPr>
        <w:t>sum(x+y 整除,133 格)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F1-F17 各条数字 = and 口径历史快照</w:t>
      </w:r>
      <w:r>
        <w:rPr>
          <w:rFonts w:ascii="Microsoft YaHei" w:hAnsi="Microsoft YaHei" w:eastAsia="Microsoft YaHei"/>
          <w:b w:val="0"/>
          <w:color w:val="606060"/>
          <w:sz w:val="20"/>
        </w:rPr>
        <w:t>(实验记录不篡改,过程与结论演化如实保留);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官方口径下的全套新数字与逐项对照 = F18</w:t>
      </w:r>
      <w:r>
        <w:rPr>
          <w:rFonts w:ascii="Microsoft YaHei" w:hAnsi="Microsoft YaHei" w:eastAsia="Microsoft YaHei"/>
          <w:b w:val="0"/>
          <w:color w:val="606060"/>
          <w:sz w:val="20"/>
        </w:rPr>
        <w:t>(报告/PPT 生成器自动注入的即为新口径值)。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F18. 官方口径切换总对照:B1=(x+y)%3 落地,全实验重跑,结论矩阵零翻转(2026-07-06)</w:t>
      </w:r>
    </w:p>
    <w:p>
      <w:r>
        <w:rPr>
          <w:rFonts w:ascii="Microsoft YaHei" w:hAnsi="Microsoft YaHei" w:eastAsia="Microsoft YaHei"/>
          <w:b w:val="0"/>
          <w:sz w:val="21"/>
        </w:rPr>
        <w:t>官方答复"x+y 和能被 3 整除"(133 格,对角条纹,含(0,0);候选三解读全落空——参数化救场,</w:t>
      </w:r>
    </w:p>
    <w:p>
      <w:r>
        <w:rPr>
          <w:rFonts w:ascii="Microsoft YaHei" w:hAnsi="Microsoft YaHei" w:eastAsia="Microsoft YaHei"/>
          <w:b w:val="0"/>
          <w:sz w:val="21"/>
        </w:rPr>
        <w:t>当日一条命令切换+全链重跑)。</w:t>
      </w:r>
      <w:r>
        <w:rPr>
          <w:rFonts w:ascii="Microsoft YaHei" w:hAnsi="Microsoft YaHei" w:eastAsia="Microsoft YaHei"/>
          <w:b/>
          <w:sz w:val="21"/>
        </w:rPr>
        <w:t>逐发现关键指标对照(and 历史 → sum 官方)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发现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关键指标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and 历史值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sum 官方值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F4 主对比(对照口径)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exp_t / vs seq 降幅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5.39s / 71.7%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6.53s / 65.1%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排序不变,违规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F7 运动模型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降幅(加减速/匀速口径)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62.8% / 71.7%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57.3% / 65.1%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两口径优势均成立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F8 混合流(H)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吞吐 / vs 基线 / 双命令省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268 次/h / 1.97× / 28.3%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230 次/h / 1.74×(+75.2%) / 29.1%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F9 夹逼链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LB ≤ 可达 ≤ awra / 距可达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4.72≤4.96≤5.39 / 8.8%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5.543≤5.943≤6.53 / 9.9%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(距下界 17.8%)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夹逼成立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F10 绿色年化(H)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kWh/年 / 降幅 / 年省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220 / 58% / 309kWh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278.9 / 48.9% / 266.5kWh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(电费省 213 元/CO2 省 155kg)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封面口径更新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F11 重排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自愈非提效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自愈定位不变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(触发式=每夜必排同值,布局稳则休)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F12 压力矩阵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漂移退化/夜排恢复/S2 均层/S3 超载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47.1% / 6.29 / 0.57 / 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49.0% / 7.54 / 0.65 / 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三叙事全保持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F13 自适应权重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平均/峰值增益(重标)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3.61% / 8.46%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3.51% / 7.27%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(密度档 120/200/240,240=89.9% 利用率 Tompkins 区间上沿;留出 6.83% 全正)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三规律复验,120 档六项同值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F14 头条(H)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 exp / 降幅 / 能耗降 / 重货层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7.42±0.42 / 66.2% / 74.3% / 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8.40±0.48 / 62.0% / 67.3% / 0.57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(gap 22.7%;新 H 锁 8.6232,旧锁转历史)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头条更新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F15 敏感性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物理缩放降幅带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26.9~28.7%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27.2~30.8%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缩放不变性保持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F16 RL 对照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距标定 / 余弦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+8.2% / 0.334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+6.3% / 0.36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(距上界 56%)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 反向证保持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F17 拟真阶梯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三档降幅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60.0→52.9→53.0%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49.9→43.7→44.7%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阶梯形状保持(高估≈6pp)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总判定:12 项发现的工程结论在官方口径下全部方向保持、违规全 0</w:t>
      </w:r>
      <w:r>
        <w:rPr>
          <w:rFonts w:ascii="Microsoft YaHei" w:hAnsi="Microsoft YaHei" w:eastAsia="Microsoft YaHei"/>
          <w:b w:val="0"/>
          <w:sz w:val="21"/>
        </w:rPr>
        <w:t>——"口径切换只平移数字不翻转结论"(附录 C 口径不变性主张)获得最强实证:这次不是我们换尺子,是官方换的。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新增学术锚:该规则性条纹预占格局在 SLAP 文献未见直接研究(定向检索 0706)→本表为一手量化;near/COL 类策略在 (0,0) 被占+对角条纹下的系统性劣化与 Hassini &amp; Vickson 2007(IJPR,COL 非均匀性)方向一致。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sim/run_all.py</w:t>
      </w:r>
      <w:r>
        <w:rPr>
          <w:rFonts w:ascii="Microsoft YaHei" w:hAnsi="Microsoft YaHei" w:eastAsia="Microsoft YaHei"/>
          <w:b w:val="0"/>
          <w:sz w:val="21"/>
        </w:rPr>
        <w:t xml:space="preserve"> + 各条目复现命令(默认口径已=sum);历史值复现加 </w:t>
      </w:r>
      <w:r>
        <w:rPr>
          <w:rFonts w:ascii="Consolas" w:hAnsi="Consolas" w:eastAsia="Microsoft YaHei"/>
          <w:b w:val="0"/>
          <w:color w:val="1A4D7C"/>
          <w:sz w:val="21"/>
        </w:rPr>
        <w:t>--rule and</w:t>
      </w:r>
      <w:r>
        <w:rPr>
          <w:rFonts w:ascii="Microsoft YaHei" w:hAnsi="Microsoft YaHei" w:eastAsia="Microsoft YaHei"/>
          <w:b w:val="0"/>
          <w:sz w:val="21"/>
        </w:rPr>
        <w:t>。双锁:test_h_caliber_headline_lock(sum 8.6232)+test_legacy_and_h_lock(7.6202)。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红队预演(0705,评委若问"NSGA-II 再调深点呢?")</w:t>
      </w:r>
      <w:r>
        <w:rPr>
          <w:rFonts w:ascii="Microsoft YaHei" w:hAnsi="Microsoft YaHei" w:eastAsia="Microsoft YaHei"/>
          <w:b w:val="0"/>
          <w:sz w:val="21"/>
        </w:rPr>
        <w:t>:更强优化器至多把可达点向</w:t>
      </w:r>
    </w:p>
    <w:p>
      <w:r>
        <w:rPr>
          <w:rFonts w:ascii="Microsoft YaHei" w:hAnsi="Microsoft YaHei" w:eastAsia="Microsoft YaHei"/>
          <w:b w:val="0"/>
          <w:sz w:val="21"/>
        </w:rPr>
        <w:t>下界 4.72 推;即便推到底,我们的解也在绝对下界的 14.3% 以内——区间已被数学夹紧,</w:t>
      </w:r>
    </w:p>
    <w:p>
      <w:r>
        <w:rPr>
          <w:rFonts w:ascii="Microsoft YaHei" w:hAnsi="Microsoft YaHei" w:eastAsia="Microsoft YaHei"/>
          <w:b w:val="0"/>
          <w:sz w:val="21"/>
        </w:rPr>
        <w:t>继续调参不改变工程结论;且可达点每变好,gap 数字只会变大而真相不变(被夹住)。</w:t>
      </w:r>
    </w:p>
    <w:p>
      <w:r>
        <w:rPr>
          <w:rFonts w:ascii="Microsoft YaHei" w:hAnsi="Microsoft YaHei" w:eastAsia="Microsoft YaHei"/>
          <w:b w:val="0"/>
          <w:sz w:val="21"/>
        </w:rPr>
        <w:t>预算因此投向鲁棒性与 PLC 落地。裸 NSGA-II 冻结→根因→播种救活的全过程见 F6。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r>
        <w:rPr>
          <w:rFonts w:ascii="Microsoft YaHei" w:hAnsi="Microsoft YaHei" w:eastAsia="Microsoft YaHei"/>
          <w:b/>
          <w:sz w:val="21"/>
        </w:rPr>
        <w:t>展望口径(0705 R7 增,不进头条)</w:t>
      </w:r>
      <w:r>
        <w:rPr>
          <w:rFonts w:ascii="Microsoft YaHei" w:hAnsi="Microsoft YaHei" w:eastAsia="Microsoft YaHei"/>
          <w:b w:val="0"/>
          <w:sz w:val="21"/>
        </w:rPr>
        <w:t>:若配再生制动(η_regen=0.40 假设),基线年回收 172 kWh</w:t>
      </w:r>
    </w:p>
    <w:p>
      <w:r>
        <w:rPr>
          <w:rFonts w:ascii="Microsoft YaHei" w:hAnsi="Microsoft YaHei" w:eastAsia="Microsoft YaHei"/>
          <w:b w:val="0"/>
          <w:sz w:val="21"/>
        </w:rPr>
        <w:t>→净357,AWRA 回收 58→净162,节省差距 309→195 kWh/年——再生更利好"放得高"的差布局</w:t>
      </w:r>
    </w:p>
    <w:p>
      <w:r>
        <w:rPr>
          <w:rFonts w:ascii="Microsoft YaHei" w:hAnsi="Microsoft YaHei" w:eastAsia="Microsoft YaHei"/>
          <w:b w:val="0"/>
          <w:sz w:val="21"/>
        </w:rPr>
        <w:t>(可回收下降多),但结论方向不变;这是"口径切换只平移数字不翻转结论"的活例证(报告附录C)。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r>
        <w:rPr>
          <w:rFonts w:ascii="Microsoft YaHei" w:hAnsi="Microsoft YaHei" w:eastAsia="Microsoft YaHei"/>
          <w:b/>
          <w:sz w:val="21"/>
        </w:rPr>
        <w:t>0705 增补·动态标准(回应"什么时候该重排,有动态判据吗")</w:t>
      </w:r>
      <w:r>
        <w:rPr>
          <w:rFonts w:ascii="Microsoft YaHei" w:hAnsi="Microsoft YaHei" w:eastAsia="Microsoft YaHei"/>
          <w:b w:val="0"/>
          <w:sz w:val="21"/>
        </w:rPr>
        <w:t>:重排决策升级为三级判据——</w:t>
      </w:r>
    </w:p>
    <w:p>
      <w:r>
        <w:rPr>
          <w:rFonts w:ascii="Microsoft YaHei" w:hAnsi="Microsoft YaHei" w:eastAsia="Microsoft YaHei"/>
          <w:b w:val="0"/>
          <w:sz w:val="21"/>
        </w:rPr>
        <w:t>①</w:t>
      </w:r>
      <w:r>
        <w:rPr>
          <w:rFonts w:ascii="Microsoft YaHei" w:hAnsi="Microsoft YaHei" w:eastAsia="Microsoft YaHei"/>
          <w:b/>
          <w:sz w:val="21"/>
        </w:rPr>
        <w:t>触发</w:t>
      </w:r>
      <w:r>
        <w:rPr>
          <w:rFonts w:ascii="Microsoft YaHei" w:hAnsi="Microsoft YaHei" w:eastAsia="Microsoft YaHei"/>
          <w:b w:val="0"/>
          <w:sz w:val="21"/>
        </w:rPr>
        <w:t>:夜间窗口先做零成本体检,布局质量较上次重排后基准劣化 &gt;3%(THETA_DRIFT)才开工,</w:t>
      </w:r>
    </w:p>
    <w:p>
      <w:r>
        <w:rPr>
          <w:rFonts w:ascii="Microsoft YaHei" w:hAnsi="Microsoft YaHei" w:eastAsia="Microsoft YaHei"/>
          <w:b w:val="0"/>
          <w:sz w:val="21"/>
        </w:rPr>
        <w:t>否则整夜休息;②</w:t>
      </w:r>
      <w:r>
        <w:rPr>
          <w:rFonts w:ascii="Microsoft YaHei" w:hAnsi="Microsoft YaHei" w:eastAsia="Microsoft YaHei"/>
          <w:b/>
          <w:sz w:val="21"/>
        </w:rPr>
        <w:t>单步放行</w:t>
      </w:r>
      <w:r>
        <w:rPr>
          <w:rFonts w:ascii="Microsoft YaHei" w:hAnsi="Microsoft YaHei" w:eastAsia="Microsoft YaHei"/>
          <w:b w:val="0"/>
          <w:sz w:val="21"/>
        </w:rPr>
        <w:t>:预期收益 &gt;1.2×搬运成本(margin 兜住错误/损坏风险等未计价项);</w:t>
      </w:r>
    </w:p>
    <w:p>
      <w:r>
        <w:rPr>
          <w:rFonts w:ascii="Microsoft YaHei" w:hAnsi="Microsoft YaHei" w:eastAsia="Microsoft YaHei"/>
          <w:b w:val="0"/>
          <w:sz w:val="21"/>
        </w:rPr>
        <w:t>③</w:t>
      </w:r>
      <w:r>
        <w:rPr>
          <w:rFonts w:ascii="Microsoft YaHei" w:hAnsi="Microsoft YaHei" w:eastAsia="Microsoft YaHei"/>
          <w:b/>
          <w:sz w:val="21"/>
        </w:rPr>
        <w:t>停止</w:t>
      </w:r>
      <w:r>
        <w:rPr>
          <w:rFonts w:ascii="Microsoft YaHei" w:hAnsi="Microsoft YaHei" w:eastAsia="Microsoft YaHei"/>
          <w:b w:val="0"/>
          <w:sz w:val="21"/>
        </w:rPr>
        <w:t>:夜班预算 20 次或无合格候选。搬运的额外损耗按</w:t>
      </w:r>
      <w:r>
        <w:rPr>
          <w:rFonts w:ascii="Microsoft YaHei" w:hAnsi="Microsoft YaHei" w:eastAsia="Microsoft YaHei"/>
          <w:b/>
          <w:sz w:val="21"/>
        </w:rPr>
        <w:t>时间+路径(磨损 C5)双币种</w:t>
      </w:r>
      <w:r>
        <w:rPr>
          <w:rFonts w:ascii="Microsoft YaHei" w:hAnsi="Microsoft YaHei" w:eastAsia="Microsoft YaHei"/>
          <w:b w:val="0"/>
          <w:sz w:val="21"/>
        </w:rPr>
        <w:t>记账。</w:t>
      </w:r>
    </w:p>
    <w:p>
      <w:r>
        <w:rPr>
          <w:rFonts w:ascii="Microsoft YaHei" w:hAnsi="Microsoft YaHei" w:eastAsia="Microsoft YaHei"/>
          <w:b w:val="0"/>
          <w:sz w:val="21"/>
        </w:rPr>
        <w:t>实测两种节奏:高周转口径(day=100)每夜漂移都真超 3%→触发式=每夜必排(证明"每夜"不是</w:t>
      </w:r>
    </w:p>
    <w:p>
      <w:r>
        <w:rPr>
          <w:rFonts w:ascii="Microsoft YaHei" w:hAnsi="Microsoft YaHei" w:eastAsia="Microsoft YaHei"/>
          <w:b w:val="0"/>
          <w:sz w:val="21"/>
        </w:rPr>
        <w:t>拍脑袋而是被判据确认);低漂移节奏(day=50,11 夜)触发式自动休息 2-3 夜、质量与每夜必排</w:t>
      </w:r>
    </w:p>
    <w:p>
      <w:r>
        <w:rPr>
          <w:rFonts w:ascii="Microsoft YaHei" w:hAnsi="Microsoft YaHei" w:eastAsia="Microsoft YaHei"/>
          <w:b w:val="0"/>
          <w:sz w:val="21"/>
        </w:rPr>
        <w:t>持平——标准会看菜下饭。批量整理师(AWRA-LS)的适用判据同理:名单已知(入库单/夜间补货)</w:t>
      </w:r>
    </w:p>
    <w:p>
      <w:r>
        <w:rPr>
          <w:rFonts w:ascii="Microsoft YaHei" w:hAnsi="Microsoft YaHei" w:eastAsia="Microsoft YaHei"/>
          <w:b w:val="0"/>
          <w:sz w:val="21"/>
        </w:rPr>
        <w:t>才用,逐件实时场景用在线评分,滞留等待不是我们的口径(在线模式零等待)。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 xml:space="preserve">(默认)与 </w:t>
      </w:r>
      <w:r>
        <w:rPr>
          <w:rFonts w:ascii="Consolas" w:hAnsi="Consolas" w:eastAsia="Microsoft YaHei"/>
          <w:b w:val="0"/>
          <w:color w:val="1A4D7C"/>
          <w:sz w:val="21"/>
        </w:rPr>
        <w:t>--day 50</w:t>
      </w:r>
      <w:r>
        <w:rPr>
          <w:rFonts w:ascii="Microsoft YaHei" w:hAnsi="Microsoft YaHei" w:eastAsia="Microsoft YaHei"/>
          <w:b w:val="0"/>
          <w:sz w:val="21"/>
        </w:rPr>
        <w:t>(看触发器休息)。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F17. L7 拟真度阶梯:三档同管线对比,结论方向不变、数字逐档更真(2026-07-05,realism.py)</w:t>
      </w:r>
    </w:p>
    <w:p>
      <w:r>
        <w:rPr>
          <w:rFonts w:ascii="Microsoft YaHei" w:hAnsi="Microsoft YaHei" w:eastAsia="Microsoft YaHei"/>
          <w:b w:val="0"/>
          <w:sz w:val="21"/>
        </w:rPr>
        <w:t>三档定义(用户 0705 拍板"分 3 档展示";参数=canonical G 节):</w:t>
      </w:r>
      <w:r>
        <w:rPr>
          <w:rFonts w:ascii="Microsoft YaHei" w:hAnsi="Microsoft YaHei" w:eastAsia="Microsoft YaHei"/>
          <w:b/>
          <w:sz w:val="21"/>
        </w:rPr>
        <w:t>档1 数据模型</w:t>
      </w:r>
      <w:r>
        <w:rPr>
          <w:rFonts w:ascii="Microsoft YaHei" w:hAnsi="Microsoft YaHei" w:eastAsia="Microsoft YaHei"/>
          <w:b w:val="0"/>
          <w:sz w:val="21"/>
        </w:rPr>
        <w:t>(匀速+固定权重+固定节拍+频次全知)/</w:t>
      </w:r>
      <w:r>
        <w:rPr>
          <w:rFonts w:ascii="Microsoft YaHei" w:hAnsi="Microsoft YaHei" w:eastAsia="Microsoft YaHei"/>
          <w:b/>
          <w:sz w:val="21"/>
        </w:rPr>
        <w:t>档2 主口径 H</w:t>
      </w:r>
      <w:r>
        <w:rPr>
          <w:rFonts w:ascii="Microsoft YaHei" w:hAnsi="Microsoft YaHei" w:eastAsia="Microsoft YaHei"/>
          <w:b w:val="0"/>
          <w:sz w:val="21"/>
        </w:rPr>
        <w:t>(梯形加减速+自适应权重)/</w:t>
      </w:r>
      <w:r>
        <w:rPr>
          <w:rFonts w:ascii="Microsoft YaHei" w:hAnsi="Microsoft YaHei" w:eastAsia="Microsoft YaHei"/>
          <w:b/>
          <w:sz w:val="21"/>
        </w:rPr>
        <w:t>档3 工业场景</w:t>
      </w:r>
      <w:r>
        <w:rPr>
          <w:rFonts w:ascii="Microsoft YaHei" w:hAnsi="Microsoft YaHei" w:eastAsia="Microsoft YaHei"/>
          <w:b w:val="0"/>
          <w:sz w:val="21"/>
        </w:rPr>
        <w:t>(档2 物理口径+泊松到达峰谷 ρ0.75/0.35+装卸 15s/次+频次估计噪声 σ0.3+故障注入 MTBF3000s/MTTR600s;G2-G4 为显式情景假设,非标定值)。三档共用同一管线(初始入库 120 件+100 周期混合流、同批货物同 seed),档1/档2 与 F8 逐位同源(复用 run_mixed)。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阶梯主结论:awra vs seq 出库均时降幅 档1 60.0% → 档2 52.9% → 档3 53.0%</w:t>
      </w:r>
      <w:r>
        <w:rPr>
          <w:rFonts w:ascii="Microsoft YaHei" w:hAnsi="Microsoft YaHei" w:eastAsia="Microsoft YaHei"/>
          <w:b w:val="0"/>
          <w:sz w:val="21"/>
        </w:rPr>
        <w:t>;策略排序三档保持、违规全 0——匀速口径高估优势约 7 个百分点,工业场景下优势稳定在 ~53%。"每加一层现实,优势变小但不消失"= R7 口径不变性主张的形状化呈现。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AWRA 对频次画像噪声稳健</w:t>
      </w:r>
      <w:r>
        <w:rPr>
          <w:rFonts w:ascii="Microsoft YaHei" w:hAnsi="Microsoft YaHei" w:eastAsia="Microsoft YaHei"/>
          <w:b w:val="0"/>
          <w:sz w:val="21"/>
        </w:rPr>
        <w:t>:σ=0.3(±35% 一倍标准差)下 awra 出库均时 9.31s 与档2 持平(score 9.57→9.39 略动)——Rank 是重量/频次/体积多因子排序+LS 兜底,单因子失真不塌;频次盲策略(seq/near)零影响,交叉验证实现正确。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排队视角放大布局价值(档3 专属)</w:t>
      </w:r>
      <w:r>
        <w:rPr>
          <w:rFonts w:ascii="Microsoft YaHei" w:hAnsi="Microsoft YaHei" w:eastAsia="Microsoft YaHei"/>
          <w:b w:val="0"/>
          <w:sz w:val="21"/>
        </w:rPr>
        <w:t>:响应时间 P95 awra 689s vs seq 971s(-29%)、P50 98s vs 144s——服务时间短→队列消化快,布局优化在高负载下缓解拥塞;这是工业客户"可用性"语言的直接回答。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装卸扫描(--handle 10/15/20s):响应排序三点全保持(awra P50 75/98/115s 始终最优),行程口径按定义免疫(共同常数)——G1 取 15s 不是脆弱点。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图:figs/fig16_拟真度阶梯.png;数据:out/realism_matrix.csv(含参数段)。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sim/realism.py</w:t>
      </w:r>
      <w:r>
        <w:rPr>
          <w:rFonts w:ascii="Microsoft YaHei" w:hAnsi="Microsoft YaHei" w:eastAsia="Microsoft YaHei"/>
          <w:b w:val="0"/>
          <w:sz w:val="21"/>
        </w:rPr>
        <w:t>(~2 分钟;--quick 30 周期自检;--handle N 扫描;独立脚本不进回归门)。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F16. T13 实跑:轻量 RL 学到"聪明就近",学不出 δ 预留(2026-07-05,rl_probe.py)</w:t>
      </w:r>
    </w:p>
    <w:p>
      <w:r>
        <w:rPr>
          <w:rFonts w:ascii="Microsoft YaHei" w:hAnsi="Microsoft YaHei" w:eastAsia="Microsoft YaHei"/>
          <w:b w:val="0"/>
          <w:sz w:val="21"/>
        </w:rPr>
        <w:t>线性策略梯度 REINFORCE(5 维特征,1200 回合×120 件,40 训练实例,训练/评测 seed 严格分离,</w:t>
      </w:r>
    </w:p>
    <w:p>
      <w:r>
        <w:rPr>
          <w:rFonts w:ascii="Microsoft YaHei" w:hAnsi="Microsoft YaHei" w:eastAsia="Microsoft YaHei"/>
          <w:b w:val="0"/>
          <w:sz w:val="21"/>
        </w:rPr>
        <w:t>对照口径):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评测 exp_t(3 seed)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随机起点(θ=0)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18.50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纯探索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RL 终点(贪心)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7.82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较随机提升 58%,违规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在线评分(手工标定)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7.23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+8.2%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AWRA-LS(批量上界)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+52%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RL 收敛在"距离+层高主导的聪明就近"(θ 主导维=纯距离/纯层高,略优于 near);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未自发发现 δ 预留结构</w:t>
      </w:r>
      <w:r>
        <w:rPr>
          <w:rFonts w:ascii="Microsoft YaHei" w:hAnsi="Microsoft YaHei" w:eastAsia="Microsoft YaHei"/>
          <w:b w:val="0"/>
          <w:sz w:val="21"/>
        </w:rPr>
        <w:t>:学得的方向与标定方向余弦仅 0.334——终局回报难以把</w:t>
      </w:r>
    </w:p>
    <w:p>
      <w:r>
        <w:rPr>
          <w:rFonts w:ascii="Microsoft YaHei" w:hAnsi="Microsoft YaHei" w:eastAsia="Microsoft YaHei"/>
          <w:b w:val="0"/>
          <w:sz w:val="21"/>
        </w:rPr>
        <w:t>"给未来热货留位"的功劳归因到单步决策(信用分配难),这是 δ 证据链(F2→F5→F15)的</w:t>
      </w:r>
    </w:p>
    <w:p>
      <w:r>
        <w:rPr>
          <w:rFonts w:ascii="Microsoft YaHei" w:hAnsi="Microsoft YaHei" w:eastAsia="Microsoft YaHei"/>
          <w:b/>
          <w:sz w:val="21"/>
        </w:rPr>
        <w:t>反向新证:前瞻性预留是设计出来的,不是白捡的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工程取舍定量化:同预算下免训练+可解释+可移植 PLC 的标定评分占优(自测数据),</w:t>
      </w:r>
    </w:p>
    <w:p>
      <w:r>
        <w:rPr>
          <w:rFonts w:ascii="Microsoft YaHei" w:hAnsi="Microsoft YaHei" w:eastAsia="Microsoft YaHei"/>
          <w:b w:val="0"/>
          <w:sz w:val="21"/>
        </w:rPr>
        <w:t>与 2025 文献"DRL 收益个位数+需长期数据"画像一致(情报§6⑤)——取舍章从"引文献"</w:t>
      </w:r>
    </w:p>
    <w:p>
      <w:r>
        <w:rPr>
          <w:rFonts w:ascii="Microsoft YaHei" w:hAnsi="Microsoft YaHei" w:eastAsia="Microsoft YaHei"/>
          <w:b w:val="0"/>
          <w:sz w:val="21"/>
        </w:rPr>
        <w:t>升级为"自己也跑了"。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图:figs/fig15_RL对照.png;数据:out/rl_probe.csv。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sim/rl_probe.py</w:t>
      </w:r>
      <w:r>
        <w:rPr>
          <w:rFonts w:ascii="Microsoft YaHei" w:hAnsi="Microsoft YaHei" w:eastAsia="Microsoft YaHei"/>
          <w:b w:val="0"/>
          <w:sz w:val="21"/>
        </w:rPr>
        <w:t>(~3 分钟,numpy 零额外依赖)。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