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17365D"/>
          <w:sz w:val="36"/>
        </w:rPr>
        <w:t>智储优控:基于 AI 算法与智能控制的立体仓储仓位优化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2026 ABB 杯智能技术创新大赛 · 赛道一 · 初赛验证报告(生成器草稿)</w:t>
      </w:r>
    </w:p>
    <w:p>
      <w:r>
        <w:rPr>
          <w:rFonts w:ascii="Microsoft YaHei" w:hAnsi="Microsoft YaHei" w:eastAsia="Microsoft YaHei"/>
          <w:b w:val="0"/>
          <w:color w:val="885500"/>
          <w:sz w:val="18"/>
        </w:rPr>
        <w:t>本文档由 sim/build_report.py 自动生成:全部数字来自 out/*.csv,全部图来自 sim/figs(每图有确定性复现命令)。改数据请改上游脚本后重新生成。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0"/>
        </w:rPr>
        <w:t>摘要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针对 20×20、400 仓位立体仓库的仓位分配问题,本文提出'在线多目标评分 + 批量 AWRA-LS'双层优化架构,并完成从数学模型、Python 仿真到 ABB AC500 PLC(ST)的全链实现与交叉验证。在梯形加减速运动模型与场景自适应权重(主口径 H)下,批量 AWRA-LS 的频次加权期望取货时间为 8.40±0.48 s,较题面顺序基线(22.12 s)降低 62.0%,提升能耗降低 67.3%,重货平均存放层 0.57 层,全部实验约束违规为 0。双命令周期混合作业下系统吞吐达 230 次/时,为基线的 1.75 倍。算法以扫描周期分片状态机移植到 AC500,45 项边界与一致性自测用例于 Automation Builder 仿真环境实测通过,Python 与 ST 双实现经同源测试向量交叉背书。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0"/>
        </w:rPr>
        <w:t>1 问题定义与建模口径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题面要求:400 仓位(20 列×20 层),底层承重系数 1.0、逐层递减 0.02;坐标能被 3 整除的仓位预设占用;货物具有序号、名称、重量、访问频次、体积五项属性;需综合考虑存取效率、空间利用率与设备损耗,并基于 AC500 PLC 实现。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行程时间与路径长度采用双口径并列:执行时间按切比雪夫模型(水平/垂直双电机同动,t=max(tx,ty),AS/RS 标准模型),路径长度按曼哈顿距离(损耗代理)。预占用规则'坐标值能被 3 整除'在题面存在多种解读,本文自始将其实现为可切换参数(x 且 y 整除/任一整除/线性编号/坐标和整除四种);向组委会询问后获官方口径——(x+y) 之和能被 3 整除,共 133 格、含 (0,0),呈对角条纹分布——当日一条命令切换主口径并全链重跑,全部数字与图表随之更新,历史口径保留为回归测试中的对照锁。该规则性稀疏预占格局在仓位分配文献中未见直接研究,本文 §4 给出其对各策略影响的量化属一手结果;最近位优先类策略在该格局下的系统性劣化与 Hassini &amp; Vickson(2007)关于最近开放位规则非均匀性的结论方向一致。全部假设集中登记于 canonical_assumptions.md,正文数字均标注口径。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本文全部指标口径集中定义如下(唯一出处为交付包 canonical_assumptions.md,正文引用一律标注口径号):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口径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名称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定义与用途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入库总时间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Σ双程时间(I/O→仓位→返回 I/O),对应题面'完成全部仓位存储总时间'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路径长度/行程时间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路径=曼哈顿距离(物理走线,损耗代理);时间=切比雪夫(双轴同动);两者并列呈现,不混用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期望取货时间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Σ(fᵢ×tᵢ)/Σfᵢ,按访问频次加权的单程时间——'高频放近处'的核心度量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能耗代理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Σ(wᵢ·g·hᵢ) 提升做功(kg·m 相对值),另含可选水平摩擦项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C4b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能耗物理换算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(提升 mgh+水平 μmgd)/η 换算 kWh 并年化;七项假设显式声明(§7)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设备损耗代理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堆垛机累计行走距离(曼哈顿累计,m)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货架稳定性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载荷重心高度 Σ(wᵢ·hᵢ)/Σwᵢ,越低越稳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空间利用率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已占仓位/400(含预占用);细口径为体积利用率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约束违规数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超限重/超容积/占用冲突计数,任何有效方案必须为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吞吐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存取作业次数/混合流总时间(次/时),对应题面'单位时间存取量'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双命令周期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联程 T=t(0→存)+t(存→取)+t(取→0);较两个单命令省一次空驶,节省量≥0 由三角不等式保证</w:t>
            </w:r>
          </w:p>
        </w:tc>
      </w:tr>
    </w:tbl>
    <w:p/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本文的物理与场景参数经系统调研溯源,自真实生产场景入手建立拟真模型:堆垛机厂商公开规格(7 组真实机型样本,含与本文货物量级对应的轻载单立柱档)、ABB 官方应用文档(堆垛机专项手册与起重机控制固件参数手册)、AS/RS 原始文献(行程时间模型开创性论文的原文假设)与中国现行行业标准名录(JB/T 7016-2017《巷道堆垛起重机》)——每个取值可回溯到公开出处或显式声明为情景假设,引用体系分三层列于附录 D。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0"/>
        </w:rPr>
        <w:t>2 双层优化架构:在线评分与批量 AWRA-LS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5"/>
        </w:rPr>
        <w:t>2.1 在线层:四项加权评分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在线层面向决赛交互场景:货物逐件到达,不预知未来,PLC 在一个扫描周期内完成 400 仓位全扫描评分并给出推荐位。评分函数为四项加权:效率项(频次×行程时间)、稳定项(重量×层高)、能耗项(提升做功)与位置价值预留项 δ(冷门货占近位受罚)。前三项为当前货物找好位置,δ 为未来货物留位置——它是四项中唯一带前瞻性的一项,也是本文投入验证最重的一项,其完整证据链见 §2.3。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5"/>
        </w:rPr>
        <w:t>2.2 批量层:AWRA-LS 与 gap 分析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批量层 AWRA-LS(Rank→Assign→Local Search)在全部货物已知时给出优化上界:先按频次/重量/体积加权优先级排序,再按同一评分函数逐件分配,最后以重定位与成对交换两类邻域做局部搜索。批量层较在线评分再降 22.7%,该差距即'信息完备程度'的价值,连接两层的 gap 分析构成报告主线:在线层回答'现在能做到多好',批量层回答'信息拉满还能好多少',两者之差给重排机制(§4.3)定价。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34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策略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3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1  五策略主指标对比(复现:python warehouse_sim.py)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19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占用热力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19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2  典型布局占用热力图(热货聚 I/O 角)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5"/>
        </w:rPr>
        <w:t>2.3 位置价值预留项 δ:一条自我修正的证据链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δ 的机理是给稀缺资源定价:近位有限,冷门货占据一格,热门货就少一格。围绕这一项,本文积累了五步相互独立的证据;其中最后一步修正了此前的解读。链条按发生顺序如实呈现,包括被修正的部分。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第一步,存在性(F2):δ=0 时,在线评分的占位集合与最近开放位规则(closest open location)完全重合——删掉 δ,多目标评分便退化为换了写法的最近位规则。§4.4 的参数化扫描复现同一现象并给出形状:δ=0 处在线评分期望取货 11.53 s(悬崖),δ∈[0.10,0.30] 内稳定于 11.15–11.93 s(平台)。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第二步,稳健性(F15):平台的存在说明取 δ=0.15 不是脆弱甜点,0.10–0.30 内结论不动。第三步,密度弹性(F13):18 场景网格标定显示在线 δ 的最优值随填充密度上升(约 0.1 升至 0.2)——仓位越稀缺,预留越值钱,机制解释获得第三条独立证据;批量模式下 δ 恒小,因为 Rank 阶段的全局排序替代了预留功能。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第四步,反向探测(F16):以轻量策略梯度 RL 为对照,同预算训练后 RL 收敛于'距离与层高主导'的策略(评测期望取货 9.66 s,较随机起点 19.19 s 提升过半,但距手工标定评分 9.09 s 仍差 6.3%),且学得方向与标定方向的余弦仅 0.36——RL 没有自发发现 δ 结构。当时的解读是:终局回报难以把'为未来留位'的功劳归因到单步决策(信用分配难),前瞻性预留是设计出来的。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第五步,边界与修正(F21):全生命周期实验(200 周期循环访问+汰换+夜间重排,30 seeds CRN 配对)给出更完整的图景——45% 填充下 δ 是净亏的:出库响应配对差 +0.93 s(汰换 10%)至 +1.55 s(汰换 33%),p&lt;0.001,近位不紧缺时预留没有对象,只剩把冷门货推远的日常代价;90% 高压下 δ 的价值兑现在'放得进'维度:回库失败 128 对 172 次(少 26%),效率指标持平。δ 由此重新定位:它是高压场景的可行性保险,不是全场景的效率工具,场景检测器据此仅在高密度档启用 δ。这一步同时修正了第四步的解读:RL 训练发生在低压场景,该场景下 δ 本身净亏,'不学'是正确判断——把它归因于信用分配难度属于过度解读。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这条链的价值不在每步都支持最初设计,而在每步都改变了对这一项的认识:从'δ 是核心创新'到'δ 是有明确适用边界的可行性保险'。主动划定自家创新点的边界,本文视为方法论的一部分。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5"/>
        </w:rPr>
        <w:t>2.4 场景自适应权重:从标定到 PLC 落地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四项权重不是一组拍定的常数,而是按场景查表:18 场景(密度×货物分布×模式)×15 权重组合网格标定生成策略表,查表较固定默认权重平均增益 3.51%、峰值 7.27%(同分布内标定口径,泛化经留出 seed 验证为全正增益)。标定同时暴露三条规律:在线 δ 随密度升(§2.3 第三步)、批量 δ 恒小、β 与 γ 只认其和(§4.4 敏感性视角复验)。策略表三处同源落地:Python 查表函数、本报告附表、PLC 侧生成文件(场景在线判档即查表切换)——'自适应'从名字变成机制。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5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自适应权重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12  场景自适应权重与固定权重对照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0"/>
        </w:rPr>
        <w:t>3 物理与作业真实度:梯形速度与双命令周期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运动模型自匀速升级为梯形加减速(可退化,三角/梯形自动判别),消除'瞬间达到峰值速度'的失真;匀速口径保留为对照,支撑与文献的可比性。作业模型自'一次性入库'扩展为存取混合流:双命令周期(存+取联程)较两个单命令周期节省联程空驶,实测节省 29.1%。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1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运动模型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1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7  匀速与梯形加减速口径对比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5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混合作业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8  混合作业流吞吐与双命令节省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0"/>
        </w:rPr>
        <w:t>4 实验与验证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5"/>
        </w:rPr>
        <w:t>4.1 主对比(H 口径)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策略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期望取货时间 s(C3)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能耗 kg·m(C4)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重货均层(前20%)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违规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随机基线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22.53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44,690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6.44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顺序基线(题面)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22.12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43,875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5.41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最近开放位规则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11.92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20,462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4.16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在线评分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10.87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20,151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4.09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AWRA-LS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8.40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14,345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0.57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</w:tbl>
    <w:p/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读表要点:期望取货时间(C3)按访问频次加权,直接度量'高频货是否放在近处';重货均层统计最重前 20% 货物的平均存放层,AWRA-LS 将其压至 0.57 层——重货几乎全部贴地,这既是货架稳定性(C6)的来源,也在 §4.3 的承重退化实验中转化为超载 0 件的裕量;违规列(C8)为超限重/超容积/占用冲突的硬约束计数,表中全部为 0 表示每个方案在全部 5 个随机种子下均严格可行。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对照口径(匀速+固定权重,文献可比)下 AWRA-LS 为 6.44 s,较顺序基线降低 68.2%;主口径与对照口径结论方向一致,仅绝对数因物理模型不同而平移。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630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时间能耗定位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4  时间—能耗二维定位:五策略帕累托位置一览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5"/>
        </w:rPr>
        <w:t>4.2 理论对比与优化上界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理论—仿真—实现三级证据链(匀速对照口径,便于与解析式直接对照):随机存储期望行程的离散精确解析值与随机策略多 seed 仿真均值偏差在 1σ 内,Bozer-White 连续货架近似与离散精确值互证,证明仿真器实现正确。距最优的夹逼:频次感知松弛下界 5.54 s ≤ NSGA-II 可达解 5.94 s ≤ AWRA-LS 6.53 s,即 AWRA-LS 距松弛下界 17.8%、距已证可达的最优解不超过 9.9%。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该夹逼的工程含义在于:任何更强的优化器至多把可达点推向下界 5.54 s,而 AWRA-LS 与绝对下界的差距已被数学夹紧在 17.8% 以内——继续投入元启发式调参不再改变工程结论,开发预算据此转向鲁棒性验证与 PLC 落地。裸 NSGA-II(随机初始化跑满 200 代)被 AWRA-LS 单点整体支配、以启发式解播种后局部搜索零改进的完整过程见图 6,它同时回答了'为什么不以进化算法为主线'。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941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理论对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4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9  解析下界—仿真—实现三级证据链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178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areto前沿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6  NSGA-II Pareto 前沿对照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5"/>
        </w:rPr>
        <w:t>4.3 鲁棒性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鲁棒性验证由压力矩阵(3 seeds)完成,覆盖三类扰动:S1 需求漂移(货物访问频次画像整体失效)、S2 重货潮(重量分布向 50–80 kg 集中后重新布局)、S3 承重退化(低层承重能力下降 20%,模拟货架老化——把题面'设备损耗'从统计指标升级为扰动源);另设紧库存场景(预占用取'或'解读,231 格被占)检验仓位稀缺下的分配成功率。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策略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S1 漂移退化 %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S1 夜排恢复后 s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S2 重货潮均层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S3 超载件数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S3 修复行车 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顺序基线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14.32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4.39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最近开放位规则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7.54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4.49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在线评分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10.7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7.73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4.49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3.67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AWRA-LS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49.0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7.54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0.65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</w:tbl>
    <w:p/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S1 列如实呈现了一个不利数字:AWRA-LS 的漂移退化(49.0%)是全部策略中最大的——布局对频次画像优化得越深,画像失效时失去越多,这是优化系统的普遍规律而非实现缺陷。工程答案是互补机制:配合夜间重排后恢复至 7.54 s,仍处最优档。在线策略决定稳态水平,重排机制决定扰动后的恢复速度,二者共同构成完整方案。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S3 承重退化下,AWRA-LS 布局超载 0 件(重货压底带来天然承重裕量),最近开放位规则与在线评分各约 5 件、需 193 s 量级的修复行车。紧库存场景(3 seeds)进一步暴露短视规则的结构性短板:最近开放位规则平均失败 5.33 件(把稀缺的低层近位先喂给轻货,后到重货无可行位),AWRA-LS 失败 0 件——Rank 阶段的重量优先级使重货先占底层,天然免疫。全矩阵约束违规为 0。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周期性重排作为运行期自愈机制,其价值是'自愈'而非'提效'(F11:稳态净增量不足 0.5%,如实报告;真实价值在漂移事件后的恢复速度与在线策略失能时的兜底)。重排何时执行采用三级动态判据:夜间窗口先做零成本体检(布局质量较上次重排后基准劣化超过阈值才开工),单步动作以'预期收益大于 1.2 倍搬运成本'放行(裕度覆盖损坏风险等未计价项),并受夜班搬运预算约束;搬运的额外损耗按时间与路径(磨损)双币种记账。高周转负载下判据每夜均触发(证明每夜重排是被判据确认而非假设),低漂移节奏下自动跳过部分夜晚且质量不损(F11 增补)。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512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分布鲁棒性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5  货物分布切换下的策略稳定性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169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鲁棒压力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13  鲁棒性压力矩阵三面板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766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重排闭环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7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11  周期重排闭环:漂移与自愈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5"/>
        </w:rPr>
        <w:t>4.4 参数敏感性(D5)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单因素扰动显示:δ 在 0.10–0.30 区间为平台、为 0 时退化(悬崖);β 与 γ 仅其和起作用,和值扫描五倍范围结论不变(F5 冗余性的敏感性视角);加减速参数整体缩放 0.5×–2×,AWRA-LS 较最近开放位规则的降幅稳定于 27.2%~30.8%,结论不依赖具体物理参数取值。全部扰动实验违规为 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lta标定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3  δ 扫描:悬崖(δ=0 退化)与平台(0.10–0.30)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96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参数敏感性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9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14  参数敏感性三联图(复现:python sensitivity.py)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5"/>
        </w:rPr>
        <w:t>4.5 拟真度阶梯:三档同管线验证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为回答'模型贴合实际到什么程度',本文把拟真度显式分为三档,并在同一管线(同批货物、同一混合作业流)下并排运行:档 1 数据模型(匀速+固定权重,文献可比);档 2 工程主口径(梯形加减速+自适应权重,即口径 H);档 3 工业场景——在档 2 之上叠加泊松到达峰谷、货叉装卸时间、访问频次估计噪声与设备故障注入。档 3 的情景参数全部显式声明(canonical G 节):装卸时间由厂商公开货叉速度推导并经 10/15/20 s 三点扫描验证排序不敏感,到达强度、噪声水平与故障画像声明为情景假设而非标定值。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拟真档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AWRA-LS 出库均时 s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基线出库均时 s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降幅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响应 P95 s(档3)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档 1 数据模型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8.74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17.46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49.9%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档 2 主口径 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10.94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19.42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43.7%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档 3 工业场景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10.74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19.42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44.7%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680</w:t>
            </w:r>
          </w:p>
        </w:tc>
      </w:tr>
    </w:tbl>
    <w:p/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结果呈阶梯状:AWRA-LS 较题面基线的出库均时降幅从档 1 的 49.9% 到档 2 的 43.7%、档 3 的 44.7%——匀速口径系统性高估优化收益约 7 个百分点,而在最接近真实运营的档 3 下优势保持稳定;三档中策略排序不变、约束违规为 0。档 3 的排队视角进一步拉大布局差距:任务响应时间 P95 自基线布局的 918 s 降至 680 s(P50 自 135 s 至 105 s)——服务时间越短队列消化越快,仓位优化在高负载时段直接改善系统响应与可用性。访问频次估计噪声(对数正态 σ=0.3)下 AWRA-LS 布局质量几乎不变:Rank 阶段是重量/频次/体积多因子排序且局部搜索兜底,单一画像失真不致坍塌——'访问频次从哪来、不准怎么办'在该档得到定量回答。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641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拟真度阶梯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6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16  拟真度阶梯:三档布局质量与档 3 响应分位(复现:python sim/realism.py)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该阶梯与附录 C 口径矩阵共同构成本文的测量框架主张:主结论方向在全部拟真档与口径组合下一致,数字随拟真度提高而更保守、更接近可交付的工程承诺。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0"/>
        </w:rPr>
        <w:t>5 基于 ABB AC500 的 PLC 实现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实现遵循三层结构:FC 纯函数(承重系数/可行性/行程时间/评分)、FB 状态机(初始化/在线选位/批量分配/局部搜索/统计/动画/负载探针)、PRG 主状态机(复位→初始化→交互输入→批量分配→局部搜索→统计→完成)。核心工程手段是扫描周期感知分片:批量分配每周期处理 nBatchPerCycle 件、局部搜索每周期评估 nPairsPerCycle 对,优化算法以非阻塞状态机运行于 10 ms 实时任务而不触发看门狗。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边界判断成体系:越界、负输入、超重、超容、预占用(含官方口径格数断言)、满仓、无可行位报警、单件查询与记录翻页边界、载货折减与装卸三档等 45 项自测用例(含与 Python 的一致性向量)在 Automation Builder 2.9 仿真环境经无头自动化管线实测全部通过(iPassed=45、iFailed=0、编译 0 错误;用例数由 ST 源码 N_CASES 常量注入本报告,随开发递增)。字符串状态码全部 ASCII 化以规避编码告警,可视化画面以静态中文标签对照解释。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扫描负载实测采用任务级口径。方法学结论先行:PC 仿真环境的三种周期内时钟源(IEC LTIME 差分、任务监视页统计、SysTime 库纳秒计数)经逐一实测均无法给出非零的周期内耗时(时间服务按扫描周期缓存/粒度粗于周期),故周期内微秒值在仿真环境不可测——如实记录,不作推断。可测且更硬的指标是**任务完成所需扫描周期数**:它由分片算法逻辑决定,与时钟实现无关,仿真与真机同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组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nBatchPerCycle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nPairsPerCycle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完成周期数(实测)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真机预估 s(×10ms 标称周期)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2,000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1.30</w:t>
            </w:r>
          </w:p>
        </w:tc>
      </w:tr>
    </w:tbl>
    <w:p/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读表:nBatchPerCycle=1 时分配段被显著拉长(逐件一周期),提高到 5 以上后瓶颈转移到状态机固定开销,完成周期数稳定;nPairsPerCycle 在 20 件演示批下不敏感——两两交换仅 190 对,单周期分片即可吃完(该参数在满仓 400 件场景才成为主变量,Python 侧同源逻辑可给理论周期数)。全部四组均正常完成(DONE_OK),看门狗零触发;数据由无头自动化管线在线实测(tools/ab_scripting,探针周期计数器口径,与仿真同 seed 演示批)。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0"/>
        </w:rPr>
        <w:t>6 双实现交叉验证:轻量数字孪生方法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Python 仿真器与 ST 实现共享同一套算法定义与场景参数,构成'模型—控制器'的轻量数字孪生:仿真侧负责实验探索与统计,大批量场景快速迭代;PLC 侧负责实时执行。两侧通过自动生成的测试向量对齐——评分函数逐项、行程时间(含加减速)、双命令周期在双端以1e-3 容差比对,演示批次与仿真同 seed 同源,验证报告中的数字与 PLC 演示互相背书。任何一侧的口径变更都会使一致性用例失败,这一护栏在开发期即拦截过实现分歧。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0"/>
        </w:rPr>
        <w:t>7 绿色工程换算:能耗的年化账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能耗代理(Σ重量×提升高度)换算为电能与年化成本,全部假设显式声明(电机传动效率 η=0.85、水平阻力系数 μ=0.05、载货台自重 kg=150.0、日存取次数=500、年工作日=300、电价 元/kWh=0.8、排放因子 kgCO2/kWh=0.581、eta_regen_outlook=0.4);下降势能不回收、效率取保守值,换算偏保守。在该假设下,AWRA-LS 布局较题面基线年节省用电约 266 kWh(降 49%),电费与碳排放折算见图 10。该结论与主办方'通过算法优化降低系统能耗'的绿色工程导向一致(王余,2026 年开赛致辞)。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展望口径(不计入头条):若配置再生制动(ABB 传动方案,回收效率按声明假设 0.4),AWRA-LS 年回收 77 kWh、净耗电降至 202 kWh。如实指出:再生对存放位置更高的基线布局回收更多,两布局的节省差距在该口径下收窄至 168 kWh/年,但结论方向不变——这正是本文多口径方法(附录 C)的意义:口径切换只平移数字,不翻转结论。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438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绿色换算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10  绿色工程年化换算(假设显式声明)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0"/>
        </w:rPr>
        <w:t>8 创新点与工程取舍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创新点</w:t>
            </w:r>
          </w:p>
        </w:tc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证据位置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位置价值预留项 δ 及其自我修正证据链(存在性→稳健→密度弹性→RL 反向探测→生命周期边界)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§2.3/§4.4,F2→F5/F13→F15→F16→F21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场景自适应权重查表(多 seed 标定+留出集验证+PLC 同源落地)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§2,fig12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扫描周期分片:优化算法非阻塞运行于 10ms 实时任务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§5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双实现同源+一致性向量的轻量数字孪生验证方法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§6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周期重排自愈闭环与其成本经济学(负结果如实呈现)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§4.3,F11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参数溯源体系:四层防御(厂商样本/标准名录/敏感性覆盖/官方确认)+负面出处清单+三档拟真验证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§1/§4.5/附录 C-D</w:t>
            </w:r>
          </w:p>
        </w:tc>
      </w:tr>
    </w:tbl>
    <w:p/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工程取舍(考虑过且不采用,均给出依据):A* 路径规划——双轴同动且巷道无障碍时切比雪夫直达即物理最优,A* 适用于把网格当作平面移动机器人地图的另一种建模;强化学习——除引用 2025 年文献(DRL 需长周期数据、收益为个位数百分比)外,本文实跑了轻量策略梯度对照(线性 softmax,1200 回合,训练/评测种子分离):RL 自随机(19.19 s)学至 9.66 s、约束违规 0,但收敛于'距离与层高主导的近似就近'策略,仍落后手工标定评分(9.09 s)6.3%,且未能自发形成 δ 位置价值预留结构(学得方向与标定方向余弦 0.36)——前瞻性资源预留属于长程信用分配,难以从终局回报中习得,这从反面佐证了 δ 项的设计价值;查表化执行——400 仓位在线评分本身即微秒级,查表反而丢失解释链。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9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RL对照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404040"/>
          <w:sz w:val="18"/>
        </w:rPr>
        <w:t>图 15  轻量强化学习实跑对照:学习曲线与终局对比(复现:python sim/rl_probe.py)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0"/>
        </w:rPr>
        <w:t>9 结论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本文完成了从多目标建模、双层算法、物理与作业真实度升级,到 AC500 落地与双实现交叉验证的完整链条。主口径下期望取货时间较题面基线降低 62.0%、能耗降低 67.3%、吞吐提升至 1.75 倍,全部实验约束违规为 0;45 项 PLC 自测用例在 AB 仿真实测通过。主结论方向在三档拟真度(数据模型/工程主口径/工业场景,§4.5)与九维口径矩阵(附录 C)下保持一致。方案的每一个数字都可由交付包内脚本一键复现。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0"/>
        </w:rPr>
        <w:t>附录 A  评委 5 分钟复现指引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① python sim/run_all.py:回归测试+主对比+一致性向量+头条数字+文档自检,全绿约 1-2 分钟;② 打开 plc/AB_Project/ABB_WH.project,仿真登录,PRG_Test.xRunTests:=TRUE,期望 iPassed=45;③ 可视化演示按演示脚本操作(交付包操作卡)。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0"/>
        </w:rPr>
        <w:t>附录 B  评语六要素自查映射(2025 同构赛道一等奖评语)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评语要素</w:t>
            </w:r>
          </w:p>
        </w:tc>
        <w:tc>
          <w:tcPr>
            <w:tcW w:type="dxa" w:w="432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对应章节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算法模型准确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§1/§2/§4.2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可运行验证仿真结果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附录 A/§4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一定创新性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§8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报告思路逻辑清晰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全文递进结构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功能块封装合理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§5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注释标注清晰易懂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 源码(交付包)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0"/>
        </w:rPr>
        <w:t>附录 C  口径矩阵:一套系统,九把尺子(多口径并列验证方法)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本文每个建模选择都被显式识别为'口径',参数化并保留切换开关;凡有争议或依赖情境的维度,主/对照两个口径并列呈现。这既是测量严谨性的保证,也使核心主张可以升级为口径不变性:主结论(AWRA-LS 优于各基线、约束违规为 0)在下表全部口径组合下方向一致,口径切换只平移数字量级(§4.4 敏感性、§3 运动模型对照、§7 再生展望为其证据)。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主口径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对照/备选口径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切换开关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口径号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运动模型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梯形加减速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匀速(文献可比)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--accel / xUseAccel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A4b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评分权重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场景自适应查表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固定 1.0/0.6/0.4/0.15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--adaptive / 策略表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行程度量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切比雪夫时间(耗时)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曼哈顿长度(磨损)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并列输出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时间程数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双程总时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单程期望取货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并列输出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C1/C3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预占用解读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(x+y)整除·官方口径(133格)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且/或/线性(49/231/134格)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--rule / iPreRule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作业流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循环访问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一次性流转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工作负载参数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B6/B7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轴联动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双轴同动(切比雪夫)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顺序单轴(保守)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xSimultaneousXY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A5/A9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能耗回收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不回收(保守)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再生制动展望(η 假设)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energy_report 展望行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C4b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负载实测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AB 仿真监视值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真机(决赛阶段)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拟真度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档 2 工程主口径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档 1 数据模型 / 档 3 工业场景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realism.py 三档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</w:t>
            </w:r>
          </w:p>
        </w:tc>
      </w:tr>
    </w:tbl>
    <w:p/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工业上同类做法并不陌生:汽车油耗有 WLTP 与 EPA 两套循环工况,财务报告有会计准则口径与管理层口径——严肃的工程数字从来都需要声明测量框架。本文把这一实践系统化为口径矩阵,并以回归测试锁定主口径数字(动口径=测试红灯)。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0"/>
        </w:rPr>
        <w:t>附录 D  参考文献与文档溯源(三层引用体系,仅列实际参考项)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D.1 学术文献(理论假设的原文锚)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Bozer, Y.A. &amp; White, J.A. (1984). Travel-Time Models for Automated Storage/Retrieval Systems. IIE Transactions 16(4), 329-338. DOI 10.1080/07408178408975252——双轴同动与 T=max(th,tv) 假设、单/双命令周期定义的原始出处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Roodbergen, K.J. &amp; Vis, I.F.A. (2009). A survey of literature on automated storage and retrieval systems. EJOR 194(2), 343-362——双命令调度=Chebyshev TSP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AS/RS 行程时间模型与控制策略综述(Automated Storage and Retrieval Systems: A Review on Travel Time Models and Control Policies)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考虑订单完成时间与能耗的 AS/RS 启发式(Mathematical Biosciences and Engineering, 2024)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PLC Implementation of a Genetic Algorithm for Controller Optimization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Deep reinforcement learning for the real-time inventory rack storage assignment and replenishment problem(EJOR, 2025)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Dynamic Storage Location Assignment in Warehouses Using Deep Reinforcement Learning(Technologies, 2022;DRL 较 ABC 分类降本 6.3% 案例)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D.2 ABB / 贝加莱官方文档(工程参数与产品能力锚)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ABB. ACS880 Stacker crane operation brochure(堆垛机专项). 3AXD50000736843 Rev B, 2023-11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ABB. ACS880 Crane control program firmware manual. 3AUA0000132682——参数 23.12/23.13(加减速时间)、23.16 Shape time(0=线性斜坡/&gt;0=S 曲线)、组 77 防摇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ABB. AC500-S Smart Safety for Material Handling(e-book). 3ADR011134, 2022-08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ABB Stacker Cranes 应用页(AC500 列为堆垛机推荐控制器)与再生驱动案例:废料天车 32%(News #4532,现场实测)、Pesmel 堆垛机回馈 54%(News #123993)——案例级引用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B&amp;R. Technology Guard: CNC Jerk Limitation(1TGMPCNCJERK)——jerk 受限时加速度呈梯形/三角、速度呈 S 形的官方定义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2026 ABB 杯智能技术创新大赛官方赛题页与开赛新闻(ABB 中国)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1"/>
        </w:rPr>
        <w:t>D.3 行业标准名录(周期时间计算的标准框架对应)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JB/T 7016-2017《巷道堆垛起重机》(取代 JB/T 7016-1993 与 JB/T 2960-1999,中国现行)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FEM 9.851 Performance Data of Storage and Retrieval Machines: Cycle Times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19"/>
        </w:rPr>
        <w:t>· VDI 3561 单巷道堆垛机周期时间(Blatt 2:2019 为多巷道扩展版)</w:t>
      </w:r>
    </w:p>
    <w:p>
      <w:r>
        <w:rPr>
          <w:rFonts w:ascii="Microsoft YaHei" w:hAnsi="Microsoft YaHei" w:eastAsia="Microsoft YaHei"/>
          <w:b w:val="0"/>
          <w:color w:val="885500"/>
          <w:sz w:val="18"/>
        </w:rPr>
        <w:t>引用纪律:标准仅引名录与沿革(正文条款在付费墙内,未见原文不引数值);ABB 案例数字注明'案例实测'性质;负面出处清单(不得引用的营销数字)另存交付包。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