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</w:t>
      </w:r>
      <w:r>
        <w:rPr>
          <w:rFonts w:ascii="Microsoft YaHei" w:hAnsi="Microsoft YaHei" w:eastAsia="Microsoft YaHei"/>
          <w:b w:val="0"/>
          <w:sz w:val="21"/>
        </w:rPr>
        <w:t>(~5s;</w:t>
      </w:r>
      <w:r>
        <w:rPr>
          <w:rFonts w:ascii="Consolas" w:hAnsi="Consolas" w:eastAsia="Microsoft YaHei"/>
          <w:b w:val="0"/>
          <w:color w:val="1A4D7C"/>
          <w:sz w:val="21"/>
        </w:rPr>
        <w:t>--accel</w:t>
      </w:r>
      <w:r>
        <w:rPr>
          <w:rFonts w:ascii="Microsoft YaHei" w:hAnsi="Microsoft YaHei" w:eastAsia="Microsoft YaHei"/>
          <w:b w:val="0"/>
          <w:sz w:val="21"/>
        </w:rPr>
        <w:t xml:space="preserve"> 切 L1 口径,</w:t>
      </w:r>
      <w:r>
        <w:rPr>
          <w:rFonts w:ascii="Consolas" w:hAnsi="Consolas" w:eastAsia="Microsoft YaHei"/>
          <w:b w:val="0"/>
          <w:color w:val="1A4D7C"/>
          <w:sz w:val="21"/>
        </w:rPr>
        <w:t>--cycles</w:t>
      </w:r>
      <w:r>
        <w:rPr>
          <w:rFonts w:ascii="Microsoft YaHei" w:hAnsi="Microsoft YaHei" w:eastAsia="Microsoft YaHei"/>
          <w:b w:val="0"/>
          <w:sz w:val="21"/>
        </w:rPr>
        <w:t xml:space="preserve"> 调周期数)。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≤8.7%</w:t>
      </w:r>
      <w:r>
        <w:rPr>
          <w:rFonts w:ascii="Microsoft YaHei" w:hAnsi="Microsoft YaHei" w:eastAsia="Microsoft YaHei"/>
          <w:b w:val="0"/>
          <w:sz w:val="21"/>
        </w:rPr>
        <w:t>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</w:t>
      </w:r>
      <w:r>
        <w:rPr>
          <w:rFonts w:ascii="Microsoft YaHei" w:hAnsi="Microsoft YaHei" w:eastAsia="Microsoft YaHei"/>
          <w:b w:val="0"/>
          <w:sz w:val="21"/>
        </w:rPr>
        <w:t>(~5s)。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口径版待 W2 重跑(mixed_ops/energy_report 加 --accel --adaptive 即可,已支持 --accel)。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