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8.8%(F9,0705订正),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DRL 小型对照(可选,预期平/负结果也有价值)【T13,W2 末视进度】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8.8%);无论结果如何都如实写——正结果=多一个点,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定,技术底盘提前完工后的再分配)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答辩人培养体系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演讲10%+决赛问答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学习路线图(兑现§6承诺)+每周一课(算法→口径→PLC→演示)+QA卡配零基础版答案+8月两轮模拟答辩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R4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真机数据尝试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AC500 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用户跑腿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经靖峰(贝加莱,ABB集团)或学校实验室问一台实体 AC500,真机补 L4 一行;成=铁证,不成零损失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转正(参数敏感性,1天);T13 降级为</w:t>
            </w:r>
            <w:r>
              <w:rPr>
                <w:rFonts w:ascii="Microsoft YaHei" w:hAnsi="Microsoft YaHei" w:eastAsia="Microsoft YaHei"/>
                <w:b/>
                <w:sz w:val="19"/>
              </w:rPr>
              <w:t>文献对照小节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(用情报§6⑤的 2025 DRL 文献:文献级 ~6% 收益+需长期数据 vs 我们零训练 gap 19.3%),不实跑省 3-4 天,8月初仍富余再实跑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B/C)+R1 骨架与样章+R6 设计进搭建卡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 v1+T9 生成器骨架+报告 1-3 章+R5+用户课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报告全章初稿+T15+图表精修+用户课 2+R4 出结论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v2(去AI味+六要素自查)+PPT+演讲稿+录屏 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成片;台词稿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红队+QA 卡+模拟答辩×2+R3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