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Architecture &amp; contracts</w:t>
      </w:r>
    </w:p>
    <w:p>
      <w:pPr/>
      <w:r>
        <w:t xml:space="preserve">Oct 18, 2026</w:t>
      </w:r>
      <w:r>
        <w:t xml:space="preserve"> · </w:t>
      </w:r>
      <w:r>
        <w:t xml:space="preserve">@Ravin</w:t>
      </w:r>
    </w:p>
    <w:p>
      <w:pPr/>
      <w:r>
        <w:t xml:space="preserve">One Next.js app serves the workspace and the customer portal, one API owns every rule, one Postgres with row-level security holds every workspace, and everything external (payments, email, messaging, AI) sits behind an adapter with a standalone fallback. This tab is the spec AI agents build from; the Data model section of Design inputs defines the entities it refers to.</w:t>
      </w:r>
    </w:p>
    <w:p>
      <w:pPr>
        <w:pStyle w:val="Heading2"/>
      </w:pPr>
      <w:r>
        <w:t xml:space="preserve">System architecture</w:t>
      </w:r>
    </w:p>
    <w:p>
      <w:pPr/>
      <w:r>
        <w:drawing>
          <wp:inline distT="0" distB="0" distL="0" distR="0">
            <wp:extent cx="5486400" cy="3747407"/>
            <wp:docPr id="1" name="image1" descr="system architecture · 3 clients, 1 core, 4 adapters, external services by phas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system architecture · 3 clients, 1 core, 4 adapters, external services by phase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system architecture · 3 clients, 1 core, 4 adapters, external services by phase</w:t>
      </w:r>
    </w:p>
    <w:p>
      <w:pPr/>
      <w:r>
        <w:t xml:space="preserve">Clients never talk to an external service directly; every call goes through the API and then an adapter, so a missing or disabled connector always lands on the Phase 1 fallback. In Phase 1 only the email adapter and Google OAuth have a real provider behind them.</w:t>
      </w:r>
    </w:p>
    <w:p>
      <w:pPr>
        <w:pStyle w:val="Heading2"/>
      </w:pPr>
      <w:r>
        <w:t xml:space="preserve">Services and modules</w:t>
      </w:r>
    </w:p>
    <w:p>
      <w:pPr/>
      <w:r>
        <w:t xml:space="preserve">One deployable API, split into modules with an owner each; a module may only call another through its exported service, never its tables.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36"/>
        <w:gridCol w:w="3902"/>
        <w:gridCol w:w="2275"/>
        <w:gridCol w:w="1747"/>
      </w:tblGrid>
      <w:tr>
        <w:trPr>
          <w:tblHeader/>
        </w:trPr>
        <w:tc>
          <w:tcPr>
            <w:tcW w:w="1436" w:type="dxa"/>
            <w:shd w:val="clear" w:color="auto" w:fill="F2F2F2"/>
          </w:tcPr>
          <w:p>
            <w:pPr/>
            <w:r>
              <w:t xml:space="preserve">Module</w:t>
            </w:r>
          </w:p>
        </w:tc>
        <w:tc>
          <w:tcPr>
            <w:tcW w:w="3902" w:type="dxa"/>
            <w:shd w:val="clear" w:color="auto" w:fill="F2F2F2"/>
          </w:tcPr>
          <w:p>
            <w:pPr/>
            <w:r>
              <w:t xml:space="preserve">Owns</w:t>
            </w:r>
          </w:p>
        </w:tc>
        <w:tc>
          <w:tcPr>
            <w:tcW w:w="2275" w:type="dxa"/>
            <w:shd w:val="clear" w:color="auto" w:fill="F2F2F2"/>
          </w:tcPr>
          <w:p>
            <w:pPr/>
            <w:r>
              <w:t xml:space="preserve">Exposes</w:t>
            </w:r>
          </w:p>
        </w:tc>
        <w:tc>
          <w:tcPr>
            <w:tcW w:w="1747" w:type="dxa"/>
            <w:shd w:val="clear" w:color="auto" w:fill="F2F2F2"/>
          </w:tcPr>
          <w:p>
            <w:pPr/>
            <w:r>
              <w:t xml:space="preserve">Owner (fill in)</w:t>
            </w:r>
          </w:p>
        </w:tc>
      </w:tr>
      <w:tr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auth</w:t>
            </w:r>
          </w:p>
        </w:tc>
        <w:tc>
          <w:tcPr>
            <w:tcW w:w="3902" w:type="dxa"/>
          </w:tcPr>
          <w:p>
            <w:pPr/>
            <w:r>
              <w:t xml:space="preserve">Better Auth config, sessions, invites, roles, re-auth</w:t>
            </w:r>
          </w:p>
        </w:tc>
        <w:tc>
          <w:tcPr>
            <w:tcW w:w="2275" w:type="dxa"/>
          </w:tcPr>
          <w:p>
            <w:pPr/>
            <w:r>
              <w:rPr>
                <w:rStyle w:val="CodeChar"/>
              </w:rPr>
              <w:t xml:space="preserve">requireUser</w:t>
            </w:r>
            <w:r>
              <w:t xml:space="preserve">, </w:t>
            </w:r>
            <w:r>
              <w:rPr>
                <w:rStyle w:val="CodeChar"/>
              </w:rPr>
              <w:t xml:space="preserve">requireRole</w:t>
            </w:r>
            <w:r>
              <w:t xml:space="preserve">, invite service</w:t>
            </w:r>
          </w:p>
        </w:tc>
        <w:tc>
          <w:tcPr>
            <w:tcW w:w="1747" w:type="dxa"/>
          </w:tcPr>
          <w:p>
            <w:pPr/>
          </w:p>
        </w:tc>
      </w:tr>
      <w:tr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workspace</w:t>
            </w:r>
          </w:p>
        </w:tc>
        <w:tc>
          <w:tcPr>
            <w:tcW w:w="3902" w:type="dxa"/>
          </w:tcPr>
          <w:p>
            <w:pPr/>
            <w:r>
              <w:t xml:space="preserve">Workspace, Member, brand theme generation, numbering settings</w:t>
            </w:r>
          </w:p>
        </w:tc>
        <w:tc>
          <w:tcPr>
            <w:tcW w:w="2275" w:type="dxa"/>
          </w:tcPr>
          <w:p>
            <w:pPr/>
            <w:r>
              <w:t xml:space="preserve">theme tokens, numbering allocator</w:t>
            </w:r>
          </w:p>
        </w:tc>
        <w:tc>
          <w:tcPr>
            <w:tcW w:w="1747" w:type="dxa"/>
          </w:tcPr>
          <w:p>
            <w:pPr/>
          </w:p>
        </w:tc>
      </w:tr>
      <w:tr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catalog</w:t>
            </w:r>
          </w:p>
        </w:tc>
        <w:tc>
          <w:tcPr>
            <w:tcW w:w="3902" w:type="dxa"/>
          </w:tcPr>
          <w:p>
            <w:pPr/>
            <w:r>
              <w:t xml:space="preserve">CatalogItem, Package, CSV import, public catalog read model</w:t>
            </w:r>
          </w:p>
        </w:tc>
        <w:tc>
          <w:tcPr>
            <w:tcW w:w="2275" w:type="dxa"/>
          </w:tcPr>
          <w:p>
            <w:pPr/>
            <w:r>
              <w:t xml:space="preserve">item and package services, public page data</w:t>
            </w:r>
          </w:p>
        </w:tc>
        <w:tc>
          <w:tcPr>
            <w:tcW w:w="1747" w:type="dxa"/>
          </w:tcPr>
          <w:p>
            <w:pPr/>
          </w:p>
        </w:tc>
      </w:tr>
      <w:tr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leads</w:t>
            </w:r>
          </w:p>
        </w:tc>
        <w:tc>
          <w:tcPr>
            <w:tcW w:w="3902" w:type="dxa"/>
          </w:tcPr>
          <w:p>
            <w:pPr/>
            <w:r>
              <w:t xml:space="preserve">Lead, portal request form, assignment</w:t>
            </w:r>
          </w:p>
        </w:tc>
        <w:tc>
          <w:tcPr>
            <w:tcW w:w="2275" w:type="dxa"/>
          </w:tcPr>
          <w:p>
            <w:pPr/>
            <w:r>
              <w:t xml:space="preserve">lead service, source tagging</w:t>
            </w:r>
          </w:p>
        </w:tc>
        <w:tc>
          <w:tcPr>
            <w:tcW w:w="1747" w:type="dxa"/>
          </w:tcPr>
          <w:p>
            <w:pPr/>
          </w:p>
        </w:tc>
      </w:tr>
      <w:tr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documents</w:t>
            </w:r>
          </w:p>
        </w:tc>
        <w:tc>
          <w:tcPr>
            <w:tcW w:w="3902" w:type="dxa"/>
          </w:tcPr>
          <w:p>
            <w:pPr/>
            <w:r>
              <w:t xml:space="preserve">Quote and Invoice blocks, versions, totals, GST, QuoteLine snapshots, render model shared by web and PDF</w:t>
            </w:r>
          </w:p>
        </w:tc>
        <w:tc>
          <w:tcPr>
            <w:tcW w:w="2275" w:type="dxa"/>
          </w:tcPr>
          <w:p>
            <w:pPr/>
            <w:r>
              <w:t xml:space="preserve">quote service, invoice service, </w:t>
            </w:r>
            <w:r>
              <w:rPr>
                <w:rStyle w:val="CodeChar"/>
              </w:rPr>
              <w:t xml:space="preserve">renderDocument</w:t>
            </w:r>
          </w:p>
        </w:tc>
        <w:tc>
          <w:tcPr>
            <w:tcW w:w="1747" w:type="dxa"/>
          </w:tcPr>
          <w:p>
            <w:pPr/>
          </w:p>
        </w:tc>
      </w:tr>
      <w:tr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payments</w:t>
            </w:r>
          </w:p>
        </w:tc>
        <w:tc>
          <w:tcPr>
            <w:tcW w:w="3902" w:type="dxa"/>
          </w:tcPr>
          <w:p>
            <w:pPr/>
            <w:r>
              <w:t xml:space="preserve">Payment, proof files, approval queue, thresholds, receipts</w:t>
            </w:r>
          </w:p>
        </w:tc>
        <w:tc>
          <w:tcPr>
            <w:tcW w:w="2275" w:type="dxa"/>
          </w:tcPr>
          <w:p>
            <w:pPr/>
            <w:r>
              <w:t xml:space="preserve">payment service, approval service</w:t>
            </w:r>
          </w:p>
        </w:tc>
        <w:tc>
          <w:tcPr>
            <w:tcW w:w="1747" w:type="dxa"/>
          </w:tcPr>
          <w:p>
            <w:pPr/>
          </w:p>
        </w:tc>
      </w:tr>
      <w:tr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bookings</w:t>
            </w:r>
          </w:p>
        </w:tc>
        <w:tc>
          <w:tcPr>
            <w:tcW w:w="3902" w:type="dxa"/>
          </w:tcPr>
          <w:p>
            <w:pPr/>
            <w:r>
              <w:t xml:space="preserve">Booking, availability, conflicts, Job, checklists</w:t>
            </w:r>
          </w:p>
        </w:tc>
        <w:tc>
          <w:tcPr>
            <w:tcW w:w="2275" w:type="dxa"/>
          </w:tcPr>
          <w:p>
            <w:pPr/>
            <w:r>
              <w:t xml:space="preserve">booking and job services</w:t>
            </w:r>
          </w:p>
        </w:tc>
        <w:tc>
          <w:tcPr>
            <w:tcW w:w="1747" w:type="dxa"/>
          </w:tcPr>
          <w:p>
            <w:pPr/>
          </w:p>
        </w:tc>
      </w:tr>
      <w:tr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customers</w:t>
            </w:r>
          </w:p>
        </w:tc>
        <w:tc>
          <w:tcPr>
            <w:tcW w:w="3902" w:type="dxa"/>
          </w:tcPr>
          <w:p>
            <w:pPr/>
            <w:r>
              <w:t xml:space="preserve">Customer, timeline, My-orders tokens</w:t>
            </w:r>
          </w:p>
        </w:tc>
        <w:tc>
          <w:tcPr>
            <w:tcW w:w="2275" w:type="dxa"/>
          </w:tcPr>
          <w:p>
            <w:pPr/>
            <w:r>
              <w:t xml:space="preserve">customer service, timeline read model</w:t>
            </w:r>
          </w:p>
        </w:tc>
        <w:tc>
          <w:tcPr>
            <w:tcW w:w="1747" w:type="dxa"/>
          </w:tcPr>
          <w:p>
            <w:pPr/>
          </w:p>
        </w:tc>
      </w:tr>
      <w:tr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messages</w:t>
            </w:r>
          </w:p>
        </w:tc>
        <w:tc>
          <w:tcPr>
            <w:tcW w:w="3902" w:type="dxa"/>
          </w:tcPr>
          <w:p>
            <w:pPr/>
            <w:r>
              <w:t xml:space="preserve">Templates, rendering, share logging, in-app inbox, notification routing</w:t>
            </w:r>
          </w:p>
        </w:tc>
        <w:tc>
          <w:tcPr>
            <w:tcW w:w="2275" w:type="dxa"/>
          </w:tcPr>
          <w:p>
            <w:pPr/>
            <w:r>
              <w:rPr>
                <w:rStyle w:val="CodeChar"/>
              </w:rPr>
              <w:t xml:space="preserve">notify(event, record)</w:t>
            </w:r>
          </w:p>
        </w:tc>
        <w:tc>
          <w:tcPr>
            <w:tcW w:w="1747" w:type="dxa"/>
          </w:tcPr>
          <w:p>
            <w:pPr/>
          </w:p>
        </w:tc>
      </w:tr>
      <w:tr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exports</w:t>
            </w:r>
          </w:p>
        </w:tc>
        <w:tc>
          <w:tcPr>
            <w:tcW w:w="3902" w:type="dxa"/>
          </w:tcPr>
          <w:p>
            <w:pPr/>
            <w:r>
              <w:t xml:space="preserve">PDF / DOCX / CSV jobs, storage, signed URLs</w:t>
            </w:r>
          </w:p>
        </w:tc>
        <w:tc>
          <w:tcPr>
            <w:tcW w:w="2275" w:type="dxa"/>
          </w:tcPr>
          <w:p>
            <w:pPr/>
            <w:r>
              <w:rPr>
                <w:rStyle w:val="CodeChar"/>
              </w:rPr>
              <w:t xml:space="preserve">export(record, format)</w:t>
            </w:r>
          </w:p>
        </w:tc>
        <w:tc>
          <w:tcPr>
            <w:tcW w:w="1747" w:type="dxa"/>
          </w:tcPr>
          <w:p>
            <w:pPr/>
          </w:p>
        </w:tc>
      </w:tr>
      <w:tr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connectors</w:t>
            </w:r>
          </w:p>
        </w:tc>
        <w:tc>
          <w:tcPr>
            <w:tcW w:w="3902" w:type="dxa"/>
          </w:tcPr>
          <w:p>
            <w:pPr/>
            <w:r>
              <w:t xml:space="preserve">Adapter registry, per-workspace settings, secrets, health</w:t>
            </w:r>
          </w:p>
        </w:tc>
        <w:tc>
          <w:tcPr>
            <w:tcW w:w="2275" w:type="dxa"/>
          </w:tcPr>
          <w:p>
            <w:pPr/>
            <w:r>
              <w:rPr>
                <w:rStyle w:val="CodeChar"/>
              </w:rPr>
              <w:t xml:space="preserve">getAdapter(kind, workspace)</w:t>
            </w:r>
          </w:p>
        </w:tc>
        <w:tc>
          <w:tcPr>
            <w:tcW w:w="1747" w:type="dxa"/>
          </w:tcPr>
          <w:p>
            <w:pPr/>
          </w:p>
        </w:tc>
      </w:tr>
      <w:tr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admin</w:t>
            </w:r>
          </w:p>
        </w:tc>
        <w:tc>
          <w:tcPr>
            <w:tcW w:w="3902" w:type="dxa"/>
          </w:tcPr>
          <w:p>
            <w:pPr/>
            <w:r>
              <w:t xml:space="preserve">Super-admin console, abuse controls, audit views</w:t>
            </w:r>
          </w:p>
        </w:tc>
        <w:tc>
          <w:tcPr>
            <w:tcW w:w="2275" w:type="dxa"/>
          </w:tcPr>
          <w:p>
            <w:pPr/>
            <w:r>
              <w:t xml:space="preserve">admin service</w:t>
            </w:r>
          </w:p>
        </w:tc>
        <w:tc>
          <w:tcPr>
            <w:tcW w:w="1747" w:type="dxa"/>
          </w:tcPr>
          <w:p>
            <w:pPr/>
          </w:p>
        </w:tc>
      </w:tr>
      <w:tr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jobs</w:t>
            </w:r>
          </w:p>
        </w:tc>
        <w:tc>
          <w:tcPr>
            <w:tcW w:w="3902" w:type="dxa"/>
          </w:tcPr>
          <w:p>
            <w:pPr/>
            <w:r>
              <w:t xml:space="preserve">BullMQ queues: pdf, email, expiry, reminders (Phase 2), ingest (Phase 2)</w:t>
            </w:r>
          </w:p>
        </w:tc>
        <w:tc>
          <w:tcPr>
            <w:tcW w:w="2275" w:type="dxa"/>
          </w:tcPr>
          <w:p>
            <w:pPr/>
            <w:r>
              <w:t xml:space="preserve">queue names and payload schemas</w:t>
            </w:r>
          </w:p>
        </w:tc>
        <w:tc>
          <w:tcPr>
            <w:tcW w:w="1747" w:type="dxa"/>
          </w:tcPr>
          <w:p>
            <w:pPr/>
          </w:p>
        </w:tc>
      </w:tr>
    </w:tbl>
    <w:p>
      <w:pPr/>
      <w:r>
        <w:t xml:space="preserve">Shared packages: </w:t>
      </w:r>
      <w:r>
        <w:rPr>
          <w:rStyle w:val="CodeChar"/>
        </w:rPr>
        <w:t xml:space="preserve">db</w:t>
      </w:r>
      <w:r>
        <w:t xml:space="preserve"> (schema, migrations, RLS policies), </w:t>
      </w:r>
      <w:r>
        <w:rPr>
          <w:rStyle w:val="CodeChar"/>
        </w:rPr>
        <w:t xml:space="preserve">ui</w:t>
      </w:r>
      <w:r>
        <w:t xml:space="preserve"> (design system), </w:t>
      </w:r>
      <w:r>
        <w:rPr>
          <w:rStyle w:val="CodeChar"/>
        </w:rPr>
        <w:t xml:space="preserve">templates</w:t>
      </w:r>
      <w:r>
        <w:t xml:space="preserve"> (React templates for web and PDF), </w:t>
      </w:r>
      <w:r>
        <w:rPr>
          <w:rStyle w:val="CodeChar"/>
        </w:rPr>
        <w:t xml:space="preserve">connectors</w:t>
      </w:r>
      <w:r>
        <w:t xml:space="preserve"> (adapter interfaces and implementations).</w:t>
      </w:r>
    </w:p>
    <w:p>
      <w:pPr>
        <w:pStyle w:val="Heading2"/>
      </w:pPr>
      <w:r>
        <w:t xml:space="preserve">API contract</w:t>
      </w:r>
    </w:p>
    <w:p>
      <w:pPr/>
      <w:r>
        <w:t xml:space="preserve">Internal calls use tRPC with shared types; the customer portal and Phase 3 public API use REST on the same services. Conventions first, then the Phase 1 surface.</w:t>
      </w:r>
    </w:p>
    <w:p>
      <w:pPr/>
      <w:r>
        <w:rPr>
          <w:b/>
        </w:rPr>
        <w:t xml:space="preserve">Conventions</w:t>
      </w:r>
    </w:p>
    <w:p>
      <w:pPr>
        <w:pStyle w:val="ListParagraph"/>
        <w:numPr>
          <w:ilvl w:val="0"/>
          <w:numId w:val="2"/>
        </w:numPr>
      </w:pPr>
      <w:r>
        <w:t xml:space="preserve">Base </w:t>
      </w:r>
      <w:r>
        <w:rPr>
          <w:rStyle w:val="CodeChar"/>
        </w:rPr>
        <w:t xml:space="preserve">/api/v1</w:t>
      </w:r>
      <w:r>
        <w:t xml:space="preserve">; JSON; UTC timestamps in ISO 8601; money as integer paise with a </w:t>
      </w:r>
      <w:r>
        <w:rPr>
          <w:rStyle w:val="CodeChar"/>
        </w:rPr>
        <w:t xml:space="preserve">currency</w:t>
      </w:r>
      <w:r>
        <w:t xml:space="preserve"> field.</w:t>
      </w:r>
    </w:p>
    <w:p>
      <w:pPr>
        <w:pStyle w:val="ListParagraph"/>
        <w:numPr>
          <w:ilvl w:val="0"/>
          <w:numId w:val="2"/>
        </w:numPr>
      </w:pPr>
      <w:r>
        <w:t xml:space="preserve">Auth: session cookie for members (Better Auth); </w:t>
      </w:r>
      <w:r>
        <w:rPr>
          <w:rStyle w:val="CodeChar"/>
        </w:rPr>
        <w:t xml:space="preserve">Authorization: Bearer &lt;portal token&gt;</w:t>
      </w:r>
      <w:r>
        <w:t xml:space="preserve"> for customer links; every request resolves a </w:t>
      </w:r>
      <w:r>
        <w:rPr>
          <w:rStyle w:val="CodeChar"/>
        </w:rPr>
        <w:t xml:space="preserve">workspace_id</w:t>
      </w:r>
      <w:r>
        <w:t xml:space="preserve"> or is rejected before any query.</w:t>
      </w:r>
    </w:p>
    <w:p>
      <w:pPr>
        <w:pStyle w:val="ListParagraph"/>
        <w:numPr>
          <w:ilvl w:val="0"/>
          <w:numId w:val="2"/>
        </w:numPr>
      </w:pPr>
      <w:r>
        <w:t xml:space="preserve">Errors: </w:t>
      </w:r>
      <w:r>
        <w:rPr>
          <w:rStyle w:val="CodeChar"/>
        </w:rPr>
        <w:t xml:space="preserve">{ error: { code, message, field? } }</w:t>
      </w:r>
      <w:r>
        <w:t xml:space="preserve"> with codes </w:t>
      </w:r>
      <w:r>
        <w:rPr>
          <w:rStyle w:val="CodeChar"/>
        </w:rPr>
        <w:t xml:space="preserve">unauthenticated</w:t>
      </w:r>
      <w:r>
        <w:t xml:space="preserve">, </w:t>
      </w:r>
      <w:r>
        <w:rPr>
          <w:rStyle w:val="CodeChar"/>
        </w:rPr>
        <w:t xml:space="preserve">forbidden</w:t>
      </w:r>
      <w:r>
        <w:t xml:space="preserve">, </w:t>
      </w:r>
      <w:r>
        <w:rPr>
          <w:rStyle w:val="CodeChar"/>
        </w:rPr>
        <w:t xml:space="preserve">not_found</w:t>
      </w:r>
      <w:r>
        <w:t xml:space="preserve">, </w:t>
      </w:r>
      <w:r>
        <w:rPr>
          <w:rStyle w:val="CodeChar"/>
        </w:rPr>
        <w:t xml:space="preserve">validation</w:t>
      </w:r>
      <w:r>
        <w:t xml:space="preserve">, </w:t>
      </w:r>
      <w:r>
        <w:rPr>
          <w:rStyle w:val="CodeChar"/>
        </w:rPr>
        <w:t xml:space="preserve">conflict</w:t>
      </w:r>
      <w:r>
        <w:t xml:space="preserve">, </w:t>
      </w:r>
      <w:r>
        <w:rPr>
          <w:rStyle w:val="CodeChar"/>
        </w:rPr>
        <w:t xml:space="preserve">rate_limited</w:t>
      </w:r>
      <w:r>
        <w:t xml:space="preserve">, </w:t>
      </w:r>
      <w:r>
        <w:rPr>
          <w:rStyle w:val="CodeChar"/>
        </w:rPr>
        <w:t xml:space="preserve">state</w:t>
      </w:r>
      <w:r>
        <w:t xml:space="preserve"> (invalid transition); HTTP status matches.</w:t>
      </w:r>
    </w:p>
    <w:p>
      <w:pPr>
        <w:pStyle w:val="ListParagraph"/>
        <w:numPr>
          <w:ilvl w:val="0"/>
          <w:numId w:val="2"/>
        </w:numPr>
      </w:pPr>
      <w:r>
        <w:t xml:space="preserve">Pagination: cursor-based, </w:t>
      </w:r>
      <w:r>
        <w:rPr>
          <w:rStyle w:val="CodeChar"/>
        </w:rPr>
        <w:t xml:space="preserve">?cursor=&amp;limit=</w:t>
      </w:r>
      <w:r>
        <w:t xml:space="preserve"> (max 100); list responses return </w:t>
      </w:r>
      <w:r>
        <w:rPr>
          <w:rStyle w:val="CodeChar"/>
        </w:rPr>
        <w:t xml:space="preserve">{ items, next_cursor }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Idempotency: </w:t>
      </w:r>
      <w:r>
        <w:rPr>
          <w:rStyle w:val="CodeChar"/>
        </w:rPr>
        <w:t xml:space="preserve">Idempotency-Key</w:t>
      </w:r>
      <w:r>
        <w:t xml:space="preserve"> header required on create and on any money or send action; replays return the first result.</w:t>
      </w:r>
    </w:p>
    <w:p>
      <w:pPr>
        <w:pStyle w:val="ListParagraph"/>
        <w:numPr>
          <w:ilvl w:val="0"/>
          <w:numId w:val="2"/>
        </w:numPr>
      </w:pPr>
      <w:r>
        <w:t xml:space="preserve">Rate limits: portal endpoints 60 requests per minute per IP and per token; member endpoints 600 per minute per workspace.</w:t>
      </w:r>
    </w:p>
    <w:p>
      <w:pPr>
        <w:pStyle w:val="ListParagraph"/>
        <w:numPr>
          <w:ilvl w:val="0"/>
          <w:numId w:val="2"/>
        </w:numPr>
      </w:pPr>
      <w:r>
        <w:t xml:space="preserve">Versioning: additive changes only within v1; a breaking change is v2.</w:t>
      </w:r>
    </w:p>
    <w:p>
      <w:pPr/>
      <w:r>
        <w:rPr>
          <w:b/>
        </w:rPr>
        <w:t xml:space="preserve">Phase 1 endpoints (members)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62"/>
        <w:gridCol w:w="3896"/>
        <w:gridCol w:w="3102"/>
      </w:tblGrid>
      <w:tr>
        <w:trPr>
          <w:tblHeader/>
        </w:trPr>
        <w:tc>
          <w:tcPr>
            <w:tcW w:w="2362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3896" w:type="dxa"/>
            <w:shd w:val="clear" w:color="auto" w:fill="F2F2F2"/>
          </w:tcPr>
          <w:p>
            <w:pPr/>
            <w:r>
              <w:t xml:space="preserve">Path</w:t>
            </w:r>
          </w:p>
        </w:tc>
        <w:tc>
          <w:tcPr>
            <w:tcW w:w="3102" w:type="dxa"/>
            <w:shd w:val="clear" w:color="auto" w:fill="F2F2F2"/>
          </w:tcPr>
          <w:p>
            <w:pPr/>
            <w:r>
              <w:t xml:space="preserve">Does</w:t>
            </w:r>
          </w:p>
        </w:tc>
      </w:tr>
      <w:tr>
        <w:tc>
          <w:tcPr>
            <w:tcW w:w="2362" w:type="dxa"/>
          </w:tcPr>
          <w:p>
            <w:pPr/>
            <w:r>
              <w:t xml:space="preserve">POST</w:t>
            </w:r>
          </w:p>
        </w:tc>
        <w:tc>
          <w:tcPr>
            <w:tcW w:w="3896" w:type="dxa"/>
          </w:tcPr>
          <w:p>
            <w:pPr/>
            <w:r>
              <w:rPr>
                <w:rStyle w:val="CodeChar"/>
              </w:rPr>
              <w:t xml:space="preserve">/workspaces</w:t>
            </w:r>
          </w:p>
        </w:tc>
        <w:tc>
          <w:tcPr>
            <w:tcW w:w="3102" w:type="dxa"/>
          </w:tcPr>
          <w:p>
            <w:pPr/>
            <w:r>
              <w:t xml:space="preserve">Create workspace (onboarding step 2)</w:t>
            </w:r>
          </w:p>
        </w:tc>
      </w:tr>
      <w:tr>
        <w:tc>
          <w:tcPr>
            <w:tcW w:w="2362" w:type="dxa"/>
          </w:tcPr>
          <w:p>
            <w:pPr/>
            <w:r>
              <w:t xml:space="preserve">PATCH</w:t>
            </w:r>
          </w:p>
        </w:tc>
        <w:tc>
          <w:tcPr>
            <w:tcW w:w="3896" w:type="dxa"/>
          </w:tcPr>
          <w:p>
            <w:pPr/>
            <w:r>
              <w:rPr>
                <w:rStyle w:val="CodeChar"/>
              </w:rPr>
              <w:t xml:space="preserve">/workspaces/:id/brand</w:t>
            </w:r>
          </w:p>
        </w:tc>
        <w:tc>
          <w:tcPr>
            <w:tcW w:w="3102" w:type="dxa"/>
          </w:tcPr>
          <w:p>
            <w:pPr/>
            <w:r>
              <w:t xml:space="preserve">Logos, colours; returns generated theme tokens and contrast warnings</w:t>
            </w:r>
          </w:p>
        </w:tc>
      </w:tr>
      <w:tr>
        <w:tc>
          <w:tcPr>
            <w:tcW w:w="2362" w:type="dxa"/>
          </w:tcPr>
          <w:p>
            <w:pPr/>
            <w:r>
              <w:t xml:space="preserve">POST</w:t>
            </w:r>
          </w:p>
        </w:tc>
        <w:tc>
          <w:tcPr>
            <w:tcW w:w="3896" w:type="dxa"/>
          </w:tcPr>
          <w:p>
            <w:pPr/>
            <w:r>
              <w:rPr>
                <w:rStyle w:val="CodeChar"/>
              </w:rPr>
              <w:t xml:space="preserve">/workspaces/:id/invites</w:t>
            </w:r>
            <w:r>
              <w:t xml:space="preserve"> · </w:t>
            </w:r>
            <w:r>
              <w:rPr>
                <w:rStyle w:val="CodeChar"/>
              </w:rPr>
              <w:t xml:space="preserve">/invites/:token/accept</w:t>
            </w:r>
          </w:p>
        </w:tc>
        <w:tc>
          <w:tcPr>
            <w:tcW w:w="3102" w:type="dxa"/>
          </w:tcPr>
          <w:p>
            <w:pPr/>
            <w:r>
              <w:t xml:space="preserve">Invite, accept; invite code variant </w:t>
            </w:r>
            <w:r>
              <w:rPr>
                <w:rStyle w:val="CodeChar"/>
              </w:rPr>
              <w:t xml:space="preserve">POST /invites/claim</w:t>
            </w:r>
          </w:p>
        </w:tc>
      </w:tr>
      <w:tr>
        <w:tc>
          <w:tcPr>
            <w:tcW w:w="2362" w:type="dxa"/>
          </w:tcPr>
          <w:p>
            <w:pPr/>
            <w:r>
              <w:t xml:space="preserve">GET/POST/PATCH</w:t>
            </w:r>
          </w:p>
        </w:tc>
        <w:tc>
          <w:tcPr>
            <w:tcW w:w="3896" w:type="dxa"/>
          </w:tcPr>
          <w:p>
            <w:pPr/>
            <w:r>
              <w:rPr>
                <w:rStyle w:val="CodeChar"/>
              </w:rPr>
              <w:t xml:space="preserve">/catalog/items</w:t>
            </w:r>
            <w:r>
              <w:t xml:space="preserve">, </w:t>
            </w:r>
            <w:r>
              <w:rPr>
                <w:rStyle w:val="CodeChar"/>
              </w:rPr>
              <w:t xml:space="preserve">/catalog/items/:id</w:t>
            </w:r>
          </w:p>
        </w:tc>
        <w:tc>
          <w:tcPr>
            <w:tcW w:w="3102" w:type="dxa"/>
          </w:tcPr>
          <w:p>
            <w:pPr/>
            <w:r>
              <w:t xml:space="preserve">Items with variants and add-ons; </w:t>
            </w:r>
            <w:r>
              <w:rPr>
                <w:rStyle w:val="CodeChar"/>
              </w:rPr>
              <w:t xml:space="preserve">POST /catalog/import</w:t>
            </w:r>
            <w:r>
              <w:t xml:space="preserve"> for CSV with a mapping preview</w:t>
            </w:r>
          </w:p>
        </w:tc>
      </w:tr>
      <w:tr>
        <w:tc>
          <w:tcPr>
            <w:tcW w:w="2362" w:type="dxa"/>
          </w:tcPr>
          <w:p>
            <w:pPr/>
            <w:r>
              <w:t xml:space="preserve">GET/POST/PATCH</w:t>
            </w:r>
          </w:p>
        </w:tc>
        <w:tc>
          <w:tcPr>
            <w:tcW w:w="3896" w:type="dxa"/>
          </w:tcPr>
          <w:p>
            <w:pPr/>
            <w:r>
              <w:rPr>
                <w:rStyle w:val="CodeChar"/>
              </w:rPr>
              <w:t xml:space="preserve">/packages</w:t>
            </w:r>
            <w:r>
              <w:t xml:space="preserve">, </w:t>
            </w:r>
            <w:r>
              <w:rPr>
                <w:rStyle w:val="CodeChar"/>
              </w:rPr>
              <w:t xml:space="preserve">/packages/:id</w:t>
            </w:r>
          </w:p>
        </w:tc>
        <w:tc>
          <w:tcPr>
            <w:tcW w:w="3102" w:type="dxa"/>
          </w:tcPr>
          <w:p>
            <w:pPr/>
            <w:r>
              <w:t xml:space="preserve">Packages and tiers</w:t>
            </w:r>
          </w:p>
        </w:tc>
      </w:tr>
      <w:tr>
        <w:tc>
          <w:tcPr>
            <w:tcW w:w="2362" w:type="dxa"/>
          </w:tcPr>
          <w:p>
            <w:pPr/>
            <w:r>
              <w:t xml:space="preserve">GET/POST/PATCH</w:t>
            </w:r>
          </w:p>
        </w:tc>
        <w:tc>
          <w:tcPr>
            <w:tcW w:w="3896" w:type="dxa"/>
          </w:tcPr>
          <w:p>
            <w:pPr/>
            <w:r>
              <w:rPr>
                <w:rStyle w:val="CodeChar"/>
              </w:rPr>
              <w:t xml:space="preserve">/leads</w:t>
            </w:r>
            <w:r>
              <w:t xml:space="preserve">, </w:t>
            </w:r>
            <w:r>
              <w:rPr>
                <w:rStyle w:val="CodeChar"/>
              </w:rPr>
              <w:t xml:space="preserve">/leads/:id</w:t>
            </w:r>
            <w:r>
              <w:t xml:space="preserve"> · </w:t>
            </w:r>
            <w:r>
              <w:rPr>
                <w:rStyle w:val="CodeChar"/>
              </w:rPr>
              <w:t xml:space="preserve">POST /leads/:id/assign</w:t>
            </w:r>
          </w:p>
        </w:tc>
        <w:tc>
          <w:tcPr>
            <w:tcW w:w="3102" w:type="dxa"/>
          </w:tcPr>
          <w:p>
            <w:pPr/>
            <w:r>
              <w:t xml:space="preserve">Leads inbox</w:t>
            </w:r>
          </w:p>
        </w:tc>
      </w:tr>
      <w:tr>
        <w:tc>
          <w:tcPr>
            <w:tcW w:w="2362" w:type="dxa"/>
          </w:tcPr>
          <w:p>
            <w:pPr/>
            <w:r>
              <w:t xml:space="preserve">POST</w:t>
            </w:r>
          </w:p>
        </w:tc>
        <w:tc>
          <w:tcPr>
            <w:tcW w:w="3896" w:type="dxa"/>
          </w:tcPr>
          <w:p>
            <w:pPr/>
            <w:r>
              <w:rPr>
                <w:rStyle w:val="CodeChar"/>
              </w:rPr>
              <w:t xml:space="preserve">/quotes</w:t>
            </w:r>
            <w:r>
              <w:t xml:space="preserve"> (from lead or package) · </w:t>
            </w:r>
            <w:r>
              <w:rPr>
                <w:rStyle w:val="CodeChar"/>
              </w:rPr>
              <w:t xml:space="preserve">PATCH /quotes/:id</w:t>
            </w:r>
            <w:r>
              <w:t xml:space="preserve"> (draft blocks) · </w:t>
            </w:r>
            <w:r>
              <w:rPr>
                <w:rStyle w:val="CodeChar"/>
              </w:rPr>
              <w:t xml:space="preserve">POST /quotes/:id/share</w:t>
            </w:r>
            <w:r>
              <w:t xml:space="preserve"> · </w:t>
            </w:r>
            <w:r>
              <w:rPr>
                <w:rStyle w:val="CodeChar"/>
              </w:rPr>
              <w:t xml:space="preserve">POST /quotes/:id/revise</w:t>
            </w:r>
          </w:p>
        </w:tc>
        <w:tc>
          <w:tcPr>
            <w:tcW w:w="3102" w:type="dxa"/>
          </w:tcPr>
          <w:p>
            <w:pPr/>
            <w:r>
              <w:t xml:space="preserve">Quote lifecycle; share returns the private link and the ready message</w:t>
            </w:r>
          </w:p>
        </w:tc>
      </w:tr>
      <w:tr>
        <w:tc>
          <w:tcPr>
            <w:tcW w:w="2362" w:type="dxa"/>
          </w:tcPr>
          <w:p>
            <w:pPr/>
            <w:r>
              <w:t xml:space="preserve">POST</w:t>
            </w:r>
          </w:p>
        </w:tc>
        <w:tc>
          <w:tcPr>
            <w:tcW w:w="3896" w:type="dxa"/>
          </w:tcPr>
          <w:p>
            <w:pPr/>
            <w:r>
              <w:rPr>
                <w:rStyle w:val="CodeChar"/>
              </w:rPr>
              <w:t xml:space="preserve">/invoices</w:t>
            </w:r>
            <w:r>
              <w:t xml:space="preserve"> (from quote, job or manual) · </w:t>
            </w:r>
            <w:r>
              <w:rPr>
                <w:rStyle w:val="CodeChar"/>
              </w:rPr>
              <w:t xml:space="preserve">POST /invoices/:id/share</w:t>
            </w:r>
            <w:r>
              <w:t xml:space="preserve"> (assigns the number) · </w:t>
            </w:r>
            <w:r>
              <w:rPr>
                <w:rStyle w:val="CodeChar"/>
              </w:rPr>
              <w:t xml:space="preserve">POST /invoices/:id/void</w:t>
            </w:r>
          </w:p>
        </w:tc>
        <w:tc>
          <w:tcPr>
            <w:tcW w:w="3102" w:type="dxa"/>
          </w:tcPr>
          <w:p>
            <w:pPr/>
            <w:r>
              <w:t xml:space="preserve">Invoice lifecycle</w:t>
            </w:r>
          </w:p>
        </w:tc>
      </w:tr>
      <w:tr>
        <w:tc>
          <w:tcPr>
            <w:tcW w:w="2362" w:type="dxa"/>
          </w:tcPr>
          <w:p>
            <w:pPr/>
            <w:r>
              <w:t xml:space="preserve">POST</w:t>
            </w:r>
          </w:p>
        </w:tc>
        <w:tc>
          <w:tcPr>
            <w:tcW w:w="3896" w:type="dxa"/>
          </w:tcPr>
          <w:p>
            <w:pPr/>
            <w:r>
              <w:rPr>
                <w:rStyle w:val="CodeChar"/>
              </w:rPr>
              <w:t xml:space="preserve">/invoices/:id/payments</w:t>
            </w:r>
            <w:r>
              <w:t xml:space="preserve"> (amount, method, proof files) · </w:t>
            </w:r>
            <w:r>
              <w:rPr>
                <w:rStyle w:val="CodeChar"/>
              </w:rPr>
              <w:t xml:space="preserve">POST /payments/:id/approve</w:t>
            </w:r>
            <w:r>
              <w:t xml:space="preserve"> · </w:t>
            </w:r>
            <w:r>
              <w:rPr>
                <w:rStyle w:val="CodeChar"/>
              </w:rPr>
              <w:t xml:space="preserve">POST /payments/:id/reject</w:t>
            </w:r>
          </w:p>
        </w:tc>
        <w:tc>
          <w:tcPr>
            <w:tcW w:w="3102" w:type="dxa"/>
          </w:tcPr>
          <w:p>
            <w:pPr/>
            <w:r>
              <w:t xml:space="preserve">Record and approve payments; approve also accepts a signed email token</w:t>
            </w:r>
          </w:p>
        </w:tc>
      </w:tr>
      <w:tr>
        <w:tc>
          <w:tcPr>
            <w:tcW w:w="2362" w:type="dxa"/>
          </w:tcPr>
          <w:p>
            <w:pPr/>
            <w:r>
              <w:t xml:space="preserve">GET/POST/PATCH</w:t>
            </w:r>
          </w:p>
        </w:tc>
        <w:tc>
          <w:tcPr>
            <w:tcW w:w="3896" w:type="dxa"/>
          </w:tcPr>
          <w:p>
            <w:pPr/>
            <w:r>
              <w:rPr>
                <w:rStyle w:val="CodeChar"/>
              </w:rPr>
              <w:t xml:space="preserve">/bookings</w:t>
            </w:r>
            <w:r>
              <w:t xml:space="preserve">, </w:t>
            </w:r>
            <w:r>
              <w:rPr>
                <w:rStyle w:val="CodeChar"/>
              </w:rPr>
              <w:t xml:space="preserve">/bookings/:id</w:t>
            </w:r>
            <w:r>
              <w:t xml:space="preserve"> · </w:t>
            </w:r>
            <w:r>
              <w:rPr>
                <w:rStyle w:val="CodeChar"/>
              </w:rPr>
              <w:t xml:space="preserve">GET /availability</w:t>
            </w:r>
          </w:p>
        </w:tc>
        <w:tc>
          <w:tcPr>
            <w:tcW w:w="3102" w:type="dxa"/>
          </w:tcPr>
          <w:p>
            <w:pPr/>
            <w:r>
              <w:t xml:space="preserve">Calendar</w:t>
            </w:r>
          </w:p>
        </w:tc>
      </w:tr>
      <w:tr>
        <w:tc>
          <w:tcPr>
            <w:tcW w:w="2362" w:type="dxa"/>
          </w:tcPr>
          <w:p>
            <w:pPr/>
            <w:r>
              <w:t xml:space="preserve">GET/PATCH</w:t>
            </w:r>
          </w:p>
        </w:tc>
        <w:tc>
          <w:tcPr>
            <w:tcW w:w="3896" w:type="dxa"/>
          </w:tcPr>
          <w:p>
            <w:pPr/>
            <w:r>
              <w:rPr>
                <w:rStyle w:val="CodeChar"/>
              </w:rPr>
              <w:t xml:space="preserve">/jobs/:id</w:t>
            </w:r>
            <w:r>
              <w:t xml:space="preserve"> · </w:t>
            </w:r>
            <w:r>
              <w:rPr>
                <w:rStyle w:val="CodeChar"/>
              </w:rPr>
              <w:t xml:space="preserve">POST /jobs/:id/complete</w:t>
            </w:r>
          </w:p>
        </w:tc>
        <w:tc>
          <w:tcPr>
            <w:tcW w:w="3102" w:type="dxa"/>
          </w:tcPr>
          <w:p>
            <w:pPr/>
            <w:r>
              <w:t xml:space="preserve">Jobs; complete creates the draft invoice</w:t>
            </w:r>
          </w:p>
        </w:tc>
      </w:tr>
      <w:tr>
        <w:tc>
          <w:tcPr>
            <w:tcW w:w="2362" w:type="dxa"/>
          </w:tcPr>
          <w:p>
            <w:pPr/>
            <w:r>
              <w:t xml:space="preserve">GET</w:t>
            </w:r>
          </w:p>
        </w:tc>
        <w:tc>
          <w:tcPr>
            <w:tcW w:w="3896" w:type="dxa"/>
          </w:tcPr>
          <w:p>
            <w:pPr/>
            <w:r>
              <w:rPr>
                <w:rStyle w:val="CodeChar"/>
              </w:rPr>
              <w:t xml:space="preserve">/customers</w:t>
            </w:r>
            <w:r>
              <w:t xml:space="preserve">, </w:t>
            </w:r>
            <w:r>
              <w:rPr>
                <w:rStyle w:val="CodeChar"/>
              </w:rPr>
              <w:t xml:space="preserve">/customers/:id/timeline</w:t>
            </w:r>
          </w:p>
        </w:tc>
        <w:tc>
          <w:tcPr>
            <w:tcW w:w="3102" w:type="dxa"/>
          </w:tcPr>
          <w:p>
            <w:pPr/>
            <w:r>
              <w:t xml:space="preserve">Customers</w:t>
            </w:r>
          </w:p>
        </w:tc>
      </w:tr>
      <w:tr>
        <w:tc>
          <w:tcPr>
            <w:tcW w:w="2362" w:type="dxa"/>
          </w:tcPr>
          <w:p>
            <w:pPr/>
            <w:r>
              <w:t xml:space="preserve">POST</w:t>
            </w:r>
          </w:p>
        </w:tc>
        <w:tc>
          <w:tcPr>
            <w:tcW w:w="3896" w:type="dxa"/>
          </w:tcPr>
          <w:p>
            <w:pPr/>
            <w:r>
              <w:rPr>
                <w:rStyle w:val="CodeChar"/>
              </w:rPr>
              <w:t xml:space="preserve">/records/:type/:id/share</w:t>
            </w:r>
          </w:p>
        </w:tc>
        <w:tc>
          <w:tcPr>
            <w:tcW w:w="3102" w:type="dxa"/>
          </w:tcPr>
          <w:p>
            <w:pPr/>
            <w:r>
              <w:t xml:space="preserve">Logs a Message row and returns the rendered text for the chosen channel</w:t>
            </w:r>
          </w:p>
        </w:tc>
      </w:tr>
      <w:tr>
        <w:tc>
          <w:tcPr>
            <w:tcW w:w="2362" w:type="dxa"/>
          </w:tcPr>
          <w:p>
            <w:pPr/>
            <w:r>
              <w:t xml:space="preserve">POST</w:t>
            </w:r>
          </w:p>
        </w:tc>
        <w:tc>
          <w:tcPr>
            <w:tcW w:w="3896" w:type="dxa"/>
          </w:tcPr>
          <w:p>
            <w:pPr/>
            <w:r>
              <w:rPr>
                <w:rStyle w:val="CodeChar"/>
              </w:rPr>
              <w:t xml:space="preserve">/exports</w:t>
            </w:r>
            <w:r>
              <w:t xml:space="preserve"> · </w:t>
            </w:r>
            <w:r>
              <w:rPr>
                <w:rStyle w:val="CodeChar"/>
              </w:rPr>
              <w:t xml:space="preserve">GET /exports/:id</w:t>
            </w:r>
          </w:p>
        </w:tc>
        <w:tc>
          <w:tcPr>
            <w:tcW w:w="3102" w:type="dxa"/>
          </w:tcPr>
          <w:p>
            <w:pPr/>
            <w:r>
              <w:t xml:space="preserve">Queue and fetch PDF / DOCX / CSV</w:t>
            </w:r>
          </w:p>
        </w:tc>
      </w:tr>
      <w:tr>
        <w:tc>
          <w:tcPr>
            <w:tcW w:w="2362" w:type="dxa"/>
          </w:tcPr>
          <w:p>
            <w:pPr/>
            <w:r>
              <w:t xml:space="preserve">GET</w:t>
            </w:r>
          </w:p>
        </w:tc>
        <w:tc>
          <w:tcPr>
            <w:tcW w:w="3896" w:type="dxa"/>
          </w:tcPr>
          <w:p>
            <w:pPr/>
            <w:r>
              <w:rPr>
                <w:rStyle w:val="CodeChar"/>
              </w:rPr>
              <w:t xml:space="preserve">/inbox</w:t>
            </w:r>
            <w:r>
              <w:t xml:space="preserve"> · </w:t>
            </w:r>
            <w:r>
              <w:rPr>
                <w:rStyle w:val="CodeChar"/>
              </w:rPr>
              <w:t xml:space="preserve">POST /inbox/:id/read</w:t>
            </w:r>
          </w:p>
        </w:tc>
        <w:tc>
          <w:tcPr>
            <w:tcW w:w="3102" w:type="dxa"/>
          </w:tcPr>
          <w:p>
            <w:pPr/>
            <w:r>
              <w:t xml:space="preserve">In-app notifications</w:t>
            </w:r>
          </w:p>
        </w:tc>
      </w:tr>
      <w:tr>
        <w:tc>
          <w:tcPr>
            <w:tcW w:w="2362" w:type="dxa"/>
          </w:tcPr>
          <w:p>
            <w:pPr/>
            <w:r>
              <w:t xml:space="preserve">GET</w:t>
            </w:r>
          </w:p>
        </w:tc>
        <w:tc>
          <w:tcPr>
            <w:tcW w:w="3896" w:type="dxa"/>
          </w:tcPr>
          <w:p>
            <w:pPr/>
            <w:r>
              <w:rPr>
                <w:rStyle w:val="CodeChar"/>
              </w:rPr>
              <w:t xml:space="preserve">/reports/summary?from&amp;to</w:t>
            </w:r>
          </w:p>
        </w:tc>
        <w:tc>
          <w:tcPr>
            <w:tcW w:w="3102" w:type="dxa"/>
          </w:tcPr>
          <w:p>
            <w:pPr/>
            <w:r>
              <w:t xml:space="preserve">Reports v1</w:t>
            </w:r>
          </w:p>
        </w:tc>
      </w:tr>
    </w:tbl>
    <w:p>
      <w:pPr/>
      <w:r>
        <w:rPr>
          <w:b/>
        </w:rPr>
        <w:t xml:space="preserve">Phase 1 endpoints (customer portal, token auth)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95"/>
        <w:gridCol w:w="3575"/>
        <w:gridCol w:w="4789"/>
      </w:tblGrid>
      <w:tr>
        <w:trPr>
          <w:tblHeader/>
        </w:trPr>
        <w:tc>
          <w:tcPr>
            <w:tcW w:w="995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3575" w:type="dxa"/>
            <w:shd w:val="clear" w:color="auto" w:fill="F2F2F2"/>
          </w:tcPr>
          <w:p>
            <w:pPr/>
            <w:r>
              <w:t xml:space="preserve">Path</w:t>
            </w:r>
          </w:p>
        </w:tc>
        <w:tc>
          <w:tcPr>
            <w:tcW w:w="4789" w:type="dxa"/>
            <w:shd w:val="clear" w:color="auto" w:fill="F2F2F2"/>
          </w:tcPr>
          <w:p>
            <w:pPr/>
            <w:r>
              <w:t xml:space="preserve">Does</w:t>
            </w:r>
          </w:p>
        </w:tc>
      </w:tr>
      <w:tr>
        <w:tc>
          <w:tcPr>
            <w:tcW w:w="995" w:type="dxa"/>
          </w:tcPr>
          <w:p>
            <w:pPr/>
            <w:r>
              <w:t xml:space="preserve">GET</w:t>
            </w:r>
          </w:p>
        </w:tc>
        <w:tc>
          <w:tcPr>
            <w:tcW w:w="3575" w:type="dxa"/>
          </w:tcPr>
          <w:p>
            <w:pPr/>
            <w:r>
              <w:rPr>
                <w:rStyle w:val="CodeChar"/>
              </w:rPr>
              <w:t xml:space="preserve">/p/:slug/catalog</w:t>
            </w:r>
          </w:p>
        </w:tc>
        <w:tc>
          <w:tcPr>
            <w:tcW w:w="4789" w:type="dxa"/>
          </w:tcPr>
          <w:p>
            <w:pPr/>
            <w:r>
              <w:t xml:space="preserve">Public catalog read model (cacheable)</w:t>
            </w:r>
          </w:p>
        </w:tc>
      </w:tr>
      <w:tr>
        <w:tc>
          <w:tcPr>
            <w:tcW w:w="995" w:type="dxa"/>
          </w:tcPr>
          <w:p>
            <w:pPr/>
            <w:r>
              <w:t xml:space="preserve">POST</w:t>
            </w:r>
          </w:p>
        </w:tc>
        <w:tc>
          <w:tcPr>
            <w:tcW w:w="3575" w:type="dxa"/>
          </w:tcPr>
          <w:p>
            <w:pPr/>
            <w:r>
              <w:rPr>
                <w:rStyle w:val="CodeChar"/>
              </w:rPr>
              <w:t xml:space="preserve">/p/:slug/requests</w:t>
            </w:r>
          </w:p>
        </w:tc>
        <w:tc>
          <w:tcPr>
            <w:tcW w:w="4789" w:type="dxa"/>
          </w:tcPr>
          <w:p>
            <w:pPr/>
            <w:r>
              <w:t xml:space="preserve">Quote request → Lead (rate-limited, consent flag required)</w:t>
            </w:r>
          </w:p>
        </w:tc>
      </w:tr>
      <w:tr>
        <w:tc>
          <w:tcPr>
            <w:tcW w:w="995" w:type="dxa"/>
          </w:tcPr>
          <w:p>
            <w:pPr/>
            <w:r>
              <w:t xml:space="preserve">GET</w:t>
            </w:r>
          </w:p>
        </w:tc>
        <w:tc>
          <w:tcPr>
            <w:tcW w:w="3575" w:type="dxa"/>
          </w:tcPr>
          <w:p>
            <w:pPr/>
            <w:r>
              <w:rPr>
                <w:rStyle w:val="CodeChar"/>
              </w:rPr>
              <w:t xml:space="preserve">/q/:token</w:t>
            </w:r>
            <w:r>
              <w:t xml:space="preserve"> · </w:t>
            </w:r>
            <w:r>
              <w:rPr>
                <w:rStyle w:val="CodeChar"/>
              </w:rPr>
              <w:t xml:space="preserve">POST /q/:token/accept</w:t>
            </w:r>
          </w:p>
        </w:tc>
        <w:tc>
          <w:tcPr>
            <w:tcW w:w="4789" w:type="dxa"/>
          </w:tcPr>
          <w:p>
            <w:pPr/>
            <w:r>
              <w:t xml:space="preserve">Quote page and acceptance (name, phone, selected optional lines)</w:t>
            </w:r>
          </w:p>
        </w:tc>
      </w:tr>
      <w:tr>
        <w:tc>
          <w:tcPr>
            <w:tcW w:w="995" w:type="dxa"/>
          </w:tcPr>
          <w:p>
            <w:pPr/>
            <w:r>
              <w:t xml:space="preserve">GET</w:t>
            </w:r>
          </w:p>
        </w:tc>
        <w:tc>
          <w:tcPr>
            <w:tcW w:w="3575" w:type="dxa"/>
          </w:tcPr>
          <w:p>
            <w:pPr/>
            <w:r>
              <w:rPr>
                <w:rStyle w:val="CodeChar"/>
              </w:rPr>
              <w:t xml:space="preserve">/book/:package/slots</w:t>
            </w:r>
            <w:r>
              <w:t xml:space="preserve"> · </w:t>
            </w:r>
            <w:r>
              <w:rPr>
                <w:rStyle w:val="CodeChar"/>
              </w:rPr>
              <w:t xml:space="preserve">POST /book/:package</w:t>
            </w:r>
          </w:p>
        </w:tc>
        <w:tc>
          <w:tcPr>
            <w:tcW w:w="4789" w:type="dxa"/>
          </w:tcPr>
          <w:p>
            <w:pPr/>
            <w:r>
              <w:t xml:space="preserve">Booking picker</w:t>
            </w:r>
          </w:p>
        </w:tc>
      </w:tr>
      <w:tr>
        <w:tc>
          <w:tcPr>
            <w:tcW w:w="995" w:type="dxa"/>
          </w:tcPr>
          <w:p>
            <w:pPr/>
            <w:r>
              <w:t xml:space="preserve">GET</w:t>
            </w:r>
          </w:p>
        </w:tc>
        <w:tc>
          <w:tcPr>
            <w:tcW w:w="3575" w:type="dxa"/>
          </w:tcPr>
          <w:p>
            <w:pPr/>
            <w:r>
              <w:rPr>
                <w:rStyle w:val="CodeChar"/>
              </w:rPr>
              <w:t xml:space="preserve">/i/:token</w:t>
            </w:r>
            <w:r>
              <w:t xml:space="preserve"> · </w:t>
            </w:r>
            <w:r>
              <w:rPr>
                <w:rStyle w:val="CodeChar"/>
              </w:rPr>
              <w:t xml:space="preserve">POST /i/:token/proof</w:t>
            </w:r>
          </w:p>
        </w:tc>
        <w:tc>
          <w:tcPr>
            <w:tcW w:w="4789" w:type="dxa"/>
          </w:tcPr>
          <w:p>
            <w:pPr/>
            <w:r>
              <w:t xml:space="preserve">Invoice page, UPI deep link and QR, proof upload</w:t>
            </w:r>
          </w:p>
        </w:tc>
      </w:tr>
      <w:tr>
        <w:tc>
          <w:tcPr>
            <w:tcW w:w="995" w:type="dxa"/>
          </w:tcPr>
          <w:p>
            <w:pPr/>
            <w:r>
              <w:t xml:space="preserve">GET</w:t>
            </w:r>
          </w:p>
        </w:tc>
        <w:tc>
          <w:tcPr>
            <w:tcW w:w="3575" w:type="dxa"/>
          </w:tcPr>
          <w:p>
            <w:pPr/>
            <w:r>
              <w:rPr>
                <w:rStyle w:val="CodeChar"/>
              </w:rPr>
              <w:t xml:space="preserve">/me/:token</w:t>
            </w:r>
          </w:p>
        </w:tc>
        <w:tc>
          <w:tcPr>
            <w:tcW w:w="4789" w:type="dxa"/>
          </w:tcPr>
          <w:p>
            <w:pPr/>
            <w:r>
              <w:t xml:space="preserve">My orders</w:t>
            </w:r>
          </w:p>
        </w:tc>
      </w:tr>
    </w:tbl>
    <w:p>
      <w:pPr/>
      <w:r>
        <w:rPr>
          <w:b/>
        </w:rPr>
        <w:t xml:space="preserve">Webhooks (Phase 2, inbound)</w:t>
      </w:r>
      <w:r>
        <w:t xml:space="preserve">: </w:t>
      </w:r>
      <w:r>
        <w:rPr>
          <w:rStyle w:val="CodeChar"/>
        </w:rPr>
        <w:t xml:space="preserve">/webhooks/:provider</w:t>
      </w:r>
      <w:r>
        <w:t xml:space="preserve"> with signature verification and an idempotency table; unmatched payment webhooks create a </w:t>
      </w:r>
      <w:r>
        <w:rPr>
          <w:rStyle w:val="CodeChar"/>
        </w:rPr>
        <w:t xml:space="preserve">pending_approval</w:t>
      </w:r>
      <w:r>
        <w:t xml:space="preserve"> Payment rather than failing silently.</w:t>
      </w:r>
    </w:p>
    <w:p>
      <w:pPr>
        <w:pStyle w:val="Heading2"/>
      </w:pPr>
      <w:r>
        <w:t xml:space="preserve">Connector adapter interface</w:t>
      </w:r>
    </w:p>
    <w:p>
      <w:pPr/>
      <w:r>
        <w:t xml:space="preserve">Four adapter kinds, one registry. A workspace enables zero or more providers per kind; the API asks the registry for the best available adapter and always receives one, because the standalone fallback is itself an adapter.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52"/>
        <w:gridCol w:w="3655"/>
        <w:gridCol w:w="3037"/>
        <w:gridCol w:w="1316"/>
      </w:tblGrid>
      <w:tr>
        <w:trPr>
          <w:tblHeader/>
        </w:trPr>
        <w:tc>
          <w:tcPr>
            <w:tcW w:w="1352" w:type="dxa"/>
            <w:shd w:val="clear" w:color="auto" w:fill="F2F2F2"/>
          </w:tcPr>
          <w:p>
            <w:pPr/>
            <w:r>
              <w:t xml:space="preserve">Kind</w:t>
            </w:r>
          </w:p>
        </w:tc>
        <w:tc>
          <w:tcPr>
            <w:tcW w:w="3655" w:type="dxa"/>
            <w:shd w:val="clear" w:color="auto" w:fill="F2F2F2"/>
          </w:tcPr>
          <w:p>
            <w:pPr/>
            <w:r>
              <w:t xml:space="preserve">Interface (TypeScript sketch)</w:t>
            </w:r>
          </w:p>
        </w:tc>
        <w:tc>
          <w:tcPr>
            <w:tcW w:w="3037" w:type="dxa"/>
            <w:shd w:val="clear" w:color="auto" w:fill="F2F2F2"/>
          </w:tcPr>
          <w:p>
            <w:pPr/>
            <w:r>
              <w:t xml:space="preserve">Fallback adapter (Phase 1)</w:t>
            </w:r>
          </w:p>
        </w:tc>
        <w:tc>
          <w:tcPr>
            <w:tcW w:w="1316" w:type="dxa"/>
            <w:shd w:val="clear" w:color="auto" w:fill="F2F2F2"/>
          </w:tcPr>
          <w:p>
            <w:pPr/>
            <w:r>
              <w:t xml:space="preserve">Providers (Phase 2)</w:t>
            </w:r>
          </w:p>
        </w:tc>
      </w:tr>
      <w:tr>
        <w:tc>
          <w:tcPr>
            <w:tcW w:w="1352" w:type="dxa"/>
          </w:tcPr>
          <w:p>
            <w:pPr/>
            <w:r>
              <w:t xml:space="preserve">Payments</w:t>
            </w:r>
          </w:p>
        </w:tc>
        <w:tc>
          <w:tcPr>
            <w:tcW w:w="3655" w:type="dxa"/>
          </w:tcPr>
          <w:p>
            <w:pPr/>
            <w:r>
              <w:rPr>
                <w:rStyle w:val="CodeChar"/>
              </w:rPr>
              <w:t xml:space="preserve">createPaymentRequest(invoice) → { kind: 'link' | 'static', url?, upi?, bank?, qr }</w:t>
            </w:r>
            <w:r>
              <w:t xml:space="preserve">, </w:t>
            </w:r>
            <w:r>
              <w:rPr>
                <w:rStyle w:val="CodeChar"/>
              </w:rPr>
              <w:t xml:space="preserve">verifyWebhook(req)</w:t>
            </w:r>
            <w:r>
              <w:t xml:space="preserve">, </w:t>
            </w:r>
            <w:r>
              <w:rPr>
                <w:rStyle w:val="CodeChar"/>
              </w:rPr>
              <w:t xml:space="preserve">reconcile(event) → Payment</w:t>
            </w:r>
            <w:r>
              <w:t xml:space="preserve">, </w:t>
            </w:r>
            <w:r>
              <w:rPr>
                <w:rStyle w:val="CodeChar"/>
              </w:rPr>
              <w:t xml:space="preserve">refund?()</w:t>
            </w:r>
          </w:p>
        </w:tc>
        <w:tc>
          <w:tcPr>
            <w:tcW w:w="3037" w:type="dxa"/>
          </w:tcPr>
          <w:p>
            <w:pPr/>
            <w:r>
              <w:rPr>
                <w:rStyle w:val="CodeChar"/>
              </w:rPr>
              <w:t xml:space="preserve">static-upi</w:t>
            </w:r>
            <w:r>
              <w:t xml:space="preserve">: returns the UPI deep link, QR and bank block; reconciliation is the approval queue</w:t>
            </w:r>
          </w:p>
        </w:tc>
        <w:tc>
          <w:tcPr>
            <w:tcW w:w="1316" w:type="dxa"/>
          </w:tcPr>
          <w:p>
            <w:pPr/>
            <w:r>
              <w:rPr>
                <w:rStyle w:val="CodeChar"/>
              </w:rPr>
              <w:t xml:space="preserve">razorpay</w:t>
            </w:r>
            <w:r>
              <w:t xml:space="preserve">, </w:t>
            </w:r>
            <w:r>
              <w:rPr>
                <w:rStyle w:val="CodeChar"/>
              </w:rPr>
              <w:t xml:space="preserve">stripe</w:t>
            </w:r>
            <w:r>
              <w:t xml:space="preserve">, </w:t>
            </w:r>
            <w:r>
              <w:rPr>
                <w:rStyle w:val="CodeChar"/>
              </w:rPr>
              <w:t xml:space="preserve">polar</w:t>
            </w:r>
          </w:p>
        </w:tc>
      </w:tr>
      <w:tr>
        <w:tc>
          <w:tcPr>
            <w:tcW w:w="1352" w:type="dxa"/>
          </w:tcPr>
          <w:p>
            <w:pPr/>
            <w:r>
              <w:t xml:space="preserve">Email</w:t>
            </w:r>
          </w:p>
        </w:tc>
        <w:tc>
          <w:tcPr>
            <w:tcW w:w="3655" w:type="dxa"/>
          </w:tcPr>
          <w:p>
            <w:pPr/>
            <w:r>
              <w:rPr>
                <w:rStyle w:val="CodeChar"/>
              </w:rPr>
              <w:t xml:space="preserve">send(template, to, data) → { id }</w:t>
            </w:r>
            <w:r>
              <w:t xml:space="preserve">, </w:t>
            </w:r>
            <w:r>
              <w:rPr>
                <w:rStyle w:val="CodeChar"/>
              </w:rPr>
              <w:t xml:space="preserve">status(id)</w:t>
            </w:r>
          </w:p>
        </w:tc>
        <w:tc>
          <w:tcPr>
            <w:tcW w:w="3037" w:type="dxa"/>
          </w:tcPr>
          <w:p>
            <w:pPr/>
            <w:r>
              <w:rPr>
                <w:rStyle w:val="CodeChar"/>
              </w:rPr>
              <w:t xml:space="preserve">mailto</w:t>
            </w:r>
            <w:r>
              <w:t xml:space="preserve">: returns a ready message and logs it as shared; used only if Resend is down</w:t>
            </w:r>
          </w:p>
        </w:tc>
        <w:tc>
          <w:tcPr>
            <w:tcW w:w="1316" w:type="dxa"/>
          </w:tcPr>
          <w:p>
            <w:pPr/>
            <w:r>
              <w:rPr>
                <w:rStyle w:val="CodeChar"/>
              </w:rPr>
              <w:t xml:space="preserve">resend</w:t>
            </w:r>
            <w:r>
              <w:t xml:space="preserve"> (Phase 1 default), SES later</w:t>
            </w:r>
          </w:p>
        </w:tc>
      </w:tr>
      <w:tr>
        <w:tc>
          <w:tcPr>
            <w:tcW w:w="1352" w:type="dxa"/>
          </w:tcPr>
          <w:p>
            <w:pPr/>
            <w:r>
              <w:t xml:space="preserve">Messaging</w:t>
            </w:r>
          </w:p>
        </w:tc>
        <w:tc>
          <w:tcPr>
            <w:tcW w:w="3655" w:type="dxa"/>
          </w:tcPr>
          <w:p>
            <w:pPr/>
            <w:r>
              <w:rPr>
                <w:rStyle w:val="CodeChar"/>
              </w:rPr>
              <w:t xml:space="preserve">send(channel, template, to, data)</w:t>
            </w:r>
            <w:r>
              <w:t xml:space="preserve">, </w:t>
            </w:r>
            <w:r>
              <w:rPr>
                <w:rStyle w:val="CodeChar"/>
              </w:rPr>
              <w:t xml:space="preserve">status(id)</w:t>
            </w:r>
            <w:r>
              <w:t xml:space="preserve">, </w:t>
            </w:r>
            <w:r>
              <w:rPr>
                <w:rStyle w:val="CodeChar"/>
              </w:rPr>
              <w:t xml:space="preserve">inbound(req)</w:t>
            </w:r>
          </w:p>
        </w:tc>
        <w:tc>
          <w:tcPr>
            <w:tcW w:w="3037" w:type="dxa"/>
          </w:tcPr>
          <w:p>
            <w:pPr/>
            <w:r>
              <w:rPr>
                <w:rStyle w:val="CodeChar"/>
              </w:rPr>
              <w:t xml:space="preserve">share-sheet</w:t>
            </w:r>
            <w:r>
              <w:t xml:space="preserve">: returns the rendered text and a </w:t>
            </w:r>
            <w:r>
              <w:rPr>
                <w:rStyle w:val="CodeChar"/>
              </w:rPr>
              <w:t xml:space="preserve">wa.me</w:t>
            </w:r>
            <w:r>
              <w:t xml:space="preserve"> / </w:t>
            </w:r>
            <w:r>
              <w:rPr>
                <w:rStyle w:val="CodeChar"/>
              </w:rPr>
              <w:t xml:space="preserve">sms:</w:t>
            </w:r>
            <w:r>
              <w:t xml:space="preserve"> link</w:t>
            </w:r>
          </w:p>
        </w:tc>
        <w:tc>
          <w:tcPr>
            <w:tcW w:w="1316" w:type="dxa"/>
          </w:tcPr>
          <w:p>
            <w:pPr/>
            <w:r>
              <w:rPr>
                <w:rStyle w:val="CodeChar"/>
              </w:rPr>
              <w:t xml:space="preserve">whatsapp-business</w:t>
            </w:r>
            <w:r>
              <w:t xml:space="preserve">, </w:t>
            </w:r>
            <w:r>
              <w:rPr>
                <w:rStyle w:val="CodeChar"/>
              </w:rPr>
              <w:t xml:space="preserve">msg91</w:t>
            </w:r>
          </w:p>
        </w:tc>
      </w:tr>
      <w:tr>
        <w:tc>
          <w:tcPr>
            <w:tcW w:w="1352" w:type="dxa"/>
          </w:tcPr>
          <w:p>
            <w:pPr/>
            <w:r>
              <w:t xml:space="preserve">OTP</w:t>
            </w:r>
          </w:p>
        </w:tc>
        <w:tc>
          <w:tcPr>
            <w:tcW w:w="3655" w:type="dxa"/>
          </w:tcPr>
          <w:p>
            <w:pPr/>
            <w:r>
              <w:rPr>
                <w:rStyle w:val="CodeChar"/>
              </w:rPr>
              <w:t xml:space="preserve">start(phone) → { challenge }</w:t>
            </w:r>
            <w:r>
              <w:t xml:space="preserve">, </w:t>
            </w:r>
            <w:r>
              <w:rPr>
                <w:rStyle w:val="CodeChar"/>
              </w:rPr>
              <w:t xml:space="preserve">verify(challenge, code)</w:t>
            </w:r>
          </w:p>
        </w:tc>
        <w:tc>
          <w:tcPr>
            <w:tcW w:w="3037" w:type="dxa"/>
          </w:tcPr>
          <w:p>
            <w:pPr/>
            <w:r>
              <w:rPr>
                <w:rStyle w:val="CodeChar"/>
              </w:rPr>
              <w:t xml:space="preserve">link-possession</w:t>
            </w:r>
            <w:r>
              <w:t xml:space="preserve">: the private link is the proof; no code</w:t>
            </w:r>
          </w:p>
        </w:tc>
        <w:tc>
          <w:tcPr>
            <w:tcW w:w="1316" w:type="dxa"/>
          </w:tcPr>
          <w:p>
            <w:pPr/>
            <w:r>
              <w:rPr>
                <w:rStyle w:val="CodeChar"/>
              </w:rPr>
              <w:t xml:space="preserve">msg91</w:t>
            </w:r>
            <w:r>
              <w:t xml:space="preserve">, </w:t>
            </w:r>
            <w:r>
              <w:rPr>
                <w:rStyle w:val="CodeChar"/>
              </w:rPr>
              <w:t xml:space="preserve">twilio</w:t>
            </w:r>
          </w:p>
        </w:tc>
      </w:tr>
      <w:tr>
        <w:tc>
          <w:tcPr>
            <w:tcW w:w="1352" w:type="dxa"/>
          </w:tcPr>
          <w:p>
            <w:pPr/>
            <w:r>
              <w:t xml:space="preserve">Ingest</w:t>
            </w:r>
          </w:p>
        </w:tc>
        <w:tc>
          <w:tcPr>
            <w:tcW w:w="3655" w:type="dxa"/>
          </w:tcPr>
          <w:p>
            <w:pPr/>
            <w:r>
              <w:rPr>
                <w:rStyle w:val="CodeChar"/>
              </w:rPr>
              <w:t xml:space="preserve">structure(file | text, target) → { draft, confidence }</w:t>
            </w:r>
          </w:p>
        </w:tc>
        <w:tc>
          <w:tcPr>
            <w:tcW w:w="3037" w:type="dxa"/>
          </w:tcPr>
          <w:p>
            <w:pPr/>
            <w:r>
              <w:rPr>
                <w:rStyle w:val="CodeChar"/>
              </w:rPr>
              <w:t xml:space="preserve">csv</w:t>
            </w:r>
            <w:r>
              <w:t xml:space="preserve">: column mapping only</w:t>
            </w:r>
          </w:p>
        </w:tc>
        <w:tc>
          <w:tcPr>
            <w:tcW w:w="1316" w:type="dxa"/>
          </w:tcPr>
          <w:p>
            <w:pPr/>
            <w:r>
              <w:rPr>
                <w:rStyle w:val="CodeChar"/>
              </w:rPr>
              <w:t xml:space="preserve">claude</w:t>
            </w:r>
          </w:p>
        </w:tc>
      </w:tr>
    </w:tbl>
    <w:p>
      <w:pPr/>
      <w:r>
        <w:rPr>
          <w:b/>
        </w:rPr>
        <w:t xml:space="preserve">Rules</w:t>
      </w:r>
    </w:p>
    <w:p>
      <w:pPr>
        <w:pStyle w:val="ListParagraph"/>
        <w:numPr>
          <w:ilvl w:val="0"/>
          <w:numId w:val="3"/>
        </w:numPr>
      </w:pPr>
      <w:r>
        <w:t xml:space="preserve">Adapters never touch the database; they return typed results and the owning module writes.</w:t>
      </w:r>
    </w:p>
    <w:p>
      <w:pPr>
        <w:pStyle w:val="ListParagraph"/>
        <w:numPr>
          <w:ilvl w:val="0"/>
          <w:numId w:val="3"/>
        </w:numPr>
      </w:pPr>
      <w:r>
        <w:t xml:space="preserve">Each provider has a </w:t>
      </w:r>
      <w:r>
        <w:rPr>
          <w:rStyle w:val="CodeChar"/>
        </w:rPr>
        <w:t xml:space="preserve">health()</w:t>
      </w:r>
      <w:r>
        <w:t xml:space="preserve"> check and a settings schema; the settings UI is generated from the schema, with secrets write-only.</w:t>
      </w:r>
    </w:p>
    <w:p>
      <w:pPr>
        <w:pStyle w:val="ListParagraph"/>
        <w:numPr>
          <w:ilvl w:val="0"/>
          <w:numId w:val="3"/>
        </w:numPr>
      </w:pPr>
      <w:r>
        <w:t xml:space="preserve">Selection order per kind is a workspace setting with a recommended default (Razorpay in India); if the chosen provider fails health, the next enabled one is used, then the fallback, and the owner is told in the inbox.</w:t>
      </w:r>
    </w:p>
    <w:p>
      <w:pPr>
        <w:pStyle w:val="ListParagraph"/>
        <w:numPr>
          <w:ilvl w:val="0"/>
          <w:numId w:val="3"/>
        </w:numPr>
      </w:pPr>
      <w:r>
        <w:t xml:space="preserve">Every outbound call is logged with provider, latency and a scrubbed payload; every inbound webhook is stored raw before processing.</w:t>
      </w:r>
    </w:p>
    <w:p>
      <w:pPr>
        <w:pStyle w:val="ListParagraph"/>
        <w:numPr>
          <w:ilvl w:val="0"/>
          <w:numId w:val="3"/>
        </w:numPr>
      </w:pPr>
      <w:r>
        <w:t xml:space="preserve">Contract tests run against each provider's sandbox nightly and against a recorded fixture on every PR.</w:t>
      </w:r>
    </w:p>
    <w:p>
      <w:pPr>
        <w:pStyle w:val="Heading2"/>
      </w:pPr>
      <w:r>
        <w:t xml:space="preserve">Analytics event plan</w:t>
      </w:r>
    </w:p>
    <w:p>
      <w:pPr/>
      <w:r>
        <w:t xml:space="preserve">Events are named </w:t>
      </w:r>
      <w:r>
        <w:rPr>
          <w:rStyle w:val="CodeChar"/>
        </w:rPr>
        <w:t xml:space="preserve">object_verb</w:t>
      </w:r>
      <w:r>
        <w:t xml:space="preserve">, carry </w:t>
      </w:r>
      <w:r>
        <w:rPr>
          <w:rStyle w:val="CodeChar"/>
        </w:rPr>
        <w:t xml:space="preserve">workspace_id</w:t>
      </w:r>
      <w:r>
        <w:t xml:space="preserve">, </w:t>
      </w:r>
      <w:r>
        <w:rPr>
          <w:rStyle w:val="CodeChar"/>
        </w:rPr>
        <w:t xml:space="preserve">actor</w:t>
      </w:r>
      <w:r>
        <w:t xml:space="preserve"> (owner / staff / customer / system) and </w:t>
      </w:r>
      <w:r>
        <w:rPr>
          <w:rStyle w:val="CodeChar"/>
        </w:rPr>
        <w:t xml:space="preserve">source</w:t>
      </w:r>
      <w:r>
        <w:t xml:space="preserve"> where known, never a name, phone or email. One event per row below is enough to compute every GTM test.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3148"/>
        <w:gridCol w:w="2599"/>
        <w:gridCol w:w="1273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Event</w:t>
            </w:r>
          </w:p>
        </w:tc>
        <w:tc>
          <w:tcPr>
            <w:tcW w:w="3148" w:type="dxa"/>
            <w:shd w:val="clear" w:color="auto" w:fill="F2F2F2"/>
          </w:tcPr>
          <w:p>
            <w:pPr/>
            <w:r>
              <w:t xml:space="preserve">Fired when</w:t>
            </w:r>
          </w:p>
        </w:tc>
        <w:tc>
          <w:tcPr>
            <w:tcW w:w="2599" w:type="dxa"/>
            <w:shd w:val="clear" w:color="auto" w:fill="F2F2F2"/>
          </w:tcPr>
          <w:p>
            <w:pPr/>
            <w:r>
              <w:t xml:space="preserve">Properties</w:t>
            </w:r>
          </w:p>
        </w:tc>
        <w:tc>
          <w:tcPr>
            <w:tcW w:w="1273" w:type="dxa"/>
            <w:shd w:val="clear" w:color="auto" w:fill="F2F2F2"/>
          </w:tcPr>
          <w:p>
            <w:pPr/>
            <w:r>
              <w:t xml:space="preserve">Feeds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workspace_created</w:t>
            </w:r>
          </w:p>
        </w:tc>
        <w:tc>
          <w:tcPr>
            <w:tcW w:w="3148" w:type="dxa"/>
          </w:tcPr>
          <w:p>
            <w:pPr/>
            <w:r>
              <w:t xml:space="preserve">Onboarding step 2</w:t>
            </w:r>
          </w:p>
        </w:tc>
        <w:tc>
          <w:tcPr>
            <w:tcW w:w="2599" w:type="dxa"/>
          </w:tcPr>
          <w:p>
            <w:pPr/>
            <w:r>
              <w:t xml:space="preserve">vertical, channel tag from sign-up link</w:t>
            </w:r>
          </w:p>
        </w:tc>
        <w:tc>
          <w:tcPr>
            <w:tcW w:w="1273" w:type="dxa"/>
          </w:tcPr>
          <w:p>
            <w:pPr/>
            <w:r>
              <w:t xml:space="preserve">G1, G7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catalog_shared</w:t>
            </w:r>
          </w:p>
        </w:tc>
        <w:tc>
          <w:tcPr>
            <w:tcW w:w="3148" w:type="dxa"/>
          </w:tcPr>
          <w:p>
            <w:pPr/>
            <w:r>
              <w:t xml:space="preserve">Owner copies the link, downloads the QR or shares the price-list message</w:t>
            </w:r>
          </w:p>
        </w:tc>
        <w:tc>
          <w:tcPr>
            <w:tcW w:w="2599" w:type="dxa"/>
          </w:tcPr>
          <w:p>
            <w:pPr/>
            <w:r>
              <w:t xml:space="preserve">method</w:t>
            </w:r>
          </w:p>
        </w:tc>
        <w:tc>
          <w:tcPr>
            <w:tcW w:w="1273" w:type="dxa"/>
          </w:tcPr>
          <w:p>
            <w:pPr/>
            <w:r>
              <w:t xml:space="preserve">G1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lead_created</w:t>
            </w:r>
          </w:p>
        </w:tc>
        <w:tc>
          <w:tcPr>
            <w:tcW w:w="3148" w:type="dxa"/>
          </w:tcPr>
          <w:p>
            <w:pPr/>
            <w:r>
              <w:t xml:space="preserve">Portal request or manual entry</w:t>
            </w:r>
          </w:p>
        </w:tc>
        <w:tc>
          <w:tcPr>
            <w:tcW w:w="2599" w:type="dxa"/>
          </w:tcPr>
          <w:p>
            <w:pPr/>
            <w:r>
              <w:t xml:space="preserve">source (qr / web / instagram / referral / manual)</w:t>
            </w:r>
          </w:p>
        </w:tc>
        <w:tc>
          <w:tcPr>
            <w:tcW w:w="1273" w:type="dxa"/>
          </w:tcPr>
          <w:p>
            <w:pPr/>
            <w:r>
              <w:t xml:space="preserve">G2, G8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quote_shared</w:t>
            </w:r>
          </w:p>
        </w:tc>
        <w:tc>
          <w:tcPr>
            <w:tcW w:w="3148" w:type="dxa"/>
          </w:tcPr>
          <w:p>
            <w:pPr/>
            <w:r>
              <w:t xml:space="preserve">First share of a quote</w:t>
            </w:r>
          </w:p>
        </w:tc>
        <w:tc>
          <w:tcPr>
            <w:tcW w:w="2599" w:type="dxa"/>
          </w:tcPr>
          <w:p>
            <w:pPr/>
            <w:r>
              <w:t xml:space="preserve">minutes_since_lead, from_package</w:t>
            </w:r>
          </w:p>
        </w:tc>
        <w:tc>
          <w:tcPr>
            <w:tcW w:w="1273" w:type="dxa"/>
          </w:tcPr>
          <w:p>
            <w:pPr/>
            <w:r>
              <w:t xml:space="preserve">G2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quote_viewed</w:t>
            </w:r>
          </w:p>
        </w:tc>
        <w:tc>
          <w:tcPr>
            <w:tcW w:w="3148" w:type="dxa"/>
          </w:tcPr>
          <w:p>
            <w:pPr/>
            <w:r>
              <w:t xml:space="preserve">First portal open, bots excluded</w:t>
            </w:r>
          </w:p>
        </w:tc>
        <w:tc>
          <w:tcPr>
            <w:tcW w:w="2599" w:type="dxa"/>
          </w:tcPr>
          <w:p>
            <w:pPr/>
            <w:r>
              <w:t xml:space="preserve">hours_since_share</w:t>
            </w:r>
          </w:p>
        </w:tc>
        <w:tc>
          <w:tcPr>
            <w:tcW w:w="1273" w:type="dxa"/>
          </w:tcPr>
          <w:p>
            <w:pPr/>
            <w:r>
              <w:t xml:space="preserve">G3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quote_accepted</w:t>
            </w:r>
          </w:p>
        </w:tc>
        <w:tc>
          <w:tcPr>
            <w:tcW w:w="3148" w:type="dxa"/>
          </w:tcPr>
          <w:p>
            <w:pPr/>
            <w:r>
              <w:t xml:space="preserve">Customer accepts</w:t>
            </w:r>
          </w:p>
        </w:tc>
        <w:tc>
          <w:tcPr>
            <w:tcW w:w="2599" w:type="dxa"/>
          </w:tcPr>
          <w:p>
            <w:pPr/>
            <w:r>
              <w:t xml:space="preserve">version, hours_since_share, optional_lines_selected</w:t>
            </w:r>
          </w:p>
        </w:tc>
        <w:tc>
          <w:tcPr>
            <w:tcW w:w="1273" w:type="dxa"/>
          </w:tcPr>
          <w:p>
            <w:pPr/>
            <w:r>
              <w:t xml:space="preserve">G3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invoice_shared</w:t>
            </w:r>
          </w:p>
        </w:tc>
        <w:tc>
          <w:tcPr>
            <w:tcW w:w="3148" w:type="dxa"/>
          </w:tcPr>
          <w:p>
            <w:pPr/>
            <w:r>
              <w:t xml:space="preserve">Number assigned and shared</w:t>
            </w:r>
          </w:p>
        </w:tc>
        <w:tc>
          <w:tcPr>
            <w:tcW w:w="2599" w:type="dxa"/>
          </w:tcPr>
          <w:p>
            <w:pPr/>
            <w:r>
              <w:t xml:space="preserve">from (quote / job / manual), total_bucket</w:t>
            </w:r>
          </w:p>
        </w:tc>
        <w:tc>
          <w:tcPr>
            <w:tcW w:w="1273" w:type="dxa"/>
          </w:tcPr>
          <w:p>
            <w:pPr/>
            <w:r>
              <w:t xml:space="preserve">G4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payment_recorded</w:t>
            </w:r>
          </w:p>
        </w:tc>
        <w:tc>
          <w:tcPr>
            <w:tcW w:w="3148" w:type="dxa"/>
          </w:tcPr>
          <w:p>
            <w:pPr/>
            <w:r>
              <w:t xml:space="preserve">Proof uploaded or cash recorded</w:t>
            </w:r>
          </w:p>
        </w:tc>
        <w:tc>
          <w:tcPr>
            <w:tcW w:w="2599" w:type="dxa"/>
          </w:tcPr>
          <w:p>
            <w:pPr/>
            <w:r>
              <w:t xml:space="preserve">method, has_proof</w:t>
            </w:r>
          </w:p>
        </w:tc>
        <w:tc>
          <w:tcPr>
            <w:tcW w:w="1273" w:type="dxa"/>
          </w:tcPr>
          <w:p>
            <w:pPr/>
            <w:r>
              <w:t xml:space="preserve">G4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payment_approved</w:t>
            </w:r>
          </w:p>
        </w:tc>
        <w:tc>
          <w:tcPr>
            <w:tcW w:w="3148" w:type="dxa"/>
          </w:tcPr>
          <w:p>
            <w:pPr/>
            <w:r>
              <w:t xml:space="preserve">Owner or Manager approves</w:t>
            </w:r>
          </w:p>
        </w:tc>
        <w:tc>
          <w:tcPr>
            <w:tcW w:w="2599" w:type="dxa"/>
          </w:tcPr>
          <w:p>
            <w:pPr/>
            <w:r>
              <w:t xml:space="preserve">hours_since_recorded, via (app / email)</w:t>
            </w:r>
          </w:p>
        </w:tc>
        <w:tc>
          <w:tcPr>
            <w:tcW w:w="1273" w:type="dxa"/>
          </w:tcPr>
          <w:p>
            <w:pPr/>
            <w:r>
              <w:t xml:space="preserve">G4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invoice_paid</w:t>
            </w:r>
          </w:p>
        </w:tc>
        <w:tc>
          <w:tcPr>
            <w:tcW w:w="3148" w:type="dxa"/>
          </w:tcPr>
          <w:p>
            <w:pPr/>
            <w:r>
              <w:t xml:space="preserve">Invoice turns Paid</w:t>
            </w:r>
          </w:p>
        </w:tc>
        <w:tc>
          <w:tcPr>
            <w:tcW w:w="2599" w:type="dxa"/>
          </w:tcPr>
          <w:p>
            <w:pPr/>
            <w:r>
              <w:t xml:space="preserve">days_since_share</w:t>
            </w:r>
          </w:p>
        </w:tc>
        <w:tc>
          <w:tcPr>
            <w:tcW w:w="1273" w:type="dxa"/>
          </w:tcPr>
          <w:p>
            <w:pPr/>
            <w:r>
              <w:t xml:space="preserve">G4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booking_confirmed</w:t>
            </w:r>
            <w:r>
              <w:t xml:space="preserve">, </w:t>
            </w:r>
            <w:r>
              <w:rPr>
                <w:rStyle w:val="CodeChar"/>
              </w:rPr>
              <w:t xml:space="preserve">job_completed</w:t>
            </w:r>
          </w:p>
        </w:tc>
        <w:tc>
          <w:tcPr>
            <w:tcW w:w="3148" w:type="dxa"/>
          </w:tcPr>
          <w:p>
            <w:pPr/>
            <w:r>
              <w:t xml:space="preserve">As named</w:t>
            </w:r>
          </w:p>
        </w:tc>
        <w:tc>
          <w:tcPr>
            <w:tcW w:w="2599" w:type="dxa"/>
          </w:tcPr>
          <w:p>
            <w:pPr/>
            <w:r>
              <w:t xml:space="preserve">staff_count</w:t>
            </w:r>
          </w:p>
        </w:tc>
        <w:tc>
          <w:tcPr>
            <w:tcW w:w="1273" w:type="dxa"/>
          </w:tcPr>
          <w:p>
            <w:pPr/>
            <w:r>
              <w:t xml:space="preserve">usage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member_active_day</w:t>
            </w:r>
          </w:p>
        </w:tc>
        <w:tc>
          <w:tcPr>
            <w:tcW w:w="3148" w:type="dxa"/>
          </w:tcPr>
          <w:p>
            <w:pPr/>
            <w:r>
              <w:t xml:space="preserve">First action of a member each day</w:t>
            </w:r>
          </w:p>
        </w:tc>
        <w:tc>
          <w:tcPr>
            <w:tcW w:w="2599" w:type="dxa"/>
          </w:tcPr>
          <w:p>
            <w:pPr/>
            <w:r>
              <w:t xml:space="preserve">role</w:t>
            </w:r>
          </w:p>
        </w:tc>
        <w:tc>
          <w:tcPr>
            <w:tcW w:w="1273" w:type="dxa"/>
          </w:tcPr>
          <w:p>
            <w:pPr/>
            <w:r>
              <w:t xml:space="preserve">G5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commitment_asked</w:t>
            </w:r>
            <w:r>
              <w:t xml:space="preserve">, </w:t>
            </w:r>
            <w:r>
              <w:rPr>
                <w:rStyle w:val="CodeChar"/>
              </w:rPr>
              <w:t xml:space="preserve">commitment_answered</w:t>
            </w:r>
          </w:p>
        </w:tc>
        <w:tc>
          <w:tcPr>
            <w:tcW w:w="3148" w:type="dxa"/>
          </w:tcPr>
          <w:p>
            <w:pPr/>
            <w:r>
              <w:t xml:space="preserve">Day-20 ask logged by the success buddy</w:t>
            </w:r>
          </w:p>
        </w:tc>
        <w:tc>
          <w:tcPr>
            <w:tcW w:w="2599" w:type="dxa"/>
          </w:tcPr>
          <w:p>
            <w:pPr/>
            <w:r>
              <w:t xml:space="preserve">answer (yes / no / later)</w:t>
            </w:r>
          </w:p>
        </w:tc>
        <w:tc>
          <w:tcPr>
            <w:tcW w:w="1273" w:type="dxa"/>
          </w:tcPr>
          <w:p>
            <w:pPr/>
            <w:r>
              <w:t xml:space="preserve">G6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signup_attributed</w:t>
            </w:r>
          </w:p>
        </w:tc>
        <w:tc>
          <w:tcPr>
            <w:tcW w:w="3148" w:type="dxa"/>
          </w:tcPr>
          <w:p>
            <w:pPr/>
            <w:r>
              <w:t xml:space="preserve">Workspace created from a tagged link or the free-plan badge</w:t>
            </w:r>
          </w:p>
        </w:tc>
        <w:tc>
          <w:tcPr>
            <w:tcW w:w="2599" w:type="dxa"/>
          </w:tcPr>
          <w:p>
            <w:pPr/>
            <w:r>
              <w:t xml:space="preserve">channel</w:t>
            </w:r>
          </w:p>
        </w:tc>
        <w:tc>
          <w:tcPr>
            <w:tcW w:w="1273" w:type="dxa"/>
          </w:tcPr>
          <w:p>
            <w:pPr/>
            <w:r>
              <w:t xml:space="preserve">G7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template_shared</w:t>
            </w:r>
          </w:p>
        </w:tc>
        <w:tc>
          <w:tcPr>
            <w:tcW w:w="3148" w:type="dxa"/>
          </w:tcPr>
          <w:p>
            <w:pPr/>
            <w:r>
              <w:t xml:space="preserve">Any ready message copied or shared</w:t>
            </w:r>
          </w:p>
        </w:tc>
        <w:tc>
          <w:tcPr>
            <w:tcW w:w="2599" w:type="dxa"/>
          </w:tcPr>
          <w:p>
            <w:pPr/>
            <w:r>
              <w:t xml:space="preserve">event number, channel</w:t>
            </w:r>
          </w:p>
        </w:tc>
        <w:tc>
          <w:tcPr>
            <w:tcW w:w="1273" w:type="dxa"/>
          </w:tcPr>
          <w:p>
            <w:pPr/>
            <w:r>
              <w:t xml:space="preserve">messages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export_created</w:t>
            </w:r>
          </w:p>
        </w:tc>
        <w:tc>
          <w:tcPr>
            <w:tcW w:w="3148" w:type="dxa"/>
          </w:tcPr>
          <w:p>
            <w:pPr/>
            <w:r>
              <w:t xml:space="preserve">PDF / DOCX / CSV</w:t>
            </w:r>
          </w:p>
        </w:tc>
        <w:tc>
          <w:tcPr>
            <w:tcW w:w="2599" w:type="dxa"/>
          </w:tcPr>
          <w:p>
            <w:pPr/>
            <w:r>
              <w:t xml:space="preserve">format, record type</w:t>
            </w:r>
          </w:p>
        </w:tc>
        <w:tc>
          <w:tcPr>
            <w:tcW w:w="1273" w:type="dxa"/>
          </w:tcPr>
          <w:p>
            <w:pPr/>
            <w:r>
              <w:t xml:space="preserve">usage</w:t>
            </w:r>
          </w:p>
        </w:tc>
      </w:tr>
    </w:tbl>
    <w:p>
      <w:pPr/>
      <w:r>
        <w:t xml:space="preserve">Dashboards: one per GTM test with its pass line drawn; a daily snapshot posts to Slack #pilot. Event names are frozen once the pilot starts; new events are added, old ones never renamed.</w:t>
      </w:r>
    </w:p>
    <w:p>
      <w:pPr>
        <w:pStyle w:val="Heading2"/>
      </w:pPr>
      <w:r>
        <w:t xml:space="preserve">Acceptance criteria (Phase 1)</w:t>
      </w:r>
    </w:p>
    <w:p>
      <w:pPr/>
      <w:r>
        <w:t xml:space="preserve">Each line becomes a test in the package's first commit and a checkbox in its Linear issue. The WBS "Done when" column is the summary; this is the contract.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6"/>
        <w:gridCol w:w="7793"/>
      </w:tblGrid>
      <w:tr>
        <w:trPr>
          <w:tblHeader/>
        </w:trPr>
        <w:tc>
          <w:tcPr>
            <w:tcW w:w="1566" w:type="dxa"/>
            <w:shd w:val="clear" w:color="auto" w:fill="F2F2F2"/>
          </w:tcPr>
          <w:p>
            <w:pPr/>
            <w:r>
              <w:t xml:space="preserve">WBS</w:t>
            </w:r>
          </w:p>
        </w:tc>
        <w:tc>
          <w:tcPr>
            <w:tcW w:w="7793" w:type="dxa"/>
            <w:shd w:val="clear" w:color="auto" w:fill="F2F2F2"/>
          </w:tcPr>
          <w:p>
            <w:pPr/>
            <w:r>
              <w:t xml:space="preserve">Given / when / then</w:t>
            </w:r>
          </w:p>
        </w:tc>
      </w:tr>
      <w:tr>
        <w:tc>
          <w:tcPr>
            <w:tcW w:w="1566" w:type="dxa"/>
          </w:tcPr>
          <w:p>
            <w:pPr/>
            <w:r>
              <w:t xml:space="preserve">1.2</w:t>
            </w:r>
          </w:p>
        </w:tc>
        <w:tc>
          <w:tcPr>
            <w:tcW w:w="7793" w:type="dxa"/>
          </w:tcPr>
          <w:p>
            <w:pPr/>
            <w:r>
              <w:t xml:space="preserve">Given a member of workspace A, when they query any table with B's ids, then zero rows and no error leak; given a migration, when run twice, then it is a no-op</w:t>
            </w:r>
          </w:p>
        </w:tc>
      </w:tr>
      <w:tr>
        <w:tc>
          <w:tcPr>
            <w:tcW w:w="1566" w:type="dxa"/>
          </w:tcPr>
          <w:p>
            <w:pPr/>
            <w:r>
              <w:t xml:space="preserve">1.3</w:t>
            </w:r>
          </w:p>
        </w:tc>
        <w:tc>
          <w:tcPr>
            <w:tcW w:w="7793" w:type="dxa"/>
          </w:tcPr>
          <w:p>
            <w:pPr/>
            <w:r>
              <w:t xml:space="preserve">Given a Google account, when it signs in on web and on the Expo shell, then one user, two sessions, both listed and individually revocable; given an invite to </w:t>
            </w:r>
            <w:r>
              <w:rPr>
                <w:rStyle w:val="CodeChar"/>
              </w:rPr>
              <w:t xml:space="preserve">a@x</w:t>
            </w:r>
            <w:r>
              <w:t xml:space="preserve">, when </w:t>
            </w:r>
            <w:r>
              <w:rPr>
                <w:rStyle w:val="CodeChar"/>
              </w:rPr>
              <w:t xml:space="preserve">b@y</w:t>
            </w:r>
            <w:r>
              <w:t xml:space="preserve"> signs in, then the invite is visible to the owner, editable, and claimable with the invite code; given a billing or delete action, when the session is older than 15 minutes, then re-auth is required</w:t>
            </w:r>
          </w:p>
        </w:tc>
      </w:tr>
      <w:tr>
        <w:tc>
          <w:tcPr>
            <w:tcW w:w="1566" w:type="dxa"/>
          </w:tcPr>
          <w:p>
            <w:pPr/>
            <w:r>
              <w:t xml:space="preserve">1.4</w:t>
            </w:r>
          </w:p>
        </w:tc>
        <w:tc>
          <w:tcPr>
            <w:tcW w:w="7793" w:type="dxa"/>
          </w:tcPr>
          <w:p>
            <w:pPr/>
            <w:r>
              <w:t xml:space="preserve">Given two brand colours, when saved, then tokens exist for light and dark and every text-on-primary pair is ≥ 4.5:1 or the owner is warned and the colour adjusted</w:t>
            </w:r>
          </w:p>
        </w:tc>
      </w:tr>
      <w:tr>
        <w:tc>
          <w:tcPr>
            <w:tcW w:w="1566" w:type="dxa"/>
          </w:tcPr>
          <w:p>
            <w:pPr/>
            <w:r>
              <w:t xml:space="preserve">1.6</w:t>
            </w:r>
          </w:p>
        </w:tc>
        <w:tc>
          <w:tcPr>
            <w:tcW w:w="7793" w:type="dxa"/>
          </w:tcPr>
          <w:p>
            <w:pPr/>
            <w:r>
              <w:t xml:space="preserve">Given each notification event, when it fires, then exactly one email is sent to the right person with a working single-use link; given a bounce, then the member sees a warning in settings</w:t>
            </w:r>
          </w:p>
        </w:tc>
      </w:tr>
      <w:tr>
        <w:tc>
          <w:tcPr>
            <w:tcW w:w="1566" w:type="dxa"/>
          </w:tcPr>
          <w:p>
            <w:pPr/>
            <w:r>
              <w:t xml:space="preserve">1.7</w:t>
            </w:r>
          </w:p>
        </w:tc>
        <w:tc>
          <w:tcPr>
            <w:tcW w:w="7793" w:type="dxa"/>
          </w:tcPr>
          <w:p>
            <w:pPr/>
            <w:r>
              <w:t xml:space="preserve">Given airplane mode, when staff open today's bookings and jobs and draft a quote, then data is shown from cache, the draft is kept, and syncs on reconnect with a visible conflict banner if the server changed</w:t>
            </w:r>
          </w:p>
        </w:tc>
      </w:tr>
      <w:tr>
        <w:tc>
          <w:tcPr>
            <w:tcW w:w="1566" w:type="dxa"/>
          </w:tcPr>
          <w:p>
            <w:pPr/>
            <w:r>
              <w:t xml:space="preserve">2.1</w:t>
            </w:r>
          </w:p>
        </w:tc>
        <w:tc>
          <w:tcPr>
            <w:tcW w:w="7793" w:type="dxa"/>
          </w:tcPr>
          <w:p>
            <w:pPr/>
            <w:r>
              <w:t xml:space="preserve">Given a CSV with Vyapar headers, when imported, then columns are mapped with a preview and unmapped columns are listed; given a hidden-price item, when the portal renders, then price is replaced by "ask for a quote"; given a WhatsApp preview bot, when it fetches the catalog, then no analytics event fires</w:t>
            </w:r>
          </w:p>
        </w:tc>
      </w:tr>
      <w:tr>
        <w:tc>
          <w:tcPr>
            <w:tcW w:w="1566" w:type="dxa"/>
          </w:tcPr>
          <w:p>
            <w:pPr/>
            <w:r>
              <w:t xml:space="preserve">2.3</w:t>
            </w:r>
          </w:p>
        </w:tc>
        <w:tc>
          <w:tcPr>
            <w:tcW w:w="7793" w:type="dxa"/>
          </w:tcPr>
          <w:p>
            <w:pPr/>
            <w:r>
              <w:t xml:space="preserve">Given a quote edited on desktop and the same quote opened on a phone, when lines change on either, then totals match to the paisa and the PDF matches the web render pixel-for-pixel in the visual test</w:t>
            </w:r>
          </w:p>
        </w:tc>
      </w:tr>
      <w:tr>
        <w:tc>
          <w:tcPr>
            <w:tcW w:w="1566" w:type="dxa"/>
          </w:tcPr>
          <w:p>
            <w:pPr/>
            <w:r>
              <w:t xml:space="preserve">2.4</w:t>
            </w:r>
          </w:p>
        </w:tc>
        <w:tc>
          <w:tcPr>
            <w:tcW w:w="7793" w:type="dxa"/>
          </w:tcPr>
          <w:p>
            <w:pPr/>
            <w:r>
              <w:t xml:space="preserve">Given a shared quote, when the customer opens a forwarded link, then they can accept with name and phone and the acceptance stores version, IP and time; given an expired quote, when accept is attempted, then </w:t>
            </w:r>
            <w:r>
              <w:rPr>
                <w:rStyle w:val="CodeChar"/>
              </w:rPr>
              <w:t xml:space="preserve">state</w:t>
            </w:r>
            <w:r>
              <w:t xml:space="preserve"> error; given a revise, then the number is unchanged and version + 1</w:t>
            </w:r>
          </w:p>
        </w:tc>
      </w:tr>
      <w:tr>
        <w:tc>
          <w:tcPr>
            <w:tcW w:w="1566" w:type="dxa"/>
          </w:tcPr>
          <w:p>
            <w:pPr/>
            <w:r>
              <w:t xml:space="preserve">2.5</w:t>
            </w:r>
          </w:p>
        </w:tc>
        <w:tc>
          <w:tcPr>
            <w:tcW w:w="7793" w:type="dxa"/>
          </w:tcPr>
          <w:p>
            <w:pPr/>
            <w:r>
              <w:t xml:space="preserve">Given 100 invoices shared in parallel, then numbers are gap-free and unique; given a draft, then no number; given customer state ≠ workspace state, then IGST; given a void, then the number is retained and the invoice is excluded from totals</w:t>
            </w:r>
          </w:p>
        </w:tc>
      </w:tr>
      <w:tr>
        <w:tc>
          <w:tcPr>
            <w:tcW w:w="1566" w:type="dxa"/>
          </w:tcPr>
          <w:p>
            <w:pPr/>
            <w:r>
              <w:t xml:space="preserve">2.6</w:t>
            </w:r>
          </w:p>
        </w:tc>
        <w:tc>
          <w:tcPr>
            <w:tcW w:w="7793" w:type="dxa"/>
          </w:tcPr>
          <w:p>
            <w:pPr/>
            <w:r>
              <w:t xml:space="preserve">Given a proof upload by staff, when the owner taps the email link, then the payment is approved once and the link is dead afterwards; given a Manager and an amount above the threshold, then approve is forbidden; given approval, then the invoice turns Paid and the receipt message is offered</w:t>
            </w:r>
          </w:p>
        </w:tc>
      </w:tr>
      <w:tr>
        <w:tc>
          <w:tcPr>
            <w:tcW w:w="1566" w:type="dxa"/>
          </w:tcPr>
          <w:p>
            <w:pPr/>
            <w:r>
              <w:t xml:space="preserve">2.7</w:t>
            </w:r>
          </w:p>
        </w:tc>
        <w:tc>
          <w:tcPr>
            <w:tcW w:w="7793" w:type="dxa"/>
          </w:tcPr>
          <w:p>
            <w:pPr/>
            <w:r>
              <w:t xml:space="preserve">Given every template and a sample record, when rendered, then no unresolved </w:t>
            </w:r>
            <w:r>
              <w:rPr>
                <w:rStyle w:val="CodeChar"/>
              </w:rPr>
              <w:t xml:space="preserve">{variable}</w:t>
            </w:r>
            <w:r>
              <w:t xml:space="preserve"> remains and WhatsApp length ≤ 60 words; given a share, then a Message row exists on the record</w:t>
            </w:r>
          </w:p>
        </w:tc>
      </w:tr>
      <w:tr>
        <w:tc>
          <w:tcPr>
            <w:tcW w:w="1566" w:type="dxa"/>
          </w:tcPr>
          <w:p>
            <w:pPr/>
            <w:r>
              <w:t xml:space="preserve">2.8</w:t>
            </w:r>
          </w:p>
        </w:tc>
        <w:tc>
          <w:tcPr>
            <w:tcW w:w="7793" w:type="dxa"/>
          </w:tcPr>
          <w:p>
            <w:pPr/>
            <w:r>
              <w:t xml:space="preserve">Given any quote or invoice, when exported, then PDF, DOCX and CSV are produced within 3 s (p95) and the DOCX opens in Word and Google Docs with the brand header intact</w:t>
            </w:r>
          </w:p>
        </w:tc>
      </w:tr>
      <w:tr>
        <w:tc>
          <w:tcPr>
            <w:tcW w:w="1566" w:type="dxa"/>
          </w:tcPr>
          <w:p>
            <w:pPr/>
            <w:r>
              <w:t xml:space="preserve">2.9</w:t>
            </w:r>
          </w:p>
        </w:tc>
        <w:tc>
          <w:tcPr>
            <w:tcW w:w="7793" w:type="dxa"/>
          </w:tcPr>
          <w:p>
            <w:pPr/>
            <w:r>
              <w:t xml:space="preserve">Given a new lead, when created, then the assignee gets one inbox item and one email; given the same event twice (idempotency replay), then still one</w:t>
            </w:r>
          </w:p>
        </w:tc>
      </w:tr>
      <w:tr>
        <w:tc>
          <w:tcPr>
            <w:tcW w:w="1566" w:type="dxa"/>
          </w:tcPr>
          <w:p>
            <w:pPr/>
            <w:r>
              <w:t xml:space="preserve">3.1–3.3</w:t>
            </w:r>
          </w:p>
        </w:tc>
        <w:tc>
          <w:tcPr>
            <w:tcW w:w="7793" w:type="dxa"/>
          </w:tcPr>
          <w:p>
            <w:pPr/>
            <w:r>
              <w:t xml:space="preserve">Given overlapping bookings for one member, then the second is refused with a conflict; given a job marked done with an incomplete required checklist, then refused; given done, then a draft invoice exists linked to the job</w:t>
            </w:r>
          </w:p>
        </w:tc>
      </w:tr>
      <w:tr>
        <w:tc>
          <w:tcPr>
            <w:tcW w:w="1566" w:type="dxa"/>
          </w:tcPr>
          <w:p>
            <w:pPr/>
            <w:r>
              <w:t xml:space="preserve">3.4</w:t>
            </w:r>
          </w:p>
        </w:tc>
        <w:tc>
          <w:tcPr>
            <w:tcW w:w="7793" w:type="dxa"/>
          </w:tcPr>
          <w:p>
            <w:pPr/>
            <w:r>
              <w:t xml:space="preserve">Given a customer's My-orders link, then every quote, booking, invoice and receipt of that customer and no other customer's</w:t>
            </w:r>
          </w:p>
        </w:tc>
      </w:tr>
      <w:tr>
        <w:tc>
          <w:tcPr>
            <w:tcW w:w="1566" w:type="dxa"/>
          </w:tcPr>
          <w:p>
            <w:pPr/>
            <w:r>
              <w:t xml:space="preserve">3.5</w:t>
            </w:r>
          </w:p>
        </w:tc>
        <w:tc>
          <w:tcPr>
            <w:tcW w:w="7793" w:type="dxa"/>
          </w:tcPr>
          <w:p>
            <w:pPr/>
            <w:r>
              <w:t xml:space="preserve">Given each role, when each endpoint is called, then the permission matrix holds (Staff cannot read reports or approve; Accountant is read-only); every mutation writes an ActivityLog row</w:t>
            </w:r>
          </w:p>
        </w:tc>
      </w:tr>
      <w:tr>
        <w:tc>
          <w:tcPr>
            <w:tcW w:w="1566" w:type="dxa"/>
          </w:tcPr>
          <w:p>
            <w:pPr/>
            <w:r>
              <w:t xml:space="preserve">3.7–3.8</w:t>
            </w:r>
          </w:p>
        </w:tc>
        <w:tc>
          <w:tcPr>
            <w:tcW w:w="7793" w:type="dxa"/>
          </w:tcPr>
          <w:p>
            <w:pPr/>
            <w:r>
              <w:t xml:space="preserve">Given a slug containing a reserved or bank-like word, then creation is refused; given an abuse report, then the workspace is flagged in the console within one request; given admin impersonation, then a consent log entry exists</w:t>
            </w:r>
          </w:p>
        </w:tc>
      </w:tr>
      <w:tr>
        <w:tc>
          <w:tcPr>
            <w:tcW w:w="1566" w:type="dxa"/>
          </w:tcPr>
          <w:p>
            <w:pPr/>
            <w:r>
              <w:t xml:space="preserve">4.1</w:t>
            </w:r>
          </w:p>
        </w:tc>
        <w:tc>
          <w:tcPr>
            <w:tcW w:w="7793" w:type="dxa"/>
          </w:tcPr>
          <w:p>
            <w:pPr/>
            <w:r>
              <w:t xml:space="preserve">Given the full suite, then it runs green in under 5 minutes; given Lighthouse on the four portal pages, then LCP ≤ 2.5 s under the NFR profile; given axe, then zero serious violations</w:t>
            </w:r>
          </w:p>
        </w:tc>
      </w:tr>
      <w:tr>
        <w:tc>
          <w:tcPr>
            <w:tcW w:w="1566" w:type="dxa"/>
          </w:tcPr>
          <w:p>
            <w:pPr/>
            <w:r>
              <w:t xml:space="preserve">4.3</w:t>
            </w:r>
          </w:p>
        </w:tc>
        <w:tc>
          <w:tcPr>
            <w:tcW w:w="7793" w:type="dxa"/>
          </w:tcPr>
          <w:p>
            <w:pPr/>
            <w:r>
              <w:t xml:space="preserve">Given the Expo shell, when installed on three Android phones and left a week, then the session is still valid and the share sheet opens WhatsApp with the message prefilled</w:t>
            </w:r>
          </w:p>
        </w:tc>
      </w:tr>
    </w:tbl>
    <w:p>
      <w:pPr>
        <w:pStyle w:val="Heading2"/>
      </w:pPr>
      <w:r>
        <w:t xml:space="preserve">Test plan and device matrix</w:t>
      </w:r>
    </w:p>
    <w:p>
      <w:pPr/>
      <w:r>
        <w:rPr>
          <w:b/>
        </w:rPr>
        <w:t xml:space="preserve">Scope by day</w:t>
      </w:r>
      <w:r>
        <w:t xml:space="preserve">: unit and integration from day 1; end-to-end on previews from day 3; non-functional and security sweeps on days 8–9; a real-owner session on day 7 and day 10.</w:t>
      </w:r>
    </w:p>
    <w:p>
      <w:pPr/>
      <w:r>
        <w:rPr>
          <w:b/>
        </w:rPr>
        <w:t xml:space="preserve">Device matrix</w:t>
      </w:r>
      <w:r>
        <w:t xml:space="preserve"> (buy or borrow these before day 3)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37"/>
        <w:gridCol w:w="2090"/>
        <w:gridCol w:w="1679"/>
        <w:gridCol w:w="2654"/>
      </w:tblGrid>
      <w:tr>
        <w:trPr>
          <w:tblHeader/>
        </w:trPr>
        <w:tc>
          <w:tcPr>
            <w:tcW w:w="2937" w:type="dxa"/>
            <w:shd w:val="clear" w:color="auto" w:fill="F2F2F2"/>
          </w:tcPr>
          <w:p>
            <w:pPr/>
            <w:r>
              <w:t xml:space="preserve">Device</w:t>
            </w:r>
          </w:p>
        </w:tc>
        <w:tc>
          <w:tcPr>
            <w:tcW w:w="2090" w:type="dxa"/>
            <w:shd w:val="clear" w:color="auto" w:fill="F2F2F2"/>
          </w:tcPr>
          <w:p>
            <w:pPr/>
            <w:r>
              <w:t xml:space="preserve">Why</w:t>
            </w:r>
          </w:p>
        </w:tc>
        <w:tc>
          <w:tcPr>
            <w:tcW w:w="1679" w:type="dxa"/>
            <w:shd w:val="clear" w:color="auto" w:fill="F2F2F2"/>
          </w:tcPr>
          <w:p>
            <w:pPr/>
            <w:r>
              <w:t xml:space="preserve">Browser</w:t>
            </w:r>
          </w:p>
        </w:tc>
        <w:tc>
          <w:tcPr>
            <w:tcW w:w="2654" w:type="dxa"/>
            <w:shd w:val="clear" w:color="auto" w:fill="F2F2F2"/>
          </w:tcPr>
          <w:p>
            <w:pPr/>
            <w:r>
              <w:t xml:space="preserve">Flows</w:t>
            </w:r>
          </w:p>
        </w:tc>
      </w:tr>
      <w:tr>
        <w:tc>
          <w:tcPr>
            <w:tcW w:w="2937" w:type="dxa"/>
          </w:tcPr>
          <w:p>
            <w:pPr/>
            <w:r>
              <w:t xml:space="preserve">Mid-range Android, 4 GB RAM, Android 12–14 (Moto G / Redmi class)</w:t>
            </w:r>
          </w:p>
        </w:tc>
        <w:tc>
          <w:tcPr>
            <w:tcW w:w="2090" w:type="dxa"/>
          </w:tcPr>
          <w:p>
            <w:pPr/>
            <w:r>
              <w:t xml:space="preserve">The staff and customer phone</w:t>
            </w:r>
          </w:p>
        </w:tc>
        <w:tc>
          <w:tcPr>
            <w:tcW w:w="1679" w:type="dxa"/>
          </w:tcPr>
          <w:p>
            <w:pPr/>
            <w:r>
              <w:t xml:space="preserve">Chrome, WhatsApp in-app browser, Instagram in-app browser</w:t>
            </w:r>
          </w:p>
        </w:tc>
        <w:tc>
          <w:tcPr>
            <w:tcW w:w="2654" w:type="dxa"/>
          </w:tcPr>
          <w:p>
            <w:pPr/>
            <w:r>
              <w:t xml:space="preserve">All four flows, offline test, share sheet</w:t>
            </w:r>
          </w:p>
        </w:tc>
      </w:tr>
      <w:tr>
        <w:tc>
          <w:tcPr>
            <w:tcW w:w="2937" w:type="dxa"/>
          </w:tcPr>
          <w:p>
            <w:pPr/>
            <w:r>
              <w:t xml:space="preserve">Low-end Android, 2–3 GB RAM, Android 10–11</w:t>
            </w:r>
          </w:p>
        </w:tc>
        <w:tc>
          <w:tcPr>
            <w:tcW w:w="2090" w:type="dxa"/>
          </w:tcPr>
          <w:p>
            <w:pPr/>
            <w:r>
              <w:t xml:space="preserve">Worst case customer</w:t>
            </w:r>
          </w:p>
        </w:tc>
        <w:tc>
          <w:tcPr>
            <w:tcW w:w="1679" w:type="dxa"/>
          </w:tcPr>
          <w:p>
            <w:pPr/>
            <w:r>
              <w:t xml:space="preserve">Chrome</w:t>
            </w:r>
          </w:p>
        </w:tc>
        <w:tc>
          <w:tcPr>
            <w:tcW w:w="2654" w:type="dxa"/>
          </w:tcPr>
          <w:p>
            <w:pPr/>
            <w:r>
              <w:t xml:space="preserve">Catalog, quote accept, pay page</w:t>
            </w:r>
          </w:p>
        </w:tc>
      </w:tr>
      <w:tr>
        <w:tc>
          <w:tcPr>
            <w:tcW w:w="2937" w:type="dxa"/>
          </w:tcPr>
          <w:p>
            <w:pPr/>
            <w:r>
              <w:t xml:space="preserve">iPhone (two versions back)</w:t>
            </w:r>
          </w:p>
        </w:tc>
        <w:tc>
          <w:tcPr>
            <w:tcW w:w="2090" w:type="dxa"/>
          </w:tcPr>
          <w:p>
            <w:pPr/>
            <w:r>
              <w:t xml:space="preserve">Owners and agency clients</w:t>
            </w:r>
          </w:p>
        </w:tc>
        <w:tc>
          <w:tcPr>
            <w:tcW w:w="1679" w:type="dxa"/>
          </w:tcPr>
          <w:p>
            <w:pPr/>
            <w:r>
              <w:t xml:space="preserve">Safari</w:t>
            </w:r>
          </w:p>
        </w:tc>
        <w:tc>
          <w:tcPr>
            <w:tcW w:w="2654" w:type="dxa"/>
          </w:tcPr>
          <w:p>
            <w:pPr/>
            <w:r>
              <w:t xml:space="preserve">Portal flows, PDF download</w:t>
            </w:r>
          </w:p>
        </w:tc>
      </w:tr>
      <w:tr>
        <w:tc>
          <w:tcPr>
            <w:tcW w:w="2937" w:type="dxa"/>
          </w:tcPr>
          <w:p>
            <w:pPr/>
            <w:r>
              <w:t xml:space="preserve">Laptop, Windows + Chrome; Mac + Safari</w:t>
            </w:r>
          </w:p>
        </w:tc>
        <w:tc>
          <w:tcPr>
            <w:tcW w:w="2090" w:type="dxa"/>
          </w:tcPr>
          <w:p>
            <w:pPr/>
            <w:r>
              <w:t xml:space="preserve">Owners in the evening</w:t>
            </w:r>
          </w:p>
        </w:tc>
        <w:tc>
          <w:tcPr>
            <w:tcW w:w="1679" w:type="dxa"/>
          </w:tcPr>
          <w:p>
            <w:pPr/>
            <w:r>
              <w:t xml:space="preserve">Chrome, Safari, Edge</w:t>
            </w:r>
          </w:p>
        </w:tc>
        <w:tc>
          <w:tcPr>
            <w:tcW w:w="2654" w:type="dxa"/>
          </w:tcPr>
          <w:p>
            <w:pPr/>
            <w:r>
              <w:t xml:space="preserve">Workspace, doc editor, exports</w:t>
            </w:r>
          </w:p>
        </w:tc>
      </w:tr>
      <w:tr>
        <w:tc>
          <w:tcPr>
            <w:tcW w:w="2937" w:type="dxa"/>
          </w:tcPr>
          <w:p>
            <w:pPr/>
            <w:r>
              <w:t xml:space="preserve">Printer</w:t>
            </w:r>
          </w:p>
        </w:tc>
        <w:tc>
          <w:tcPr>
            <w:tcW w:w="2090" w:type="dxa"/>
          </w:tcPr>
          <w:p>
            <w:pPr/>
            <w:r>
              <w:t xml:space="preserve">Invoices and QR cards are printed</w:t>
            </w:r>
          </w:p>
        </w:tc>
        <w:tc>
          <w:tcPr>
            <w:tcW w:w="1679" w:type="dxa"/>
          </w:tcPr>
          <w:p>
            <w:pPr/>
            <w:r>
              <w:t xml:space="preserve">—</w:t>
            </w:r>
          </w:p>
        </w:tc>
        <w:tc>
          <w:tcPr>
            <w:tcW w:w="2654" w:type="dxa"/>
          </w:tcPr>
          <w:p>
            <w:pPr/>
            <w:r>
              <w:t xml:space="preserve">PDF print at A4, QR scannable from paper</w:t>
            </w:r>
          </w:p>
        </w:tc>
      </w:tr>
    </w:tbl>
    <w:p>
      <w:pPr/>
      <w:r>
        <w:rPr>
          <w:b/>
        </w:rPr>
        <w:t xml:space="preserve">Network profiles</w:t>
      </w:r>
      <w:r>
        <w:t xml:space="preserve">: Lighthouse Slow 4G for budgets; a throttled 3G run once for the pay page.</w:t>
      </w:r>
    </w:p>
    <w:p>
      <w:pPr/>
      <w:r>
        <w:rPr>
          <w:b/>
        </w:rPr>
        <w:t xml:space="preserve">Data</w:t>
      </w:r>
      <w:r>
        <w:t xml:space="preserve">: generated demo workspaces for each vertical in preview and staging; one consented real pilot owner's data in production on days 7 and 10; never real data in lower environments.</w:t>
      </w:r>
    </w:p>
    <w:p>
      <w:pPr/>
      <w:r>
        <w:rPr>
          <w:b/>
        </w:rPr>
        <w:t xml:space="preserve">Exit criteria</w:t>
      </w:r>
      <w:r>
        <w:t xml:space="preserve">: all acceptance tests green; zero open severity-1 or severity-2 bugs; device matrix passed by a human on days 9–10 with evidence in Linear; NFR budgets met; the go / no-go checklist in the Workflow tab.</w:t>
      </w:r>
    </w:p>
    <w:p>
      <w:pPr>
        <w:pStyle w:val="Heading2"/>
      </w:pPr>
      <w:r>
        <w:t xml:space="preserve">Vendor and account checklist</w:t>
      </w:r>
    </w:p>
    <w:p>
      <w:pPr/>
      <w:r>
        <w:t xml:space="preserve">Start everything in the first column on day 1; lead times are from general experience and vary, so confirm each with the provider.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331"/>
        <w:gridCol w:w="1560"/>
        <w:gridCol w:w="910"/>
        <w:gridCol w:w="1648"/>
        <w:gridCol w:w="995"/>
        <w:gridCol w:w="915"/>
      </w:tblGrid>
      <w:tr>
        <w:trPr>
          <w:tblHeader/>
        </w:trPr>
        <w:tc>
          <w:tcPr>
            <w:tcW w:w="3331" w:type="dxa"/>
            <w:shd w:val="clear" w:color="auto" w:fill="F2F2F2"/>
          </w:tcPr>
          <w:p>
            <w:pPr/>
            <w:r>
              <w:t xml:space="preserve">Account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Needed for</w:t>
            </w:r>
          </w:p>
        </w:tc>
        <w:tc>
          <w:tcPr>
            <w:tcW w:w="910" w:type="dxa"/>
            <w:shd w:val="clear" w:color="auto" w:fill="F2F2F2"/>
          </w:tcPr>
          <w:p>
            <w:pPr/>
            <w:r>
              <w:t xml:space="preserve">Phase</w:t>
            </w:r>
          </w:p>
        </w:tc>
        <w:tc>
          <w:tcPr>
            <w:tcW w:w="1648" w:type="dxa"/>
            <w:shd w:val="clear" w:color="auto" w:fill="F2F2F2"/>
          </w:tcPr>
          <w:p>
            <w:pPr/>
            <w:r>
              <w:t xml:space="preserve">Typical lead time</w:t>
            </w:r>
          </w:p>
        </w:tc>
        <w:tc>
          <w:tcPr>
            <w:tcW w:w="995" w:type="dxa"/>
            <w:shd w:val="clear" w:color="auto" w:fill="F2F2F2"/>
          </w:tcPr>
          <w:p>
            <w:pPr/>
            <w:r>
              <w:t xml:space="preserve">Start</w:t>
            </w:r>
          </w:p>
        </w:tc>
        <w:tc>
          <w:tcPr>
            <w:tcW w:w="915" w:type="dxa"/>
            <w:shd w:val="clear" w:color="auto" w:fill="F2F2F2"/>
          </w:tcPr>
          <w:p>
            <w:pPr/>
            <w:r>
              <w:t xml:space="preserve">Owner (fill in)</w:t>
            </w:r>
          </w:p>
        </w:tc>
      </w:tr>
      <w:tr>
        <w:tc>
          <w:tcPr>
            <w:tcW w:w="3331" w:type="dxa"/>
          </w:tcPr>
          <w:p>
            <w:pPr/>
            <w:r>
              <w:t xml:space="preserve">Domain, DNS, TLS</w:t>
            </w:r>
          </w:p>
        </w:tc>
        <w:tc>
          <w:tcPr>
            <w:tcW w:w="1560" w:type="dxa"/>
          </w:tcPr>
          <w:p>
            <w:pPr/>
            <w:r>
              <w:t xml:space="preserve">Everything</w:t>
            </w:r>
          </w:p>
        </w:tc>
        <w:tc>
          <w:tcPr>
            <w:tcW w:w="910" w:type="dxa"/>
          </w:tcPr>
          <w:p>
            <w:pPr/>
            <w:r>
              <w:t xml:space="preserve">1</w:t>
            </w:r>
          </w:p>
        </w:tc>
        <w:tc>
          <w:tcPr>
            <w:tcW w:w="1648" w:type="dxa"/>
          </w:tcPr>
          <w:p>
            <w:pPr/>
            <w:r>
              <w:t xml:space="preserve">Hours</w:t>
            </w:r>
          </w:p>
        </w:tc>
        <w:tc>
          <w:tcPr>
            <w:tcW w:w="995" w:type="dxa"/>
          </w:tcPr>
          <w:p>
            <w:pPr/>
            <w:r>
              <w:t xml:space="preserve">Day 1</w:t>
            </w:r>
          </w:p>
        </w:tc>
        <w:tc>
          <w:tcPr>
            <w:tcW w:w="915" w:type="dxa"/>
          </w:tcPr>
          <w:p>
            <w:pPr/>
          </w:p>
        </w:tc>
      </w:tr>
      <w:tr>
        <w:tc>
          <w:tcPr>
            <w:tcW w:w="3331" w:type="dxa"/>
          </w:tcPr>
          <w:p>
            <w:pPr/>
            <w:r>
              <w:t xml:space="preserve">Google Cloud project, OAuth consent screen (external, verified)</w:t>
            </w:r>
          </w:p>
        </w:tc>
        <w:tc>
          <w:tcPr>
            <w:tcW w:w="1560" w:type="dxa"/>
          </w:tcPr>
          <w:p>
            <w:pPr/>
            <w:r>
              <w:t xml:space="preserve">Google sign-in</w:t>
            </w:r>
          </w:p>
        </w:tc>
        <w:tc>
          <w:tcPr>
            <w:tcW w:w="910" w:type="dxa"/>
          </w:tcPr>
          <w:p>
            <w:pPr/>
            <w:r>
              <w:t xml:space="preserve">1</w:t>
            </w:r>
          </w:p>
        </w:tc>
        <w:tc>
          <w:tcPr>
            <w:tcW w:w="1648" w:type="dxa"/>
          </w:tcPr>
          <w:p>
            <w:pPr/>
            <w:r>
              <w:t xml:space="preserve">Hours; verification days to weeks if sensitive scopes are requested (avoid them)</w:t>
            </w:r>
          </w:p>
        </w:tc>
        <w:tc>
          <w:tcPr>
            <w:tcW w:w="995" w:type="dxa"/>
          </w:tcPr>
          <w:p>
            <w:pPr/>
            <w:r>
              <w:t xml:space="preserve">Day 1</w:t>
            </w:r>
          </w:p>
        </w:tc>
        <w:tc>
          <w:tcPr>
            <w:tcW w:w="915" w:type="dxa"/>
          </w:tcPr>
          <w:p>
            <w:pPr/>
          </w:p>
        </w:tc>
      </w:tr>
      <w:tr>
        <w:tc>
          <w:tcPr>
            <w:tcW w:w="3331" w:type="dxa"/>
          </w:tcPr>
          <w:p>
            <w:pPr/>
            <w:r>
              <w:t xml:space="preserve">Resend account, sending domain with SPF / DKIM / DMARC</w:t>
            </w:r>
          </w:p>
        </w:tc>
        <w:tc>
          <w:tcPr>
            <w:tcW w:w="1560" w:type="dxa"/>
          </w:tcPr>
          <w:p>
            <w:pPr/>
            <w:r>
              <w:t xml:space="preserve">Email</w:t>
            </w:r>
          </w:p>
        </w:tc>
        <w:tc>
          <w:tcPr>
            <w:tcW w:w="910" w:type="dxa"/>
          </w:tcPr>
          <w:p>
            <w:pPr/>
            <w:r>
              <w:t xml:space="preserve">1</w:t>
            </w:r>
          </w:p>
        </w:tc>
        <w:tc>
          <w:tcPr>
            <w:tcW w:w="1648" w:type="dxa"/>
          </w:tcPr>
          <w:p>
            <w:pPr/>
            <w:r>
              <w:t xml:space="preserve">Hours; warm-up over a week for volume</w:t>
            </w:r>
          </w:p>
        </w:tc>
        <w:tc>
          <w:tcPr>
            <w:tcW w:w="995" w:type="dxa"/>
          </w:tcPr>
          <w:p>
            <w:pPr/>
            <w:r>
              <w:t xml:space="preserve">Day 1</w:t>
            </w:r>
          </w:p>
        </w:tc>
        <w:tc>
          <w:tcPr>
            <w:tcW w:w="915" w:type="dxa"/>
          </w:tcPr>
          <w:p>
            <w:pPr/>
          </w:p>
        </w:tc>
      </w:tr>
      <w:tr>
        <w:tc>
          <w:tcPr>
            <w:tcW w:w="3331" w:type="dxa"/>
          </w:tcPr>
          <w:p>
            <w:pPr/>
            <w:r>
              <w:t xml:space="preserve">Cloud hosting (Vercel / Fly.io), managed Postgres and S3-compatible storage in Mumbai</w:t>
            </w:r>
          </w:p>
        </w:tc>
        <w:tc>
          <w:tcPr>
            <w:tcW w:w="1560" w:type="dxa"/>
          </w:tcPr>
          <w:p>
            <w:pPr/>
            <w:r>
              <w:t xml:space="preserve">Infra</w:t>
            </w:r>
          </w:p>
        </w:tc>
        <w:tc>
          <w:tcPr>
            <w:tcW w:w="910" w:type="dxa"/>
          </w:tcPr>
          <w:p>
            <w:pPr/>
            <w:r>
              <w:t xml:space="preserve">1</w:t>
            </w:r>
          </w:p>
        </w:tc>
        <w:tc>
          <w:tcPr>
            <w:tcW w:w="1648" w:type="dxa"/>
          </w:tcPr>
          <w:p>
            <w:pPr/>
            <w:r>
              <w:t xml:space="preserve">Hours</w:t>
            </w:r>
          </w:p>
        </w:tc>
        <w:tc>
          <w:tcPr>
            <w:tcW w:w="995" w:type="dxa"/>
          </w:tcPr>
          <w:p>
            <w:pPr/>
            <w:r>
              <w:t xml:space="preserve">Day 1</w:t>
            </w:r>
          </w:p>
        </w:tc>
        <w:tc>
          <w:tcPr>
            <w:tcW w:w="915" w:type="dxa"/>
          </w:tcPr>
          <w:p>
            <w:pPr/>
          </w:p>
        </w:tc>
      </w:tr>
      <w:tr>
        <w:tc>
          <w:tcPr>
            <w:tcW w:w="3331" w:type="dxa"/>
          </w:tcPr>
          <w:p>
            <w:pPr/>
            <w:r>
              <w:t xml:space="preserve">Error tracking, analytics, uptime, status page</w:t>
            </w:r>
          </w:p>
        </w:tc>
        <w:tc>
          <w:tcPr>
            <w:tcW w:w="1560" w:type="dxa"/>
          </w:tcPr>
          <w:p>
            <w:pPr/>
            <w:r>
              <w:t xml:space="preserve">Observability</w:t>
            </w:r>
          </w:p>
        </w:tc>
        <w:tc>
          <w:tcPr>
            <w:tcW w:w="910" w:type="dxa"/>
          </w:tcPr>
          <w:p>
            <w:pPr/>
            <w:r>
              <w:t xml:space="preserve">1</w:t>
            </w:r>
          </w:p>
        </w:tc>
        <w:tc>
          <w:tcPr>
            <w:tcW w:w="1648" w:type="dxa"/>
          </w:tcPr>
          <w:p>
            <w:pPr/>
            <w:r>
              <w:t xml:space="preserve">Hours</w:t>
            </w:r>
          </w:p>
        </w:tc>
        <w:tc>
          <w:tcPr>
            <w:tcW w:w="995" w:type="dxa"/>
          </w:tcPr>
          <w:p>
            <w:pPr/>
            <w:r>
              <w:t xml:space="preserve">Day 2</w:t>
            </w:r>
          </w:p>
        </w:tc>
        <w:tc>
          <w:tcPr>
            <w:tcW w:w="915" w:type="dxa"/>
          </w:tcPr>
          <w:p>
            <w:pPr/>
          </w:p>
        </w:tc>
      </w:tr>
      <w:tr>
        <w:tc>
          <w:tcPr>
            <w:tcW w:w="3331" w:type="dxa"/>
          </w:tcPr>
          <w:p>
            <w:pPr/>
            <w:r>
              <w:t xml:space="preserve">GitHub organisation, Linear workspace, Slack workspace</w:t>
            </w:r>
          </w:p>
        </w:tc>
        <w:tc>
          <w:tcPr>
            <w:tcW w:w="1560" w:type="dxa"/>
          </w:tcPr>
          <w:p>
            <w:pPr/>
            <w:r>
              <w:t xml:space="preserve">Workflow</w:t>
            </w:r>
          </w:p>
        </w:tc>
        <w:tc>
          <w:tcPr>
            <w:tcW w:w="910" w:type="dxa"/>
          </w:tcPr>
          <w:p>
            <w:pPr/>
            <w:r>
              <w:t xml:space="preserve">1</w:t>
            </w:r>
          </w:p>
        </w:tc>
        <w:tc>
          <w:tcPr>
            <w:tcW w:w="1648" w:type="dxa"/>
          </w:tcPr>
          <w:p>
            <w:pPr/>
            <w:r>
              <w:t xml:space="preserve">Hours</w:t>
            </w:r>
          </w:p>
        </w:tc>
        <w:tc>
          <w:tcPr>
            <w:tcW w:w="995" w:type="dxa"/>
          </w:tcPr>
          <w:p>
            <w:pPr/>
            <w:r>
              <w:t xml:space="preserve">Day 1</w:t>
            </w:r>
          </w:p>
        </w:tc>
        <w:tc>
          <w:tcPr>
            <w:tcW w:w="915" w:type="dxa"/>
          </w:tcPr>
          <w:p>
            <w:pPr/>
          </w:p>
        </w:tc>
      </w:tr>
      <w:tr>
        <w:tc>
          <w:tcPr>
            <w:tcW w:w="3331" w:type="dxa"/>
          </w:tcPr>
          <w:p>
            <w:pPr/>
            <w:r>
              <w:t xml:space="preserve">WhatsApp Business number for support</w:t>
            </w:r>
          </w:p>
        </w:tc>
        <w:tc>
          <w:tcPr>
            <w:tcW w:w="1560" w:type="dxa"/>
          </w:tcPr>
          <w:p>
            <w:pPr/>
            <w:r>
              <w:t xml:space="preserve">Human support</w:t>
            </w:r>
          </w:p>
        </w:tc>
        <w:tc>
          <w:tcPr>
            <w:tcW w:w="910" w:type="dxa"/>
          </w:tcPr>
          <w:p>
            <w:pPr/>
            <w:r>
              <w:t xml:space="preserve">1</w:t>
            </w:r>
          </w:p>
        </w:tc>
        <w:tc>
          <w:tcPr>
            <w:tcW w:w="1648" w:type="dxa"/>
          </w:tcPr>
          <w:p>
            <w:pPr/>
            <w:r>
              <w:t xml:space="preserve">Days (number + app)</w:t>
            </w:r>
          </w:p>
        </w:tc>
        <w:tc>
          <w:tcPr>
            <w:tcW w:w="995" w:type="dxa"/>
          </w:tcPr>
          <w:p>
            <w:pPr/>
            <w:r>
              <w:t xml:space="preserve">Day 2</w:t>
            </w:r>
          </w:p>
        </w:tc>
        <w:tc>
          <w:tcPr>
            <w:tcW w:w="915" w:type="dxa"/>
          </w:tcPr>
          <w:p>
            <w:pPr/>
          </w:p>
        </w:tc>
      </w:tr>
      <w:tr>
        <w:tc>
          <w:tcPr>
            <w:tcW w:w="3331" w:type="dxa"/>
          </w:tcPr>
          <w:p>
            <w:pPr/>
            <w:r>
              <w:t xml:space="preserve">Meta Business verification and WhatsApp Business API access, template approval</w:t>
            </w:r>
          </w:p>
        </w:tc>
        <w:tc>
          <w:tcPr>
            <w:tcW w:w="1560" w:type="dxa"/>
          </w:tcPr>
          <w:p>
            <w:pPr/>
            <w:r>
              <w:t xml:space="preserve">WhatsApp automation</w:t>
            </w:r>
          </w:p>
        </w:tc>
        <w:tc>
          <w:tcPr>
            <w:tcW w:w="910" w:type="dxa"/>
          </w:tcPr>
          <w:p>
            <w:pPr/>
            <w:r>
              <w:t xml:space="preserve">2</w:t>
            </w:r>
          </w:p>
        </w:tc>
        <w:tc>
          <w:tcPr>
            <w:tcW w:w="1648" w:type="dxa"/>
          </w:tcPr>
          <w:p>
            <w:pPr/>
            <w:r>
              <w:t xml:space="preserve">Days to several weeks</w:t>
            </w:r>
          </w:p>
        </w:tc>
        <w:tc>
          <w:tcPr>
            <w:tcW w:w="995" w:type="dxa"/>
          </w:tcPr>
          <w:p>
            <w:pPr/>
            <w:r>
              <w:t xml:space="preserve">Day 1</w:t>
            </w:r>
          </w:p>
        </w:tc>
        <w:tc>
          <w:tcPr>
            <w:tcW w:w="915" w:type="dxa"/>
          </w:tcPr>
          <w:p>
            <w:pPr/>
          </w:p>
        </w:tc>
      </w:tr>
      <w:tr>
        <w:tc>
          <w:tcPr>
            <w:tcW w:w="3331" w:type="dxa"/>
          </w:tcPr>
          <w:p>
            <w:pPr/>
            <w:r>
              <w:t xml:space="preserve">SMS provider (MSG91 / Twilio) and Indian sender / template registration</w:t>
            </w:r>
          </w:p>
        </w:tc>
        <w:tc>
          <w:tcPr>
            <w:tcW w:w="1560" w:type="dxa"/>
          </w:tcPr>
          <w:p>
            <w:pPr/>
            <w:r>
              <w:t xml:space="preserve">OTP, SMS</w:t>
            </w:r>
          </w:p>
        </w:tc>
        <w:tc>
          <w:tcPr>
            <w:tcW w:w="910" w:type="dxa"/>
          </w:tcPr>
          <w:p>
            <w:pPr/>
            <w:r>
              <w:t xml:space="preserve">2</w:t>
            </w:r>
          </w:p>
        </w:tc>
        <w:tc>
          <w:tcPr>
            <w:tcW w:w="1648" w:type="dxa"/>
          </w:tcPr>
          <w:p>
            <w:pPr/>
            <w:r>
              <w:t xml:space="preserve">Days to weeks (regulatory registration)</w:t>
            </w:r>
          </w:p>
        </w:tc>
        <w:tc>
          <w:tcPr>
            <w:tcW w:w="995" w:type="dxa"/>
          </w:tcPr>
          <w:p>
            <w:pPr/>
            <w:r>
              <w:t xml:space="preserve">Day 1</w:t>
            </w:r>
          </w:p>
        </w:tc>
        <w:tc>
          <w:tcPr>
            <w:tcW w:w="915" w:type="dxa"/>
          </w:tcPr>
          <w:p>
            <w:pPr/>
          </w:p>
        </w:tc>
      </w:tr>
      <w:tr>
        <w:tc>
          <w:tcPr>
            <w:tcW w:w="3331" w:type="dxa"/>
          </w:tcPr>
          <w:p>
            <w:pPr/>
            <w:r>
              <w:t xml:space="preserve">Razorpay account and KYC</w:t>
            </w:r>
          </w:p>
        </w:tc>
        <w:tc>
          <w:tcPr>
            <w:tcW w:w="1560" w:type="dxa"/>
          </w:tcPr>
          <w:p>
            <w:pPr/>
            <w:r>
              <w:t xml:space="preserve">Payments, plan billing</w:t>
            </w:r>
          </w:p>
        </w:tc>
        <w:tc>
          <w:tcPr>
            <w:tcW w:w="910" w:type="dxa"/>
          </w:tcPr>
          <w:p>
            <w:pPr/>
            <w:r>
              <w:t xml:space="preserve">2</w:t>
            </w:r>
          </w:p>
        </w:tc>
        <w:tc>
          <w:tcPr>
            <w:tcW w:w="1648" w:type="dxa"/>
          </w:tcPr>
          <w:p>
            <w:pPr/>
            <w:r>
              <w:t xml:space="preserve">Days; depends on documents</w:t>
            </w:r>
          </w:p>
        </w:tc>
        <w:tc>
          <w:tcPr>
            <w:tcW w:w="995" w:type="dxa"/>
          </w:tcPr>
          <w:p>
            <w:pPr/>
            <w:r>
              <w:t xml:space="preserve">Day 1</w:t>
            </w:r>
          </w:p>
        </w:tc>
        <w:tc>
          <w:tcPr>
            <w:tcW w:w="915" w:type="dxa"/>
          </w:tcPr>
          <w:p>
            <w:pPr/>
          </w:p>
        </w:tc>
      </w:tr>
      <w:tr>
        <w:tc>
          <w:tcPr>
            <w:tcW w:w="3331" w:type="dxa"/>
          </w:tcPr>
          <w:p>
            <w:pPr/>
            <w:r>
              <w:t xml:space="preserve">Stripe account (confirm Indian eligibility first)</w:t>
            </w:r>
          </w:p>
        </w:tc>
        <w:tc>
          <w:tcPr>
            <w:tcW w:w="1560" w:type="dxa"/>
          </w:tcPr>
          <w:p>
            <w:pPr/>
            <w:r>
              <w:t xml:space="preserve">International payments</w:t>
            </w:r>
          </w:p>
        </w:tc>
        <w:tc>
          <w:tcPr>
            <w:tcW w:w="910" w:type="dxa"/>
          </w:tcPr>
          <w:p>
            <w:pPr/>
            <w:r>
              <w:t xml:space="preserve">2</w:t>
            </w:r>
          </w:p>
        </w:tc>
        <w:tc>
          <w:tcPr>
            <w:tcW w:w="1648" w:type="dxa"/>
          </w:tcPr>
          <w:p>
            <w:pPr/>
            <w:r>
              <w:t xml:space="preserve">Unknown; may be restricted</w:t>
            </w:r>
          </w:p>
        </w:tc>
        <w:tc>
          <w:tcPr>
            <w:tcW w:w="995" w:type="dxa"/>
          </w:tcPr>
          <w:p>
            <w:pPr/>
            <w:r>
              <w:t xml:space="preserve">Day 1</w:t>
            </w:r>
          </w:p>
        </w:tc>
        <w:tc>
          <w:tcPr>
            <w:tcW w:w="915" w:type="dxa"/>
          </w:tcPr>
          <w:p>
            <w:pPr/>
          </w:p>
        </w:tc>
      </w:tr>
      <w:tr>
        <w:tc>
          <w:tcPr>
            <w:tcW w:w="3331" w:type="dxa"/>
          </w:tcPr>
          <w:p>
            <w:pPr/>
            <w:r>
              <w:t xml:space="preserve">Polar account (confirm service-business eligibility first)</w:t>
            </w:r>
          </w:p>
        </w:tc>
        <w:tc>
          <w:tcPr>
            <w:tcW w:w="1560" w:type="dxa"/>
          </w:tcPr>
          <w:p>
            <w:pPr/>
            <w:r>
              <w:t xml:space="preserve">International billing as merchant of record</w:t>
            </w:r>
          </w:p>
        </w:tc>
        <w:tc>
          <w:tcPr>
            <w:tcW w:w="910" w:type="dxa"/>
          </w:tcPr>
          <w:p>
            <w:pPr/>
            <w:r>
              <w:t xml:space="preserve">2</w:t>
            </w:r>
          </w:p>
        </w:tc>
        <w:tc>
          <w:tcPr>
            <w:tcW w:w="1648" w:type="dxa"/>
          </w:tcPr>
          <w:p>
            <w:pPr/>
            <w:r>
              <w:t xml:space="preserve">Days</w:t>
            </w:r>
          </w:p>
        </w:tc>
        <w:tc>
          <w:tcPr>
            <w:tcW w:w="995" w:type="dxa"/>
          </w:tcPr>
          <w:p>
            <w:pPr/>
            <w:r>
              <w:t xml:space="preserve">Day 1</w:t>
            </w:r>
          </w:p>
        </w:tc>
        <w:tc>
          <w:tcPr>
            <w:tcW w:w="915" w:type="dxa"/>
          </w:tcPr>
          <w:p>
            <w:pPr/>
          </w:p>
        </w:tc>
      </w:tr>
      <w:tr>
        <w:tc>
          <w:tcPr>
            <w:tcW w:w="3331" w:type="dxa"/>
          </w:tcPr>
          <w:p>
            <w:pPr/>
            <w:r>
              <w:t xml:space="preserve">Claude API billing account and usage caps</w:t>
            </w:r>
          </w:p>
        </w:tc>
        <w:tc>
          <w:tcPr>
            <w:tcW w:w="1560" w:type="dxa"/>
          </w:tcPr>
          <w:p>
            <w:pPr/>
            <w:r>
              <w:t xml:space="preserve">AI ingest</w:t>
            </w:r>
          </w:p>
        </w:tc>
        <w:tc>
          <w:tcPr>
            <w:tcW w:w="910" w:type="dxa"/>
          </w:tcPr>
          <w:p>
            <w:pPr/>
            <w:r>
              <w:t xml:space="preserve">2</w:t>
            </w:r>
          </w:p>
        </w:tc>
        <w:tc>
          <w:tcPr>
            <w:tcW w:w="1648" w:type="dxa"/>
          </w:tcPr>
          <w:p>
            <w:pPr/>
            <w:r>
              <w:t xml:space="preserve">Hours</w:t>
            </w:r>
          </w:p>
        </w:tc>
        <w:tc>
          <w:tcPr>
            <w:tcW w:w="995" w:type="dxa"/>
          </w:tcPr>
          <w:p>
            <w:pPr/>
            <w:r>
              <w:t xml:space="preserve">Day 11</w:t>
            </w:r>
          </w:p>
        </w:tc>
        <w:tc>
          <w:tcPr>
            <w:tcW w:w="915" w:type="dxa"/>
          </w:tcPr>
          <w:p>
            <w:pPr/>
          </w:p>
        </w:tc>
      </w:tr>
      <w:tr>
        <w:tc>
          <w:tcPr>
            <w:tcW w:w="3331" w:type="dxa"/>
          </w:tcPr>
          <w:p>
            <w:pPr/>
            <w:r>
              <w:t xml:space="preserve">Apple Developer and Google Play accounts</w:t>
            </w:r>
          </w:p>
        </w:tc>
        <w:tc>
          <w:tcPr>
            <w:tcW w:w="1560" w:type="dxa"/>
          </w:tcPr>
          <w:p>
            <w:pPr/>
            <w:r>
              <w:t xml:space="preserve">Native app</w:t>
            </w:r>
          </w:p>
        </w:tc>
        <w:tc>
          <w:tcPr>
            <w:tcW w:w="910" w:type="dxa"/>
          </w:tcPr>
          <w:p>
            <w:pPr/>
            <w:r>
              <w:t xml:space="preserve">3</w:t>
            </w:r>
          </w:p>
        </w:tc>
        <w:tc>
          <w:tcPr>
            <w:tcW w:w="1648" w:type="dxa"/>
          </w:tcPr>
          <w:p>
            <w:pPr/>
            <w:r>
              <w:t xml:space="preserve">Days; Apple requires a legal entity</w:t>
            </w:r>
          </w:p>
        </w:tc>
        <w:tc>
          <w:tcPr>
            <w:tcW w:w="995" w:type="dxa"/>
          </w:tcPr>
          <w:p>
            <w:pPr/>
            <w:r>
              <w:t xml:space="preserve">Week 4</w:t>
            </w:r>
          </w:p>
        </w:tc>
        <w:tc>
          <w:tcPr>
            <w:tcW w:w="915" w:type="dxa"/>
          </w:tcPr>
          <w:p>
            <w:pPr/>
          </w:p>
        </w:tc>
      </w:tr>
      <w:tr>
        <w:tc>
          <w:tcPr>
            <w:tcW w:w="3331" w:type="dxa"/>
          </w:tcPr>
          <w:p>
            <w:pPr/>
            <w:r>
              <w:t xml:space="preserve">Company registration, GST, bank account</w:t>
            </w:r>
          </w:p>
        </w:tc>
        <w:tc>
          <w:tcPr>
            <w:tcW w:w="1560" w:type="dxa"/>
          </w:tcPr>
          <w:p>
            <w:pPr/>
            <w:r>
              <w:t xml:space="preserve">Charging money</w:t>
            </w:r>
          </w:p>
        </w:tc>
        <w:tc>
          <w:tcPr>
            <w:tcW w:w="910" w:type="dxa"/>
          </w:tcPr>
          <w:p>
            <w:pPr/>
            <w:r>
              <w:t xml:space="preserve">before Phase 2 billing</w:t>
            </w:r>
          </w:p>
        </w:tc>
        <w:tc>
          <w:tcPr>
            <w:tcW w:w="1648" w:type="dxa"/>
          </w:tcPr>
          <w:p>
            <w:pPr/>
            <w:r>
              <w:t xml:space="preserve">Weeks</w:t>
            </w:r>
          </w:p>
        </w:tc>
        <w:tc>
          <w:tcPr>
            <w:tcW w:w="995" w:type="dxa"/>
          </w:tcPr>
          <w:p>
            <w:pPr/>
            <w:r>
              <w:t xml:space="preserve">Now</w:t>
            </w:r>
          </w:p>
        </w:tc>
        <w:tc>
          <w:tcPr>
            <w:tcW w:w="915" w:type="dxa"/>
          </w:tcPr>
          <w:p>
            <w:pPr/>
          </w:p>
        </w:tc>
      </w:tr>
      <w:tr>
        <w:tc>
          <w:tcPr>
            <w:tcW w:w="3331" w:type="dxa"/>
          </w:tcPr>
          <w:p>
            <w:pPr/>
            <w:r>
              <w:t xml:space="preserve">Trademark search and filing for the product name</w:t>
            </w:r>
          </w:p>
        </w:tc>
        <w:tc>
          <w:tcPr>
            <w:tcW w:w="1560" w:type="dxa"/>
          </w:tcPr>
          <w:p>
            <w:pPr/>
            <w:r>
              <w:t xml:space="preserve">Brand</w:t>
            </w:r>
          </w:p>
        </w:tc>
        <w:tc>
          <w:tcPr>
            <w:tcW w:w="910" w:type="dxa"/>
          </w:tcPr>
          <w:p>
            <w:pPr/>
            <w:r>
              <w:t xml:space="preserve">before pilot</w:t>
            </w:r>
          </w:p>
        </w:tc>
        <w:tc>
          <w:tcPr>
            <w:tcW w:w="1648" w:type="dxa"/>
          </w:tcPr>
          <w:p>
            <w:pPr/>
            <w:r>
              <w:t xml:space="preserve">Search: days; registration: months</w:t>
            </w:r>
          </w:p>
        </w:tc>
        <w:tc>
          <w:tcPr>
            <w:tcW w:w="995" w:type="dxa"/>
          </w:tcPr>
          <w:p>
            <w:pPr/>
            <w:r>
              <w:t xml:space="preserve">Now</w:t>
            </w:r>
          </w:p>
        </w:tc>
        <w:tc>
          <w:tcPr>
            <w:tcW w:w="915" w:type="dxa"/>
          </w:tcPr>
          <w:p>
            <w:pPr/>
          </w:p>
        </w:tc>
      </w:tr>
    </w:tbl>
    <w:p>
      <w:pPr/>
      <w:r>
        <w:t xml:space="preserve">Each account is created with a shared company email, MFA on, and credentials in the secret store; no account lives under a personal login.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Architecture &amp; contracts</dc:title>
  <dc:description>Claude Docs node/ecde5772-e2ab@5 docx-w7</dc:description>
  <cp:revision>5</cp:revision>
</cp:coreProperties>
</file>