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844" w:rsidRDefault="00323844" w:rsidP="00323844">
      <w:pPr>
        <w:pStyle w:val="Heading3"/>
      </w:pPr>
      <w:bookmarkStart w:id="0" w:name="_Toc115752507"/>
      <w:bookmarkStart w:id="1" w:name="_Toc515163374"/>
      <w:bookmarkStart w:id="2" w:name="_GoBack"/>
      <w:r>
        <w:t>Overland Travel</w:t>
      </w:r>
      <w:bookmarkEnd w:id="0"/>
      <w:bookmarkEnd w:id="1"/>
    </w:p>
    <w:p w:rsidR="00323844" w:rsidRDefault="00323844" w:rsidP="00323844">
      <w:r>
        <w:t>Though it is possible for all of your adventures to take place in the confines of a city or castle, it is just as likely for your PCs to travel from place to place, doing good deeds along the way. Overland travel is a common event in fantasy fiction and games. Generally though, it is not the main event of a gaming session. It is usually a sidelight or a quick paragraph of description before the characters get to their destination. This section provides some quick rules for travel times.</w:t>
      </w:r>
    </w:p>
    <w:p w:rsidR="00323844" w:rsidRDefault="00323844" w:rsidP="00323844">
      <w:pPr>
        <w:pStyle w:val="Heading4"/>
      </w:pPr>
      <w:bookmarkStart w:id="3" w:name="_Toc115752508"/>
      <w:r>
        <w:t>Movement Rates</w:t>
      </w:r>
      <w:bookmarkEnd w:id="3"/>
    </w:p>
    <w:p w:rsidR="00323844" w:rsidRDefault="00323844" w:rsidP="00323844">
      <w:r>
        <w:t>The daily movement rate for a character is based on their TOU score. A character with a high TOU can move faster for longer while his less durable companions falter and take rests. Characters in a group travel at the speed of the slowest character.</w:t>
      </w:r>
    </w:p>
    <w:p w:rsidR="00323844" w:rsidRDefault="00323844" w:rsidP="00323844">
      <w:pPr>
        <w:pStyle w:val="Heading6"/>
      </w:pPr>
      <w:r>
        <w:t>Movement Rates</w:t>
      </w:r>
    </w:p>
    <w:tbl>
      <w:tblPr>
        <w:tblW w:w="0" w:type="auto"/>
        <w:jc w:val="center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/>
      </w:tblPr>
      <w:tblGrid>
        <w:gridCol w:w="1260"/>
        <w:gridCol w:w="1980"/>
      </w:tblGrid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TOU Score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Movement Rate/Day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0-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</w:pPr>
            <w:r>
              <w:t>8 mi/13.0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1-2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10</w:t>
            </w:r>
            <w:r w:rsidR="00323844">
              <w:t xml:space="preserve"> mi/17.8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3-4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12</w:t>
            </w:r>
            <w:r w:rsidR="00323844">
              <w:t xml:space="preserve"> mi/22.7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5-7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14</w:t>
            </w:r>
            <w:r w:rsidR="00323844">
              <w:t xml:space="preserve"> mi/27.5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8-12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16</w:t>
            </w:r>
            <w:r w:rsidR="00323844">
              <w:t xml:space="preserve"> mi/32.4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13-16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18</w:t>
            </w:r>
            <w:r w:rsidR="00323844">
              <w:t xml:space="preserve"> mi/38.8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17-19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20</w:t>
            </w:r>
            <w:r w:rsidR="00323844">
              <w:t xml:space="preserve"> mi/51.8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20-22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22</w:t>
            </w:r>
            <w:r w:rsidR="00323844">
              <w:t xml:space="preserve"> mi/58.3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23-24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24</w:t>
            </w:r>
            <w:r w:rsidR="00323844">
              <w:t xml:space="preserve"> mi/64.8 km</w:t>
            </w:r>
          </w:p>
        </w:tc>
      </w:tr>
      <w:tr w:rsidR="00323844" w:rsidTr="00323844">
        <w:trPr>
          <w:jc w:val="center"/>
        </w:trPr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25+</w:t>
            </w:r>
          </w:p>
        </w:tc>
        <w:tc>
          <w:tcPr>
            <w:tcW w:w="19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037F67">
            <w:pPr>
              <w:pStyle w:val="Table"/>
            </w:pPr>
            <w:r>
              <w:t>26</w:t>
            </w:r>
            <w:r w:rsidR="00323844">
              <w:t xml:space="preserve"> mi/71.28 km</w:t>
            </w:r>
          </w:p>
        </w:tc>
      </w:tr>
    </w:tbl>
    <w:p w:rsidR="00323844" w:rsidRDefault="00323844" w:rsidP="00323844">
      <w:pPr>
        <w:pStyle w:val="Heading4"/>
      </w:pPr>
      <w:bookmarkStart w:id="4" w:name="_Toc115752509"/>
      <w:r>
        <w:t>Effects of Terrain on Movement</w:t>
      </w:r>
      <w:bookmarkEnd w:id="4"/>
    </w:p>
    <w:p w:rsidR="00323844" w:rsidRDefault="00323844" w:rsidP="00323844">
      <w:r>
        <w:t>The movement rates listed assume generally flat and mostly clear terrain. Roads, swamps, forests and hills will affect the rate at which the characters travel.</w:t>
      </w:r>
    </w:p>
    <w:p w:rsidR="00323844" w:rsidRDefault="00323844" w:rsidP="00323844">
      <w:pPr>
        <w:pStyle w:val="Heading6"/>
      </w:pPr>
      <w:r>
        <w:lastRenderedPageBreak/>
        <w:t>Terrain Effects</w:t>
      </w:r>
    </w:p>
    <w:tbl>
      <w:tblPr>
        <w:tblW w:w="0" w:type="auto"/>
        <w:tblInd w:w="108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ook w:val="04A0"/>
      </w:tblPr>
      <w:tblGrid>
        <w:gridCol w:w="2700"/>
        <w:gridCol w:w="1728"/>
      </w:tblGrid>
      <w:tr w:rsidR="00323844" w:rsidTr="00323844">
        <w:tc>
          <w:tcPr>
            <w:tcW w:w="28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Terrain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Movement</w:t>
            </w:r>
          </w:p>
        </w:tc>
      </w:tr>
      <w:tr w:rsidR="00323844" w:rsidTr="00323844">
        <w:tc>
          <w:tcPr>
            <w:tcW w:w="28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</w:pPr>
            <w:r>
              <w:t>Road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+20-50% Move</w:t>
            </w:r>
          </w:p>
        </w:tc>
      </w:tr>
      <w:tr w:rsidR="00323844" w:rsidTr="00323844">
        <w:tc>
          <w:tcPr>
            <w:tcW w:w="28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</w:pPr>
            <w:r>
              <w:t>Light Woods, Grasslands, Plains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Normal Move</w:t>
            </w:r>
          </w:p>
        </w:tc>
      </w:tr>
      <w:tr w:rsidR="00323844" w:rsidTr="00323844">
        <w:tc>
          <w:tcPr>
            <w:tcW w:w="28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</w:pPr>
            <w:r>
              <w:t>Dense Woods, Swamp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-20-40% Move</w:t>
            </w:r>
          </w:p>
        </w:tc>
      </w:tr>
      <w:tr w:rsidR="00323844" w:rsidTr="00323844">
        <w:tc>
          <w:tcPr>
            <w:tcW w:w="28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</w:pPr>
            <w:r>
              <w:t>Hills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-20% Move</w:t>
            </w:r>
          </w:p>
        </w:tc>
      </w:tr>
      <w:tr w:rsidR="00323844" w:rsidTr="00323844">
        <w:tc>
          <w:tcPr>
            <w:tcW w:w="28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</w:pPr>
            <w:r>
              <w:t>Mountains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23844" w:rsidRDefault="00323844">
            <w:pPr>
              <w:pStyle w:val="Table"/>
              <w:jc w:val="center"/>
            </w:pPr>
            <w:r>
              <w:t>-50-75% Move</w:t>
            </w:r>
          </w:p>
        </w:tc>
      </w:tr>
    </w:tbl>
    <w:p w:rsidR="00323844" w:rsidRDefault="00323844" w:rsidP="00323844">
      <w:bookmarkStart w:id="5" w:name="_Toc515163375"/>
    </w:p>
    <w:p w:rsidR="00323844" w:rsidRDefault="00323844" w:rsidP="00323844">
      <w:pPr>
        <w:pStyle w:val="Heading4"/>
      </w:pPr>
      <w:bookmarkStart w:id="6" w:name="_Toc115752510"/>
      <w:bookmarkEnd w:id="5"/>
      <w:r>
        <w:t>Pack Animals and Carts</w:t>
      </w:r>
      <w:bookmarkEnd w:id="6"/>
    </w:p>
    <w:p w:rsidR="00323844" w:rsidRDefault="00323844" w:rsidP="00323844">
      <w:pPr>
        <w:pStyle w:val="Heading5"/>
        <w:rPr>
          <w:rFonts w:ascii="Book Antiqua" w:hAnsi="Book Antiqua"/>
          <w:b w:val="0"/>
          <w:bCs w:val="0"/>
          <w:iCs w:val="0"/>
          <w:sz w:val="18"/>
          <w:szCs w:val="24"/>
        </w:rPr>
      </w:pPr>
      <w:r>
        <w:rPr>
          <w:rFonts w:ascii="Book Antiqua" w:hAnsi="Book Antiqua"/>
          <w:b w:val="0"/>
          <w:bCs w:val="0"/>
          <w:iCs w:val="0"/>
          <w:sz w:val="18"/>
          <w:szCs w:val="24"/>
        </w:rPr>
        <w:t>Traveling with a pack animal or an animal-pulled cart can greatly increase the amount of goods the party can carry with them.</w:t>
      </w:r>
    </w:p>
    <w:p w:rsidR="00323844" w:rsidRDefault="00323844" w:rsidP="00323844">
      <w:r>
        <w:t xml:space="preserve">Pack animals can travel virtually anywhere humans can, with much the same restrictions.  </w:t>
      </w:r>
    </w:p>
    <w:p w:rsidR="00323844" w:rsidRDefault="00323844" w:rsidP="00323844"/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1248"/>
        <w:gridCol w:w="1582"/>
        <w:gridCol w:w="1598"/>
      </w:tblGrid>
      <w:tr w:rsidR="00323844" w:rsidTr="00323844"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b/>
                <w:bCs/>
                <w:szCs w:val="20"/>
              </w:rPr>
              <w:t xml:space="preserve">Animal </w:t>
            </w:r>
          </w:p>
        </w:tc>
        <w:tc>
          <w:tcPr>
            <w:tcW w:w="1620" w:type="dxa"/>
            <w:tcBorders>
              <w:top w:val="single" w:sz="4" w:space="0" w:color="CC9966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Average Capacity</w:t>
            </w:r>
          </w:p>
        </w:tc>
        <w:tc>
          <w:tcPr>
            <w:tcW w:w="1620" w:type="dxa"/>
            <w:tcBorders>
              <w:top w:val="single" w:sz="4" w:space="0" w:color="CC9966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b/>
                <w:bCs/>
                <w:szCs w:val="20"/>
              </w:rPr>
              <w:t>Movement Rate/Day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Pack Dog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50 lb / 22.6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14 mi/22.7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Donkey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150 lb / 68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14 mi/22.7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Pack Mule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250 lb / 113.4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17 mi/27.5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Pack Horse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250 lb / 113.4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20 mi/32.4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Warhorse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color w:val="000000"/>
                <w:szCs w:val="20"/>
              </w:rPr>
              <w:t>250 lb / 113.4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32 mi/51.8 km</w:t>
            </w:r>
          </w:p>
        </w:tc>
      </w:tr>
    </w:tbl>
    <w:p w:rsidR="00323844" w:rsidRDefault="00323844" w:rsidP="00323844"/>
    <w:p w:rsidR="00323844" w:rsidRDefault="00323844" w:rsidP="00323844">
      <w:r>
        <w:t xml:space="preserve">Carts travel primarily on roads, their movement bonuses are taken into account in this table.  They can travel over plains or grasslands at –20% of their normal move, but this greatly increases the </w:t>
      </w:r>
      <w:proofErr w:type="spellStart"/>
      <w:r>
        <w:t>changes</w:t>
      </w:r>
      <w:proofErr w:type="spellEnd"/>
      <w:r>
        <w:t xml:space="preserve"> of getting stuck or damaged.</w:t>
      </w:r>
    </w:p>
    <w:p w:rsidR="00323844" w:rsidRDefault="00323844" w:rsidP="00323844"/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1243"/>
        <w:gridCol w:w="1585"/>
        <w:gridCol w:w="1600"/>
      </w:tblGrid>
      <w:tr w:rsidR="00323844" w:rsidTr="00323844"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b/>
                <w:bCs/>
                <w:szCs w:val="20"/>
              </w:rPr>
              <w:t xml:space="preserve">Vehicle </w:t>
            </w:r>
          </w:p>
        </w:tc>
        <w:tc>
          <w:tcPr>
            <w:tcW w:w="1620" w:type="dxa"/>
            <w:tcBorders>
              <w:top w:val="single" w:sz="4" w:space="0" w:color="CC9966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Average Capacity</w:t>
            </w:r>
          </w:p>
        </w:tc>
        <w:tc>
          <w:tcPr>
            <w:tcW w:w="1620" w:type="dxa"/>
            <w:tcBorders>
              <w:top w:val="single" w:sz="4" w:space="0" w:color="CC9966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b/>
                <w:bCs/>
                <w:szCs w:val="20"/>
              </w:rPr>
              <w:t>Movement Rate/Day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Hand cart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200 lb / 90.7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11 mi/17.8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autoSpaceDE w:val="0"/>
              <w:autoSpaceDN w:val="0"/>
              <w:adjustRightInd w:val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Donkey cart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500 lb / 226.8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14 mi/22.7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Mule cart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1000 lb / 453.6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17 mi/27.5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2-Mule cart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2500 lb / 1134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20 mi/32.4 km</w:t>
            </w:r>
          </w:p>
        </w:tc>
      </w:tr>
      <w:tr w:rsidR="00323844" w:rsidTr="00323844">
        <w:tc>
          <w:tcPr>
            <w:tcW w:w="1260" w:type="dxa"/>
            <w:tcBorders>
              <w:top w:val="nil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rPr>
                <w:rFonts w:eastAsia="Arial Unicode MS"/>
              </w:rPr>
            </w:pPr>
            <w:r>
              <w:rPr>
                <w:color w:val="000000"/>
                <w:szCs w:val="20"/>
              </w:rPr>
              <w:t>2-Oxen cart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nil"/>
            </w:tcBorders>
            <w:hideMark/>
          </w:tcPr>
          <w:p w:rsidR="00323844" w:rsidRDefault="0032384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1000 lb / 453.6 kg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CC9966"/>
              <w:right w:val="single" w:sz="4" w:space="0" w:color="CC99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3844" w:rsidRDefault="00323844">
            <w:pPr>
              <w:jc w:val="center"/>
              <w:rPr>
                <w:rFonts w:eastAsia="Arial Unicode MS"/>
              </w:rPr>
            </w:pPr>
            <w:r>
              <w:rPr>
                <w:szCs w:val="20"/>
              </w:rPr>
              <w:t>11 mi/17.8 km</w:t>
            </w:r>
          </w:p>
        </w:tc>
      </w:tr>
      <w:bookmarkEnd w:id="2"/>
    </w:tbl>
    <w:p w:rsidR="00323844" w:rsidRDefault="00323844">
      <w:pPr>
        <w:sectPr w:rsidR="00323844" w:rsidSect="00323844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00B79" w:rsidRDefault="00037F67"/>
    <w:sectPr w:rsidR="00B00B79" w:rsidSect="003238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73D2"/>
    <w:rsid w:val="00037F67"/>
    <w:rsid w:val="00323844"/>
    <w:rsid w:val="007273D2"/>
    <w:rsid w:val="007804D5"/>
    <w:rsid w:val="00B67A61"/>
    <w:rsid w:val="00E1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844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3844"/>
    <w:pPr>
      <w:keepNext/>
      <w:spacing w:after="120"/>
      <w:outlineLvl w:val="2"/>
    </w:pPr>
    <w:rPr>
      <w:rFonts w:ascii="Morpheus" w:hAnsi="Morpheus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3844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3844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3844"/>
    <w:pPr>
      <w:keepNext/>
      <w:spacing w:before="120" w:after="120"/>
      <w:outlineLvl w:val="5"/>
    </w:pPr>
    <w:rPr>
      <w:rFonts w:ascii="Morpheus" w:hAnsi="Morpheus"/>
      <w:b/>
      <w:b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323844"/>
    <w:rPr>
      <w:rFonts w:ascii="Morpheus" w:eastAsia="Times New Roman" w:hAnsi="Morpheus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323844"/>
    <w:rPr>
      <w:rFonts w:ascii="Morpheus" w:eastAsia="Times New Roman" w:hAnsi="Morpheu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23844"/>
    <w:rPr>
      <w:rFonts w:ascii="Morpheus" w:eastAsia="Times New Roman" w:hAnsi="Morpheus" w:cs="Times New Roman"/>
      <w:b/>
      <w:bCs/>
      <w:iCs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23844"/>
    <w:rPr>
      <w:rFonts w:ascii="Morpheus" w:eastAsia="Times New Roman" w:hAnsi="Morpheus" w:cs="Times New Roman"/>
      <w:b/>
      <w:bCs/>
      <w:sz w:val="20"/>
      <w:szCs w:val="16"/>
    </w:rPr>
  </w:style>
  <w:style w:type="paragraph" w:customStyle="1" w:styleId="Table">
    <w:name w:val="Table"/>
    <w:basedOn w:val="Normal"/>
    <w:rsid w:val="00323844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844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23844"/>
    <w:pPr>
      <w:keepNext/>
      <w:spacing w:after="120"/>
      <w:outlineLvl w:val="2"/>
    </w:pPr>
    <w:rPr>
      <w:rFonts w:ascii="Morpheus" w:hAnsi="Morpheus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23844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23844"/>
    <w:pPr>
      <w:keepNext/>
      <w:spacing w:before="120" w:after="120"/>
      <w:outlineLvl w:val="4"/>
    </w:pPr>
    <w:rPr>
      <w:rFonts w:ascii="Morpheus" w:hAnsi="Morpheus"/>
      <w:b/>
      <w:bCs/>
      <w:iCs/>
      <w:sz w:val="22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23844"/>
    <w:pPr>
      <w:keepNext/>
      <w:spacing w:before="120" w:after="120"/>
      <w:outlineLvl w:val="5"/>
    </w:pPr>
    <w:rPr>
      <w:rFonts w:ascii="Morpheus" w:hAnsi="Morpheus"/>
      <w:b/>
      <w:b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323844"/>
    <w:rPr>
      <w:rFonts w:ascii="Morpheus" w:eastAsia="Times New Roman" w:hAnsi="Morpheus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323844"/>
    <w:rPr>
      <w:rFonts w:ascii="Morpheus" w:eastAsia="Times New Roman" w:hAnsi="Morpheus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23844"/>
    <w:rPr>
      <w:rFonts w:ascii="Morpheus" w:eastAsia="Times New Roman" w:hAnsi="Morpheus" w:cs="Times New Roman"/>
      <w:b/>
      <w:bCs/>
      <w:iCs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323844"/>
    <w:rPr>
      <w:rFonts w:ascii="Morpheus" w:eastAsia="Times New Roman" w:hAnsi="Morpheus" w:cs="Times New Roman"/>
      <w:b/>
      <w:bCs/>
      <w:sz w:val="20"/>
      <w:szCs w:val="16"/>
    </w:rPr>
  </w:style>
  <w:style w:type="paragraph" w:customStyle="1" w:styleId="Table">
    <w:name w:val="Table"/>
    <w:basedOn w:val="Normal"/>
    <w:rsid w:val="00323844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 Magoun</cp:lastModifiedBy>
  <cp:revision>3</cp:revision>
  <dcterms:created xsi:type="dcterms:W3CDTF">2011-10-24T11:47:00Z</dcterms:created>
  <dcterms:modified xsi:type="dcterms:W3CDTF">2013-04-24T14:25:00Z</dcterms:modified>
</cp:coreProperties>
</file>