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07 · 交付状态与准入测试台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PRD：DAT01 · AI03 · DIA02 · S12　　端口：5177　　启动：python -m http.server 5177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本台检查 delivery_state、_publish.publish_admit、可见 outcome 三者是否同口径、可原子准入。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阻断/故障不得伪装成 Empty Day 或假成品；诚实无记忆允许，假空日禁止。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对照样例覆盖：READY_*、NO_GROUNDED、PIPELINE_BLOCKED、mock_fallback 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 BFF result_admit、App validatePreviewResult / deliveryAdmit 必须一致；与台 11（mock 专项）互补。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含 delivery_state / _publish 的 preview JSON（粘贴或加载）。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可用 sample_preview.json 与各类阻断/就绪样例对照。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准入判定（admit 与否）及原因说明。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不一致字段列表（状态与 publish_admit / 可见记忆矛盾时）。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导出报告，用于本批「交付门闩」验收。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DAT01：原子准入；未知结构拒绝。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AI03：失败不包装成品；故障 ≠ Empty Day。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DIA02：诚实无记忆允许；假空日禁止。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BFF result_admit 与 App validatePreviewResult / deliveryAdmit 必须同口径。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E:\AI耳机\web测试台\07_delivery_admit</w:t>
        <w:br/>
        <w:t>python -m http.server 5177</w:t>
        <w:br/>
        <w:t>浏览器打开 http://127.0.0.1:5177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启动并打开 http://127.0.0.1:5177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粘贴或加载 preview（含 delivery_state / _publish）。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对照样例：READY_*、NO_GROUNDED、PIPELINE_BLOCKED、mock。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确认阻断不可 admit；诚实空可单独处理。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导出报告。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PIPELINE_BLOCKED 且 publish_admit=true</w:t>
            </w:r>
          </w:p>
        </w:tc>
        <w:tc>
          <w:tcPr>
            <w:tcW w:type="dxa" w:w="5040"/>
          </w:tcPr>
          <w:p>
            <w:r>
              <w:t>次数 = 0</w:t>
            </w:r>
          </w:p>
        </w:tc>
      </w:tr>
      <w:tr>
        <w:tc>
          <w:tcPr>
            <w:tcW w:type="dxa" w:w="5040"/>
          </w:tcPr>
          <w:p>
            <w:r>
              <w:t>mock_fallback 且质量模式</w:t>
            </w:r>
          </w:p>
        </w:tc>
        <w:tc>
          <w:tcPr>
            <w:tcW w:type="dxa" w:w="5040"/>
          </w:tcPr>
          <w:p>
            <w:r>
              <w:t>次数 = 0</w:t>
            </w:r>
          </w:p>
        </w:tc>
      </w:tr>
      <w:tr>
        <w:tc>
          <w:tcPr>
            <w:tcW w:type="dxa" w:w="5040"/>
          </w:tcPr>
          <w:p>
            <w:r>
              <w:t>READY_* 且无可见记忆</w:t>
            </w:r>
          </w:p>
        </w:tc>
        <w:tc>
          <w:tcPr>
            <w:tcW w:type="dxa" w:w="5040"/>
          </w:tcPr>
          <w:p>
            <w:r>
              <w:t>需人工解释或判 FAIL</w:t>
            </w:r>
          </w:p>
        </w:tc>
      </w:tr>
      <w:tr>
        <w:tc>
          <w:tcPr>
            <w:tcW w:type="dxa" w:w="5040"/>
          </w:tcPr>
          <w:p>
            <w:r>
              <w:t>合同字段齐全（schema/delivery）</w:t>
            </w:r>
          </w:p>
        </w:tc>
        <w:tc>
          <w:tcPr>
            <w:tcW w:type="dxa" w:w="5040"/>
          </w:tcPr>
          <w:p>
            <w:r>
              <w:t>必须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与台 11 互补：07 偏状态合同，11 偏 mock 专项。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BFF shared/result_admit.py；App deliveryAdmit.ts。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本手册：07_delivery_admit_说明手册.docx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