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686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36"/>
          <w:szCs w:val="36"/>
          <w:bdr w:val="none" w:color="auto" w:sz="0" w:space="0"/>
          <w:shd w:val="clear" w:fill="FFFFFF"/>
        </w:rPr>
        <w:t>国家税务总局令</w:t>
      </w:r>
    </w:p>
    <w:p w14:paraId="0D3FBE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宋体" w:hAnsi="宋体" w:eastAsia="宋体" w:cs="宋体"/>
          <w:i w:val="0"/>
          <w:iCs w:val="0"/>
          <w:caps w:val="0"/>
          <w:color w:val="333333"/>
          <w:spacing w:val="0"/>
          <w:sz w:val="16"/>
          <w:szCs w:val="16"/>
        </w:rPr>
      </w:pPr>
    </w:p>
    <w:p w14:paraId="729940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第　</w:t>
      </w:r>
      <w:r>
        <w:rPr>
          <w:rFonts w:hint="eastAsia" w:ascii="宋体" w:hAnsi="宋体" w:eastAsia="宋体" w:cs="宋体"/>
          <w:b/>
          <w:bCs/>
          <w:i w:val="0"/>
          <w:iCs w:val="0"/>
          <w:caps w:val="0"/>
          <w:color w:val="333333"/>
          <w:spacing w:val="0"/>
          <w:sz w:val="16"/>
          <w:szCs w:val="16"/>
          <w:bdr w:val="none" w:color="auto" w:sz="0" w:space="0"/>
          <w:shd w:val="clear" w:fill="FFFFFF"/>
        </w:rPr>
        <w:t>43</w:t>
      </w:r>
      <w:r>
        <w:rPr>
          <w:rFonts w:hint="eastAsia" w:ascii="宋体" w:hAnsi="宋体" w:eastAsia="宋体" w:cs="宋体"/>
          <w:i w:val="0"/>
          <w:iCs w:val="0"/>
          <w:caps w:val="0"/>
          <w:color w:val="333333"/>
          <w:spacing w:val="0"/>
          <w:sz w:val="16"/>
          <w:szCs w:val="16"/>
          <w:bdr w:val="none" w:color="auto" w:sz="0" w:space="0"/>
          <w:shd w:val="clear" w:fill="FFFFFF"/>
        </w:rPr>
        <w:t>　号</w:t>
      </w:r>
    </w:p>
    <w:p w14:paraId="44C8B6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p>
    <w:p w14:paraId="73A064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《增值税一般纳税人登记管理办法》已经2017年11月30日国家税务总局2017年度第2次局务会议审议通过，现予公布，自2018年2月1日起施行。</w:t>
      </w:r>
    </w:p>
    <w:p w14:paraId="0384EFD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局　长　　王　军        </w:t>
      </w:r>
    </w:p>
    <w:p w14:paraId="0B9F70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righ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2017年12月29日      </w:t>
      </w:r>
    </w:p>
    <w:p w14:paraId="6A210A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p>
    <w:p w14:paraId="570A1C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p>
    <w:p w14:paraId="3397861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宋体" w:hAnsi="宋体" w:eastAsia="宋体" w:cs="宋体"/>
          <w:i w:val="0"/>
          <w:iCs w:val="0"/>
          <w:caps w:val="0"/>
          <w:color w:val="333333"/>
          <w:spacing w:val="0"/>
          <w:sz w:val="16"/>
          <w:szCs w:val="16"/>
        </w:rPr>
      </w:pPr>
      <w:bookmarkStart w:id="0" w:name="_GoBack"/>
      <w:r>
        <w:rPr>
          <w:rFonts w:hint="eastAsia" w:ascii="宋体" w:hAnsi="宋体" w:eastAsia="宋体" w:cs="宋体"/>
          <w:b/>
          <w:bCs/>
          <w:i w:val="0"/>
          <w:iCs w:val="0"/>
          <w:caps w:val="0"/>
          <w:color w:val="333333"/>
          <w:spacing w:val="0"/>
          <w:sz w:val="36"/>
          <w:szCs w:val="36"/>
          <w:bdr w:val="none" w:color="auto" w:sz="0" w:space="0"/>
          <w:shd w:val="clear" w:fill="FFFFFF"/>
        </w:rPr>
        <w:t>增值税一般纳税人登记管理办法</w:t>
      </w:r>
    </w:p>
    <w:bookmarkEnd w:id="0"/>
    <w:p w14:paraId="6109F3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p>
    <w:p w14:paraId="6EE06B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第一条</w:t>
      </w:r>
      <w:r>
        <w:rPr>
          <w:rFonts w:hint="eastAsia" w:ascii="宋体" w:hAnsi="宋体" w:eastAsia="宋体" w:cs="宋体"/>
          <w:i w:val="0"/>
          <w:iCs w:val="0"/>
          <w:caps w:val="0"/>
          <w:color w:val="333333"/>
          <w:spacing w:val="0"/>
          <w:sz w:val="16"/>
          <w:szCs w:val="16"/>
          <w:bdr w:val="none" w:color="auto" w:sz="0" w:space="0"/>
          <w:shd w:val="clear" w:fill="FFFFFF"/>
        </w:rPr>
        <w:t>　为了做好增值税一般纳税人（以下简称“一般纳税人”）登记管理，根据《中华人民共和国增值税暂行条例》及其实施细则有关规定，制定本办法。</w:t>
      </w:r>
    </w:p>
    <w:p w14:paraId="30C309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第二条</w:t>
      </w:r>
      <w:r>
        <w:rPr>
          <w:rFonts w:hint="eastAsia" w:ascii="宋体" w:hAnsi="宋体" w:eastAsia="宋体" w:cs="宋体"/>
          <w:i w:val="0"/>
          <w:iCs w:val="0"/>
          <w:caps w:val="0"/>
          <w:color w:val="333333"/>
          <w:spacing w:val="0"/>
          <w:sz w:val="16"/>
          <w:szCs w:val="16"/>
          <w:bdr w:val="none" w:color="auto" w:sz="0" w:space="0"/>
          <w:shd w:val="clear" w:fill="FFFFFF"/>
        </w:rPr>
        <w:t>　增值税纳税人（以下简称“纳税人”），年应税销售额超过财政部、国家税务总局规定的小规模纳税人标准（以下简称“规定标准”）的，除本办法第四条规定外，应当向主管税务机关办理一般纳税人登记。</w:t>
      </w:r>
    </w:p>
    <w:p w14:paraId="11F026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本办法所称年应税销售额，是指纳税人在连续不超过12个月或4个季度的经营期内累计应征增值税销售额，包括纳税申报销售额、稽查查补销售额、纳税评估调整销售额。</w:t>
      </w:r>
    </w:p>
    <w:p w14:paraId="01B6DA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销售服务、无形资产或者不动产（以下简称“应税行为”）有扣除项目的纳税人，其应税行为年应税销售额按未扣除之前的销售额计算。纳税人偶然发生的销售无形资产、转让不动产的销售额，不计入应税行为年应税销售额。</w:t>
      </w:r>
    </w:p>
    <w:p w14:paraId="7C3FD8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第三条</w:t>
      </w:r>
      <w:r>
        <w:rPr>
          <w:rFonts w:hint="eastAsia" w:ascii="宋体" w:hAnsi="宋体" w:eastAsia="宋体" w:cs="宋体"/>
          <w:i w:val="0"/>
          <w:iCs w:val="0"/>
          <w:caps w:val="0"/>
          <w:color w:val="333333"/>
          <w:spacing w:val="0"/>
          <w:sz w:val="16"/>
          <w:szCs w:val="16"/>
          <w:bdr w:val="none" w:color="auto" w:sz="0" w:space="0"/>
          <w:shd w:val="clear" w:fill="FFFFFF"/>
        </w:rPr>
        <w:t>　年应税销售额未超过规定标准的纳税人，会计核算健全，能够提供准确税务资料的，可以向主管税务机关办理一般纳税人登记。</w:t>
      </w:r>
    </w:p>
    <w:p w14:paraId="6C534E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本办法所称会计核算健全，是指能够按照国家统一的会计制度规定设置账簿，根据合法、有效凭证进行核算。</w:t>
      </w:r>
    </w:p>
    <w:p w14:paraId="792200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第四条</w:t>
      </w:r>
      <w:r>
        <w:rPr>
          <w:rFonts w:hint="eastAsia" w:ascii="宋体" w:hAnsi="宋体" w:eastAsia="宋体" w:cs="宋体"/>
          <w:i w:val="0"/>
          <w:iCs w:val="0"/>
          <w:caps w:val="0"/>
          <w:color w:val="333333"/>
          <w:spacing w:val="0"/>
          <w:sz w:val="16"/>
          <w:szCs w:val="16"/>
          <w:bdr w:val="none" w:color="auto" w:sz="0" w:space="0"/>
          <w:shd w:val="clear" w:fill="FFFFFF"/>
        </w:rPr>
        <w:t>　下列纳税人不办理一般纳税人登记：</w:t>
      </w:r>
    </w:p>
    <w:p w14:paraId="6C7493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（一）按照政策规定，选择按照小规模纳税人纳税的；</w:t>
      </w:r>
    </w:p>
    <w:p w14:paraId="2B62D5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（二）年应税销售额超过规定标准的其他个人。</w:t>
      </w:r>
    </w:p>
    <w:p w14:paraId="722854C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第五条</w:t>
      </w:r>
      <w:r>
        <w:rPr>
          <w:rFonts w:hint="eastAsia" w:ascii="宋体" w:hAnsi="宋体" w:eastAsia="宋体" w:cs="宋体"/>
          <w:i w:val="0"/>
          <w:iCs w:val="0"/>
          <w:caps w:val="0"/>
          <w:color w:val="333333"/>
          <w:spacing w:val="0"/>
          <w:sz w:val="16"/>
          <w:szCs w:val="16"/>
          <w:bdr w:val="none" w:color="auto" w:sz="0" w:space="0"/>
          <w:shd w:val="clear" w:fill="FFFFFF"/>
        </w:rPr>
        <w:t>　纳税人应当向其机构所在地主管税务机关办理一般纳税人登记手续。</w:t>
      </w:r>
    </w:p>
    <w:p w14:paraId="742100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第六条</w:t>
      </w:r>
      <w:r>
        <w:rPr>
          <w:rFonts w:hint="eastAsia" w:ascii="宋体" w:hAnsi="宋体" w:eastAsia="宋体" w:cs="宋体"/>
          <w:i w:val="0"/>
          <w:iCs w:val="0"/>
          <w:caps w:val="0"/>
          <w:color w:val="333333"/>
          <w:spacing w:val="0"/>
          <w:sz w:val="16"/>
          <w:szCs w:val="16"/>
          <w:bdr w:val="none" w:color="auto" w:sz="0" w:space="0"/>
          <w:shd w:val="clear" w:fill="FFFFFF"/>
        </w:rPr>
        <w:t>　纳税人办理一般纳税人登记的程序如下：</w:t>
      </w:r>
    </w:p>
    <w:p w14:paraId="68B1CE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（一）纳税人向主管税务机关填报《增值税一般纳税人登记表》（附件1），如实填写固定生产经营场所等信息，并提供税务登记证件；</w:t>
      </w:r>
    </w:p>
    <w:p w14:paraId="4F2B3B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（二）纳税人填报内容与税务登记信息一致的，主管税务机关当场登记；</w:t>
      </w:r>
    </w:p>
    <w:p w14:paraId="752A4D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（三）纳税人填报内容与税务登记信息不一致，或者不符合填列要求的，税务机关应当场告知纳税人需要补正的内容。</w:t>
      </w:r>
    </w:p>
    <w:p w14:paraId="368AD5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第七条</w:t>
      </w:r>
      <w:r>
        <w:rPr>
          <w:rFonts w:hint="eastAsia" w:ascii="宋体" w:hAnsi="宋体" w:eastAsia="宋体" w:cs="宋体"/>
          <w:i w:val="0"/>
          <w:iCs w:val="0"/>
          <w:caps w:val="0"/>
          <w:color w:val="333333"/>
          <w:spacing w:val="0"/>
          <w:sz w:val="16"/>
          <w:szCs w:val="16"/>
          <w:bdr w:val="none" w:color="auto" w:sz="0" w:space="0"/>
          <w:shd w:val="clear" w:fill="FFFFFF"/>
        </w:rPr>
        <w:t>　年应税销售额超过规定标准的纳税人符合本办法第四条第一项规定的，应当向主管税务机关提交书面说明（附件2）。</w:t>
      </w:r>
    </w:p>
    <w:p w14:paraId="5D2DAD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第八条</w:t>
      </w:r>
      <w:r>
        <w:rPr>
          <w:rFonts w:hint="eastAsia" w:ascii="宋体" w:hAnsi="宋体" w:eastAsia="宋体" w:cs="宋体"/>
          <w:i w:val="0"/>
          <w:iCs w:val="0"/>
          <w:caps w:val="0"/>
          <w:color w:val="333333"/>
          <w:spacing w:val="0"/>
          <w:sz w:val="16"/>
          <w:szCs w:val="16"/>
          <w:bdr w:val="none" w:color="auto" w:sz="0" w:space="0"/>
          <w:shd w:val="clear" w:fill="FFFFFF"/>
        </w:rPr>
        <w:t>　纳税人在年应税销售额超过规定标准的月份（或季度）的所属申报期结束后15日内按照本办法第六条或者第七条的规定办理相关手续；未按规定时限办理的，主管税务机关应当在规定时限结束后5日内制作《税务事项通知书》，告知纳税人应当在5日内向主管税务机关办理相关手续；逾期仍不办理的，次月起按销售额依照增值税税率计算应纳税额，不得抵扣进项税额，直至纳税人办理相关手续为止。</w:t>
      </w:r>
    </w:p>
    <w:p w14:paraId="3ABD45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第九条</w:t>
      </w:r>
      <w:r>
        <w:rPr>
          <w:rFonts w:hint="eastAsia" w:ascii="宋体" w:hAnsi="宋体" w:eastAsia="宋体" w:cs="宋体"/>
          <w:i w:val="0"/>
          <w:iCs w:val="0"/>
          <w:caps w:val="0"/>
          <w:color w:val="333333"/>
          <w:spacing w:val="0"/>
          <w:sz w:val="16"/>
          <w:szCs w:val="16"/>
          <w:bdr w:val="none" w:color="auto" w:sz="0" w:space="0"/>
          <w:shd w:val="clear" w:fill="FFFFFF"/>
        </w:rPr>
        <w:t>　纳税人自一般纳税人生效之日起，按照增值税一般计税方法计算应纳税额，并可以按照规定领用增值税专用发票，财政部、国家税务总局另有规定的除外。</w:t>
      </w:r>
    </w:p>
    <w:p w14:paraId="742CAB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本办法所称的生效之日，是指纳税人办理登记的当月1日或者次月1日，由纳税人在办理登记手续时自行选择。</w:t>
      </w:r>
    </w:p>
    <w:p w14:paraId="1B59B7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第十条</w:t>
      </w:r>
      <w:r>
        <w:rPr>
          <w:rFonts w:hint="eastAsia" w:ascii="宋体" w:hAnsi="宋体" w:eastAsia="宋体" w:cs="宋体"/>
          <w:i w:val="0"/>
          <w:iCs w:val="0"/>
          <w:caps w:val="0"/>
          <w:color w:val="333333"/>
          <w:spacing w:val="0"/>
          <w:sz w:val="16"/>
          <w:szCs w:val="16"/>
          <w:bdr w:val="none" w:color="auto" w:sz="0" w:space="0"/>
          <w:shd w:val="clear" w:fill="FFFFFF"/>
        </w:rPr>
        <w:t>　纳税人登记为一般纳税人后，不得转为小规模纳税人，国家税务总局另有规定的除外。</w:t>
      </w:r>
    </w:p>
    <w:p w14:paraId="7B60F1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第十一条</w:t>
      </w:r>
      <w:r>
        <w:rPr>
          <w:rFonts w:hint="eastAsia" w:ascii="宋体" w:hAnsi="宋体" w:eastAsia="宋体" w:cs="宋体"/>
          <w:i w:val="0"/>
          <w:iCs w:val="0"/>
          <w:caps w:val="0"/>
          <w:color w:val="333333"/>
          <w:spacing w:val="0"/>
          <w:sz w:val="16"/>
          <w:szCs w:val="16"/>
          <w:bdr w:val="none" w:color="auto" w:sz="0" w:space="0"/>
          <w:shd w:val="clear" w:fill="FFFFFF"/>
        </w:rPr>
        <w:t>　主管税务机关应当加强对税收风险的管理。对税收遵从度低的一般纳税人，主管税务机关可以实行纳税辅导期管理，具体办法由国家税务总局另行制定。</w:t>
      </w:r>
    </w:p>
    <w:p w14:paraId="089138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b/>
          <w:bCs/>
          <w:i w:val="0"/>
          <w:iCs w:val="0"/>
          <w:caps w:val="0"/>
          <w:color w:val="333333"/>
          <w:spacing w:val="0"/>
          <w:sz w:val="16"/>
          <w:szCs w:val="16"/>
          <w:bdr w:val="none" w:color="auto" w:sz="0" w:space="0"/>
          <w:shd w:val="clear" w:fill="FFFFFF"/>
        </w:rPr>
        <w:t>第十二条</w:t>
      </w:r>
      <w:r>
        <w:rPr>
          <w:rFonts w:hint="eastAsia" w:ascii="宋体" w:hAnsi="宋体" w:eastAsia="宋体" w:cs="宋体"/>
          <w:i w:val="0"/>
          <w:iCs w:val="0"/>
          <w:caps w:val="0"/>
          <w:color w:val="333333"/>
          <w:spacing w:val="0"/>
          <w:sz w:val="16"/>
          <w:szCs w:val="16"/>
          <w:bdr w:val="none" w:color="auto" w:sz="0" w:space="0"/>
          <w:shd w:val="clear" w:fill="FFFFFF"/>
        </w:rPr>
        <w:t>　本办法自2018年2月1日起施行，《增值税一般纳税人资格认定管理办法》（国家税务总局令第22号公布）同时废止。</w:t>
      </w:r>
    </w:p>
    <w:p w14:paraId="2E5876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附件：1.增值税一般纳税人登记表</w:t>
      </w:r>
    </w:p>
    <w:p w14:paraId="6A599E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　　　2.选择按小规模纳税人纳税的情况说明</w:t>
      </w:r>
    </w:p>
    <w:p w14:paraId="0C0D22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420"/>
        <w:jc w:val="both"/>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（以上附件略，详情请登录税务总局网站）</w:t>
      </w:r>
    </w:p>
    <w:p w14:paraId="3DC34C8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2C5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2026-04-23T00:56:59Z</dcterms:created>
  <dc:creator>dell1</dc:creator>
  <cp:lastModifiedBy>WPS_1775728118</cp:lastModifiedBy>
  <dcterms:modified xsi:type="dcterms:W3CDTF">2026-04-23T00:57:11Z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eyJoZGlkIjoiYjgyOGQyODI3NTAyMDJjYmRjZmFkZWE1NDI5Y2Q4NDIiLCJ1c2VySWQiOiIxODIxMjgyMjE2In0=</vt:lpwstr>
  </property>
  <property fmtid="{D5CDD505-2E9C-101B-9397-08002B2CF9AE}" pid="4" name="ICV">
    <vt:lpwstr>F0DDDE2A2FA747259CDFDDCC1D4636AB_12</vt:lpwstr>
  </property>
</Properties>
</file>