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jc w:val="center"/>
        <w:rPr>
          <w:rFonts w:ascii="隶书" w:eastAsia="隶书"/>
          <w:sz w:val="52"/>
          <w:szCs w:val="52"/>
        </w:rPr>
      </w:pPr>
      <w:r>
        <w:rPr>
          <w:rFonts w:eastAsia="隶书"/>
          <w:sz w:val="72"/>
          <w:szCs w:val="72"/>
        </w:rPr>
        <w:drawing>
          <wp:inline distT="0" distB="0" distL="0" distR="0">
            <wp:extent cx="1028700" cy="960120"/>
            <wp:effectExtent l="0" t="0" r="0" b="0"/>
            <wp:docPr id="429247449" name="图片 3" descr="河南城建学院标志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247449" name="图片 3" descr="河南城建学院标志20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028700" cy="960120"/>
                    </a:xfrm>
                    <a:prstGeom prst="rect">
                      <a:avLst/>
                    </a:prstGeom>
                    <a:noFill/>
                    <a:ln>
                      <a:noFill/>
                    </a:ln>
                  </pic:spPr>
                </pic:pic>
              </a:graphicData>
            </a:graphic>
          </wp:inline>
        </w:drawing>
      </w:r>
      <w:r>
        <w:rPr>
          <w:rFonts w:hint="eastAsia" w:eastAsia="隶书"/>
          <w:sz w:val="72"/>
          <w:szCs w:val="72"/>
        </w:rPr>
        <w:t xml:space="preserve"> </w:t>
      </w:r>
      <w:r>
        <w:rPr>
          <w:rFonts w:ascii="华文行楷" w:eastAsia="华文行楷"/>
          <w:sz w:val="52"/>
          <w:szCs w:val="52"/>
        </w:rPr>
        <w:drawing>
          <wp:inline distT="0" distB="0" distL="0" distR="0">
            <wp:extent cx="3314700" cy="647700"/>
            <wp:effectExtent l="0" t="0" r="0" b="0"/>
            <wp:docPr id="1674050242" name="图片 2" descr="河南城建学院标志-名字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50242" name="图片 2" descr="河南城建学院标志-名字20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314700" cy="647700"/>
                    </a:xfrm>
                    <a:prstGeom prst="rect">
                      <a:avLst/>
                    </a:prstGeom>
                    <a:noFill/>
                    <a:ln>
                      <a:noFill/>
                    </a:ln>
                  </pic:spPr>
                </pic:pic>
              </a:graphicData>
            </a:graphic>
          </wp:inline>
        </w:drawing>
      </w:r>
    </w:p>
    <w:p>
      <w:pPr>
        <w:jc w:val="center"/>
        <w:rPr>
          <w:b/>
          <w:sz w:val="44"/>
          <w:szCs w:val="44"/>
        </w:rPr>
      </w:pPr>
      <w:r>
        <w:rPr>
          <w:rFonts w:hint="eastAsia"/>
          <w:sz w:val="24"/>
          <w:szCs w:val="24"/>
        </w:rPr>
        <w:tab/>
      </w:r>
    </w:p>
    <w:p>
      <w:pPr>
        <w:ind w:firstLine="420"/>
        <w:jc w:val="center"/>
        <w:rPr>
          <w:b/>
          <w:sz w:val="44"/>
          <w:szCs w:val="44"/>
        </w:rPr>
      </w:pPr>
      <w:r>
        <w:rPr>
          <w:rFonts w:hint="eastAsia"/>
          <w:b/>
          <w:sz w:val="44"/>
          <w:szCs w:val="44"/>
        </w:rPr>
        <w:t>《数据可视化》课程设计报告</w:t>
      </w:r>
    </w:p>
    <w:p>
      <w:pPr>
        <w:ind w:firstLine="2544" w:firstLineChars="795"/>
        <w:rPr>
          <w:b/>
          <w:sz w:val="32"/>
          <w:szCs w:val="32"/>
        </w:rPr>
      </w:pPr>
    </w:p>
    <w:p>
      <w:pPr>
        <w:ind w:left="1260" w:firstLine="420"/>
        <w:rPr>
          <w:sz w:val="32"/>
          <w:szCs w:val="32"/>
        </w:rPr>
      </w:pPr>
      <w:r>
        <w:rPr>
          <w:rFonts w:hint="eastAsia"/>
          <w:sz w:val="32"/>
          <w:szCs w:val="32"/>
        </w:rPr>
        <w:t>设计题目：</w:t>
      </w:r>
      <w:r>
        <w:rPr>
          <w:rFonts w:hint="eastAsia"/>
          <w:sz w:val="32"/>
          <w:szCs w:val="32"/>
          <w:u w:val="single"/>
        </w:rPr>
        <w:t>居民收入和消费支出情况分析</w:t>
      </w:r>
    </w:p>
    <w:p>
      <w:pPr>
        <w:ind w:left="1260" w:firstLine="420"/>
        <w:rPr>
          <w:sz w:val="32"/>
          <w:szCs w:val="32"/>
        </w:rPr>
      </w:pPr>
      <w:r>
        <w:rPr>
          <w:rFonts w:hint="eastAsia"/>
          <w:sz w:val="32"/>
          <w:szCs w:val="32"/>
        </w:rPr>
        <w:t>专    业：</w:t>
      </w:r>
      <w:r>
        <w:rPr>
          <w:rFonts w:hint="eastAsia"/>
          <w:sz w:val="32"/>
          <w:szCs w:val="32"/>
          <w:u w:val="single"/>
        </w:rPr>
        <w:t xml:space="preserve">   数据科学与大数据技术   </w:t>
      </w:r>
    </w:p>
    <w:p>
      <w:pPr>
        <w:ind w:left="1260" w:firstLine="420"/>
        <w:rPr>
          <w:sz w:val="32"/>
          <w:szCs w:val="32"/>
          <w:u w:val="single"/>
        </w:rPr>
      </w:pPr>
      <w:r>
        <w:rPr>
          <w:rFonts w:hint="eastAsia"/>
          <w:sz w:val="32"/>
          <w:szCs w:val="32"/>
        </w:rPr>
        <w:t>指导教师：</w:t>
      </w:r>
      <w:r>
        <w:rPr>
          <w:rFonts w:hint="eastAsia"/>
          <w:sz w:val="32"/>
          <w:szCs w:val="32"/>
          <w:u w:val="single"/>
        </w:rPr>
        <w:t xml:space="preserve">     张军   宋沛  邓涔  </w:t>
      </w:r>
      <w:r>
        <w:rPr>
          <w:sz w:val="32"/>
          <w:szCs w:val="32"/>
          <w:u w:val="single"/>
        </w:rPr>
        <w:t xml:space="preserve"> </w:t>
      </w:r>
      <w:r>
        <w:rPr>
          <w:rFonts w:hint="eastAsia"/>
          <w:sz w:val="32"/>
          <w:szCs w:val="32"/>
          <w:u w:val="single"/>
        </w:rPr>
        <w:t xml:space="preserve"> </w:t>
      </w:r>
      <w:bookmarkStart w:id="40" w:name="_GoBack"/>
      <w:bookmarkEnd w:id="40"/>
    </w:p>
    <w:p>
      <w:pPr>
        <w:ind w:left="1260" w:firstLine="420"/>
        <w:rPr>
          <w:sz w:val="32"/>
          <w:szCs w:val="32"/>
          <w:u w:val="single"/>
        </w:rPr>
      </w:pPr>
      <w:r>
        <w:rPr>
          <w:rFonts w:hint="eastAsia"/>
          <w:sz w:val="32"/>
          <w:szCs w:val="32"/>
        </w:rPr>
        <w:t>学    号：</w:t>
      </w:r>
      <w:r>
        <w:rPr>
          <w:rFonts w:hint="eastAsia"/>
          <w:sz w:val="32"/>
          <w:szCs w:val="32"/>
          <w:u w:val="single"/>
        </w:rPr>
        <w:t xml:space="preserve">       </w:t>
      </w:r>
      <w:r>
        <w:rPr>
          <w:sz w:val="32"/>
          <w:szCs w:val="32"/>
          <w:u w:val="single"/>
        </w:rPr>
        <w:t xml:space="preserve"> 20201276</w:t>
      </w:r>
      <w:r>
        <w:rPr>
          <w:rFonts w:hint="eastAsia"/>
          <w:sz w:val="32"/>
          <w:szCs w:val="32"/>
          <w:u w:val="single"/>
          <w:lang w:val="en-US" w:eastAsia="zh-CN"/>
        </w:rPr>
        <w:t>9</w:t>
      </w:r>
      <w:r>
        <w:rPr>
          <w:rFonts w:hint="eastAsia"/>
          <w:sz w:val="32"/>
          <w:szCs w:val="32"/>
          <w:u w:val="single"/>
        </w:rPr>
        <w:t xml:space="preserve">      </w:t>
      </w:r>
      <w:r>
        <w:rPr>
          <w:sz w:val="32"/>
          <w:szCs w:val="32"/>
          <w:u w:val="single"/>
        </w:rPr>
        <w:t xml:space="preserve"> </w:t>
      </w:r>
      <w:r>
        <w:rPr>
          <w:rFonts w:hint="eastAsia"/>
          <w:sz w:val="32"/>
          <w:szCs w:val="32"/>
          <w:u w:val="single"/>
        </w:rPr>
        <w:t xml:space="preserve">  </w:t>
      </w:r>
    </w:p>
    <w:p>
      <w:pPr>
        <w:ind w:left="1260" w:firstLine="420"/>
        <w:rPr>
          <w:sz w:val="32"/>
          <w:szCs w:val="32"/>
          <w:u w:val="single"/>
        </w:rPr>
      </w:pPr>
      <w:r>
        <w:rPr>
          <w:rFonts w:hint="eastAsia"/>
          <w:sz w:val="32"/>
          <w:szCs w:val="32"/>
        </w:rPr>
        <w:t>姓    名：</w:t>
      </w:r>
      <w:r>
        <w:rPr>
          <w:rFonts w:hint="eastAsia"/>
          <w:sz w:val="32"/>
          <w:szCs w:val="32"/>
          <w:u w:val="single"/>
        </w:rPr>
        <w:t xml:space="preserve">         </w:t>
      </w:r>
      <w:r>
        <w:rPr>
          <w:sz w:val="32"/>
          <w:szCs w:val="32"/>
          <w:u w:val="single"/>
        </w:rPr>
        <w:t xml:space="preserve"> </w:t>
      </w:r>
      <w:r>
        <w:rPr>
          <w:rFonts w:hint="eastAsia"/>
          <w:sz w:val="32"/>
          <w:szCs w:val="32"/>
          <w:u w:val="single"/>
        </w:rPr>
        <w:t xml:space="preserve"> </w:t>
      </w:r>
      <w:r>
        <w:rPr>
          <w:rFonts w:hint="eastAsia"/>
          <w:sz w:val="32"/>
          <w:szCs w:val="32"/>
          <w:u w:val="single"/>
          <w:lang w:val="en-US" w:eastAsia="zh-CN"/>
        </w:rPr>
        <w:t>姚远</w:t>
      </w:r>
      <w:r>
        <w:rPr>
          <w:rFonts w:hint="eastAsia"/>
          <w:sz w:val="32"/>
          <w:szCs w:val="32"/>
          <w:u w:val="single"/>
        </w:rPr>
        <w:t xml:space="preserve">  </w:t>
      </w:r>
      <w:r>
        <w:rPr>
          <w:sz w:val="32"/>
          <w:szCs w:val="32"/>
          <w:u w:val="single"/>
        </w:rPr>
        <w:t xml:space="preserve"> </w:t>
      </w:r>
      <w:r>
        <w:rPr>
          <w:rFonts w:hint="eastAsia"/>
          <w:sz w:val="32"/>
          <w:szCs w:val="32"/>
          <w:u w:val="single"/>
          <w:lang w:val="en-US" w:eastAsia="zh-CN"/>
        </w:rPr>
        <w:t xml:space="preserve"> </w:t>
      </w:r>
      <w:r>
        <w:rPr>
          <w:sz w:val="32"/>
          <w:szCs w:val="32"/>
          <w:u w:val="single"/>
        </w:rPr>
        <w:t xml:space="preserve"> </w:t>
      </w:r>
      <w:r>
        <w:rPr>
          <w:rFonts w:hint="eastAsia"/>
          <w:sz w:val="32"/>
          <w:szCs w:val="32"/>
          <w:u w:val="single"/>
        </w:rPr>
        <w:t xml:space="preserve">  </w:t>
      </w:r>
      <w:r>
        <w:rPr>
          <w:rFonts w:hint="eastAsia"/>
          <w:sz w:val="32"/>
          <w:szCs w:val="32"/>
          <w:u w:val="single"/>
          <w:lang w:val="en-US" w:eastAsia="zh-CN"/>
        </w:rPr>
        <w:t xml:space="preserve">  </w:t>
      </w:r>
      <w:r>
        <w:rPr>
          <w:rFonts w:hint="eastAsia"/>
          <w:sz w:val="32"/>
          <w:szCs w:val="32"/>
          <w:u w:val="single"/>
        </w:rPr>
        <w:t xml:space="preserve">  </w:t>
      </w:r>
    </w:p>
    <w:p>
      <w:pPr>
        <w:ind w:left="1260" w:firstLine="420"/>
        <w:rPr>
          <w:rFonts w:hint="eastAsia"/>
          <w:sz w:val="32"/>
          <w:szCs w:val="32"/>
          <w:u w:val="single"/>
        </w:rPr>
      </w:pPr>
      <w:r>
        <w:rPr>
          <w:rFonts w:hint="eastAsia"/>
          <w:sz w:val="32"/>
          <w:szCs w:val="32"/>
        </w:rPr>
        <w:t>同组人员：</w:t>
      </w:r>
      <w:r>
        <w:rPr>
          <w:rFonts w:hint="eastAsia"/>
          <w:sz w:val="32"/>
          <w:szCs w:val="32"/>
          <w:u w:val="single"/>
        </w:rPr>
        <w:t xml:space="preserve">      </w:t>
      </w:r>
      <w:r>
        <w:rPr>
          <w:sz w:val="32"/>
          <w:szCs w:val="32"/>
          <w:u w:val="single"/>
        </w:rPr>
        <w:t xml:space="preserve">  </w:t>
      </w:r>
      <w:r>
        <w:rPr>
          <w:rFonts w:hint="eastAsia"/>
          <w:sz w:val="32"/>
          <w:szCs w:val="32"/>
          <w:u w:val="single"/>
        </w:rPr>
        <w:t xml:space="preserve">陈晨 </w:t>
      </w:r>
      <w:r>
        <w:rPr>
          <w:sz w:val="32"/>
          <w:szCs w:val="32"/>
          <w:u w:val="single"/>
        </w:rPr>
        <w:t xml:space="preserve"> </w:t>
      </w:r>
      <w:r>
        <w:rPr>
          <w:rFonts w:hint="eastAsia"/>
          <w:sz w:val="32"/>
          <w:szCs w:val="32"/>
          <w:u w:val="single"/>
        </w:rPr>
        <w:t xml:space="preserve">张玉豪      </w:t>
      </w:r>
    </w:p>
    <w:p>
      <w:pPr>
        <w:spacing w:line="700" w:lineRule="exact"/>
        <w:ind w:firstLine="1600" w:firstLineChars="500"/>
        <w:rPr>
          <w:sz w:val="32"/>
          <w:szCs w:val="32"/>
        </w:rPr>
      </w:pPr>
    </w:p>
    <w:p>
      <w:pPr>
        <w:spacing w:line="700" w:lineRule="exact"/>
        <w:ind w:firstLine="1600" w:firstLineChars="500"/>
        <w:rPr>
          <w:sz w:val="32"/>
          <w:szCs w:val="32"/>
        </w:rPr>
      </w:pPr>
    </w:p>
    <w:p>
      <w:pPr>
        <w:jc w:val="center"/>
        <w:rPr>
          <w:sz w:val="32"/>
          <w:szCs w:val="32"/>
        </w:rPr>
      </w:pPr>
    </w:p>
    <w:p>
      <w:pPr>
        <w:jc w:val="center"/>
        <w:rPr>
          <w:sz w:val="44"/>
          <w:szCs w:val="44"/>
        </w:rPr>
      </w:pPr>
    </w:p>
    <w:p>
      <w:pPr>
        <w:jc w:val="center"/>
        <w:rPr>
          <w:sz w:val="44"/>
          <w:szCs w:val="44"/>
        </w:rPr>
      </w:pPr>
    </w:p>
    <w:p>
      <w:pPr>
        <w:jc w:val="center"/>
        <w:rPr>
          <w:sz w:val="44"/>
          <w:szCs w:val="44"/>
        </w:rPr>
      </w:pPr>
    </w:p>
    <w:p>
      <w:pPr>
        <w:jc w:val="center"/>
        <w:rPr>
          <w:b/>
          <w:sz w:val="30"/>
          <w:szCs w:val="30"/>
        </w:rPr>
      </w:pPr>
    </w:p>
    <w:p>
      <w:pPr>
        <w:spacing w:line="360" w:lineRule="exact"/>
        <w:jc w:val="center"/>
        <w:rPr>
          <w:sz w:val="30"/>
          <w:szCs w:val="30"/>
        </w:rPr>
      </w:pPr>
      <w:r>
        <w:rPr>
          <w:rFonts w:hint="eastAsia"/>
          <w:sz w:val="30"/>
          <w:szCs w:val="30"/>
        </w:rPr>
        <w:t>计算机与数据科学学院</w:t>
      </w:r>
    </w:p>
    <w:p>
      <w:pPr>
        <w:spacing w:before="166" w:beforeLines="50" w:line="360" w:lineRule="exact"/>
        <w:jc w:val="center"/>
        <w:rPr>
          <w:sz w:val="30"/>
          <w:szCs w:val="30"/>
        </w:rPr>
      </w:pPr>
      <w:r>
        <w:rPr>
          <w:rFonts w:hint="eastAsia"/>
          <w:sz w:val="30"/>
          <w:szCs w:val="30"/>
        </w:rPr>
        <w:t xml:space="preserve">2023 年 </w:t>
      </w:r>
      <w:r>
        <w:rPr>
          <w:sz w:val="30"/>
          <w:szCs w:val="30"/>
        </w:rPr>
        <w:t>6</w:t>
      </w:r>
      <w:r>
        <w:rPr>
          <w:rFonts w:hint="eastAsia"/>
          <w:sz w:val="30"/>
          <w:szCs w:val="30"/>
        </w:rPr>
        <w:t>月1 日</w:t>
      </w:r>
    </w:p>
    <w:p>
      <w:pPr>
        <w:adjustRightInd w:val="0"/>
        <w:snapToGrid w:val="0"/>
        <w:spacing w:line="400" w:lineRule="exact"/>
        <w:rPr>
          <w:rFonts w:ascii="黑体" w:hAnsi="黑体" w:eastAsia="黑体" w:cs="黑体"/>
          <w:b/>
          <w:sz w:val="32"/>
          <w:szCs w:val="32"/>
        </w:rPr>
      </w:pPr>
    </w:p>
    <w:p>
      <w:pPr>
        <w:spacing w:before="166" w:beforeLines="50" w:after="166" w:afterLines="50" w:line="380" w:lineRule="exact"/>
        <w:ind w:firstLine="420"/>
        <w:jc w:val="center"/>
        <w:rPr>
          <w:sz w:val="32"/>
          <w:szCs w:val="32"/>
        </w:rPr>
      </w:pPr>
      <w:r>
        <w:rPr>
          <w:rFonts w:hint="eastAsia" w:ascii="黑体" w:hAnsi="黑体" w:eastAsia="黑体" w:cs="黑体"/>
          <w:sz w:val="32"/>
          <w:szCs w:val="32"/>
        </w:rPr>
        <w:br w:type="page"/>
      </w:r>
      <w:r>
        <w:rPr>
          <w:rFonts w:hint="eastAsia"/>
          <w:sz w:val="32"/>
          <w:szCs w:val="32"/>
        </w:rPr>
        <w:t>《数据可视化课程设计》评价量表</w:t>
      </w:r>
    </w:p>
    <w:p>
      <w:pPr>
        <w:spacing w:before="166" w:beforeLines="50" w:after="166" w:afterLines="50" w:line="380" w:lineRule="exact"/>
      </w:pPr>
      <w:r>
        <w:rPr>
          <w:rFonts w:hint="eastAsia"/>
          <w:b/>
          <w:bCs/>
        </w:rPr>
        <w:t>任务描述：</w:t>
      </w:r>
      <w:r>
        <w:rPr>
          <w:rFonts w:hint="eastAsia"/>
        </w:rPr>
        <w:t>通过课程设计把所学的理论知识应用于实际问题的解决，基于课程内容和数据分析方法撰写出规范的数据可视化分析文档，锻炼学生的分析解决实际问题的能力，强化实践意识、提高实际动手能力和创新能力，为以后文档撰写的标准化打基础。</w:t>
      </w:r>
      <w:r>
        <w:t xml:space="preserve"> </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1"/>
        <w:gridCol w:w="2550"/>
        <w:gridCol w:w="2310"/>
        <w:gridCol w:w="1964"/>
        <w:gridCol w:w="8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731" w:type="dxa"/>
            <w:shd w:val="clear" w:color="auto" w:fill="auto"/>
          </w:tcPr>
          <w:p>
            <w:pPr>
              <w:spacing w:before="166" w:beforeLines="50" w:after="166" w:afterLines="50" w:line="380" w:lineRule="exact"/>
              <w:rPr>
                <w:kern w:val="0"/>
                <w:sz w:val="18"/>
                <w:szCs w:val="18"/>
              </w:rPr>
            </w:pPr>
          </w:p>
        </w:tc>
        <w:tc>
          <w:tcPr>
            <w:tcW w:w="2550" w:type="dxa"/>
            <w:shd w:val="clear" w:color="auto" w:fill="auto"/>
          </w:tcPr>
          <w:p>
            <w:pPr>
              <w:spacing w:before="166" w:beforeLines="50" w:after="166" w:afterLines="50" w:line="380" w:lineRule="exact"/>
              <w:jc w:val="center"/>
              <w:rPr>
                <w:kern w:val="0"/>
                <w:sz w:val="18"/>
                <w:szCs w:val="18"/>
              </w:rPr>
            </w:pPr>
            <w:r>
              <w:rPr>
                <w:rFonts w:hint="eastAsia"/>
                <w:kern w:val="0"/>
                <w:sz w:val="18"/>
                <w:szCs w:val="18"/>
              </w:rPr>
              <w:t>典范</w:t>
            </w:r>
          </w:p>
        </w:tc>
        <w:tc>
          <w:tcPr>
            <w:tcW w:w="2310" w:type="dxa"/>
            <w:shd w:val="clear" w:color="auto" w:fill="auto"/>
          </w:tcPr>
          <w:p>
            <w:pPr>
              <w:spacing w:before="166" w:beforeLines="50" w:after="166" w:afterLines="50" w:line="380" w:lineRule="exact"/>
              <w:jc w:val="center"/>
              <w:rPr>
                <w:kern w:val="0"/>
                <w:sz w:val="18"/>
                <w:szCs w:val="18"/>
              </w:rPr>
            </w:pPr>
            <w:r>
              <w:rPr>
                <w:rFonts w:hint="eastAsia"/>
                <w:kern w:val="0"/>
                <w:sz w:val="18"/>
                <w:szCs w:val="18"/>
              </w:rPr>
              <w:t>合格</w:t>
            </w:r>
          </w:p>
        </w:tc>
        <w:tc>
          <w:tcPr>
            <w:tcW w:w="1964" w:type="dxa"/>
            <w:shd w:val="clear" w:color="auto" w:fill="auto"/>
          </w:tcPr>
          <w:p>
            <w:pPr>
              <w:spacing w:before="166" w:beforeLines="50" w:after="166" w:afterLines="50" w:line="380" w:lineRule="exact"/>
              <w:jc w:val="center"/>
              <w:rPr>
                <w:kern w:val="0"/>
                <w:sz w:val="18"/>
                <w:szCs w:val="18"/>
              </w:rPr>
            </w:pPr>
            <w:r>
              <w:rPr>
                <w:rFonts w:hint="eastAsia"/>
                <w:kern w:val="0"/>
                <w:sz w:val="18"/>
                <w:szCs w:val="18"/>
              </w:rPr>
              <w:t>有待改善</w:t>
            </w:r>
          </w:p>
        </w:tc>
        <w:tc>
          <w:tcPr>
            <w:tcW w:w="876" w:type="dxa"/>
            <w:shd w:val="clear" w:color="auto" w:fill="auto"/>
          </w:tcPr>
          <w:p>
            <w:pPr>
              <w:spacing w:before="166" w:beforeLines="50" w:after="166" w:afterLines="50" w:line="380" w:lineRule="exact"/>
              <w:rPr>
                <w:kern w:val="0"/>
                <w:sz w:val="18"/>
                <w:szCs w:val="18"/>
              </w:rPr>
            </w:pPr>
            <w:r>
              <w:rPr>
                <w:rFonts w:hint="eastAsia"/>
                <w:kern w:val="0"/>
                <w:sz w:val="18"/>
                <w:szCs w:val="18"/>
              </w:rPr>
              <w:t>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0" w:hRule="atLeast"/>
        </w:trPr>
        <w:tc>
          <w:tcPr>
            <w:tcW w:w="731" w:type="dxa"/>
            <w:shd w:val="clear" w:color="auto" w:fill="auto"/>
            <w:vAlign w:val="center"/>
          </w:tcPr>
          <w:p>
            <w:pPr>
              <w:spacing w:before="166" w:beforeLines="50" w:after="166" w:afterLines="50" w:line="380" w:lineRule="exact"/>
              <w:rPr>
                <w:kern w:val="0"/>
                <w:sz w:val="18"/>
                <w:szCs w:val="18"/>
              </w:rPr>
            </w:pPr>
            <w:r>
              <w:rPr>
                <w:rFonts w:hint="eastAsia"/>
                <w:kern w:val="0"/>
                <w:sz w:val="18"/>
                <w:szCs w:val="18"/>
              </w:rPr>
              <w:t>设计、开发解决方案能力</w:t>
            </w:r>
            <w:r>
              <w:rPr>
                <w:kern w:val="0"/>
                <w:sz w:val="18"/>
                <w:szCs w:val="18"/>
              </w:rPr>
              <w:t>70%</w:t>
            </w:r>
          </w:p>
        </w:tc>
        <w:tc>
          <w:tcPr>
            <w:tcW w:w="2550" w:type="dxa"/>
            <w:shd w:val="clear" w:color="auto" w:fill="auto"/>
          </w:tcPr>
          <w:p>
            <w:pPr>
              <w:pStyle w:val="19"/>
              <w:numPr>
                <w:ilvl w:val="0"/>
                <w:numId w:val="1"/>
              </w:numPr>
              <w:adjustRightInd w:val="0"/>
              <w:snapToGrid w:val="0"/>
              <w:spacing w:before="166" w:beforeLines="50" w:after="166" w:afterLines="50"/>
              <w:ind w:firstLineChars="0"/>
              <w:rPr>
                <w:kern w:val="0"/>
                <w:sz w:val="18"/>
                <w:szCs w:val="18"/>
              </w:rPr>
            </w:pPr>
            <w:r>
              <w:rPr>
                <w:rFonts w:hint="eastAsia"/>
                <w:kern w:val="0"/>
                <w:sz w:val="18"/>
                <w:szCs w:val="18"/>
              </w:rPr>
              <w:t>选题合理、内容具体</w:t>
            </w:r>
          </w:p>
          <w:p>
            <w:pPr>
              <w:pStyle w:val="19"/>
              <w:numPr>
                <w:ilvl w:val="0"/>
                <w:numId w:val="1"/>
              </w:numPr>
              <w:adjustRightInd w:val="0"/>
              <w:snapToGrid w:val="0"/>
              <w:spacing w:before="166" w:beforeLines="50" w:after="166" w:afterLines="50"/>
              <w:ind w:firstLineChars="0"/>
              <w:rPr>
                <w:kern w:val="0"/>
                <w:sz w:val="18"/>
                <w:szCs w:val="18"/>
              </w:rPr>
            </w:pPr>
            <w:r>
              <w:rPr>
                <w:rFonts w:hint="eastAsia"/>
                <w:kern w:val="0"/>
                <w:sz w:val="18"/>
                <w:szCs w:val="18"/>
              </w:rPr>
              <w:t>有明确的探索性分析</w:t>
            </w:r>
          </w:p>
          <w:p>
            <w:pPr>
              <w:pStyle w:val="19"/>
              <w:numPr>
                <w:ilvl w:val="0"/>
                <w:numId w:val="1"/>
              </w:numPr>
              <w:adjustRightInd w:val="0"/>
              <w:snapToGrid w:val="0"/>
              <w:spacing w:before="166" w:beforeLines="50" w:after="166" w:afterLines="50"/>
              <w:ind w:firstLineChars="0"/>
              <w:rPr>
                <w:kern w:val="0"/>
                <w:sz w:val="18"/>
                <w:szCs w:val="18"/>
              </w:rPr>
            </w:pPr>
            <w:r>
              <w:rPr>
                <w:rFonts w:hint="eastAsia"/>
                <w:kern w:val="0"/>
                <w:sz w:val="18"/>
                <w:szCs w:val="18"/>
              </w:rPr>
              <w:t>融合多种数据分析方法</w:t>
            </w:r>
          </w:p>
          <w:p>
            <w:pPr>
              <w:pStyle w:val="19"/>
              <w:numPr>
                <w:ilvl w:val="0"/>
                <w:numId w:val="1"/>
              </w:numPr>
              <w:adjustRightInd w:val="0"/>
              <w:snapToGrid w:val="0"/>
              <w:spacing w:before="166" w:beforeLines="50" w:after="166" w:afterLines="50"/>
              <w:ind w:firstLineChars="0"/>
              <w:rPr>
                <w:kern w:val="0"/>
                <w:sz w:val="18"/>
                <w:szCs w:val="18"/>
              </w:rPr>
            </w:pPr>
            <w:r>
              <w:rPr>
                <w:rFonts w:hint="eastAsia"/>
                <w:kern w:val="0"/>
                <w:sz w:val="18"/>
                <w:szCs w:val="18"/>
              </w:rPr>
              <w:t>可视化选择准确</w:t>
            </w:r>
          </w:p>
          <w:p>
            <w:pPr>
              <w:pStyle w:val="19"/>
              <w:numPr>
                <w:ilvl w:val="0"/>
                <w:numId w:val="1"/>
              </w:numPr>
              <w:adjustRightInd w:val="0"/>
              <w:snapToGrid w:val="0"/>
              <w:spacing w:before="166" w:beforeLines="50" w:after="166" w:afterLines="50"/>
              <w:ind w:firstLineChars="0"/>
              <w:rPr>
                <w:kern w:val="0"/>
                <w:sz w:val="18"/>
                <w:szCs w:val="18"/>
              </w:rPr>
            </w:pPr>
            <w:r>
              <w:rPr>
                <w:rFonts w:hint="eastAsia"/>
                <w:kern w:val="0"/>
                <w:sz w:val="18"/>
                <w:szCs w:val="18"/>
              </w:rPr>
              <w:t>有明确结论</w:t>
            </w:r>
          </w:p>
          <w:p>
            <w:pPr>
              <w:pStyle w:val="19"/>
              <w:numPr>
                <w:ilvl w:val="0"/>
                <w:numId w:val="1"/>
              </w:numPr>
              <w:adjustRightInd w:val="0"/>
              <w:snapToGrid w:val="0"/>
              <w:spacing w:before="166" w:beforeLines="50" w:after="166" w:afterLines="50"/>
              <w:ind w:firstLineChars="0"/>
              <w:rPr>
                <w:kern w:val="0"/>
                <w:sz w:val="18"/>
                <w:szCs w:val="18"/>
              </w:rPr>
            </w:pPr>
            <w:r>
              <w:rPr>
                <w:rFonts w:hint="eastAsia"/>
                <w:kern w:val="0"/>
                <w:sz w:val="18"/>
                <w:szCs w:val="18"/>
              </w:rPr>
              <w:t>报告思路清晰</w:t>
            </w:r>
          </w:p>
          <w:p>
            <w:pPr>
              <w:pStyle w:val="19"/>
              <w:numPr>
                <w:ilvl w:val="0"/>
                <w:numId w:val="1"/>
              </w:numPr>
              <w:adjustRightInd w:val="0"/>
              <w:snapToGrid w:val="0"/>
              <w:spacing w:before="166" w:beforeLines="50" w:after="166" w:afterLines="50"/>
              <w:ind w:firstLineChars="0"/>
              <w:rPr>
                <w:kern w:val="0"/>
                <w:sz w:val="18"/>
                <w:szCs w:val="18"/>
              </w:rPr>
            </w:pPr>
            <w:r>
              <w:rPr>
                <w:rFonts w:hint="eastAsia"/>
                <w:kern w:val="0"/>
                <w:sz w:val="18"/>
                <w:szCs w:val="18"/>
              </w:rPr>
              <w:t>可视化大屏美观</w:t>
            </w:r>
          </w:p>
          <w:p>
            <w:pPr>
              <w:pStyle w:val="19"/>
              <w:numPr>
                <w:ilvl w:val="0"/>
                <w:numId w:val="1"/>
              </w:numPr>
              <w:adjustRightInd w:val="0"/>
              <w:snapToGrid w:val="0"/>
              <w:spacing w:before="166" w:beforeLines="50" w:after="166" w:afterLines="50"/>
              <w:ind w:firstLineChars="0"/>
              <w:rPr>
                <w:kern w:val="0"/>
                <w:sz w:val="18"/>
                <w:szCs w:val="18"/>
              </w:rPr>
            </w:pPr>
            <w:r>
              <w:rPr>
                <w:rFonts w:hint="eastAsia"/>
                <w:kern w:val="0"/>
                <w:sz w:val="18"/>
                <w:szCs w:val="18"/>
              </w:rPr>
              <w:t>格式规范</w:t>
            </w:r>
          </w:p>
          <w:p>
            <w:pPr>
              <w:pStyle w:val="19"/>
              <w:numPr>
                <w:ilvl w:val="0"/>
                <w:numId w:val="1"/>
              </w:numPr>
              <w:adjustRightInd w:val="0"/>
              <w:snapToGrid w:val="0"/>
              <w:spacing w:before="166" w:beforeLines="50" w:after="166" w:afterLines="50"/>
              <w:ind w:firstLineChars="0"/>
              <w:rPr>
                <w:kern w:val="0"/>
                <w:sz w:val="18"/>
                <w:szCs w:val="18"/>
              </w:rPr>
            </w:pPr>
            <w:r>
              <w:rPr>
                <w:rFonts w:hint="eastAsia"/>
                <w:kern w:val="0"/>
                <w:sz w:val="18"/>
                <w:szCs w:val="18"/>
              </w:rPr>
              <w:t>掌握不同类型的数据的可视化方法</w:t>
            </w:r>
          </w:p>
          <w:p>
            <w:pPr>
              <w:pStyle w:val="19"/>
              <w:numPr>
                <w:ilvl w:val="0"/>
                <w:numId w:val="1"/>
              </w:numPr>
              <w:adjustRightInd w:val="0"/>
              <w:snapToGrid w:val="0"/>
              <w:spacing w:before="166" w:beforeLines="50" w:after="166" w:afterLines="50"/>
              <w:ind w:firstLineChars="0"/>
              <w:rPr>
                <w:kern w:val="0"/>
                <w:sz w:val="18"/>
                <w:szCs w:val="18"/>
              </w:rPr>
            </w:pPr>
            <w:r>
              <w:rPr>
                <w:rFonts w:hint="eastAsia"/>
                <w:kern w:val="0"/>
                <w:sz w:val="18"/>
                <w:szCs w:val="18"/>
              </w:rPr>
              <w:t>可以优化可视化展示</w:t>
            </w:r>
          </w:p>
          <w:p>
            <w:pPr>
              <w:pStyle w:val="19"/>
              <w:numPr>
                <w:ilvl w:val="0"/>
                <w:numId w:val="1"/>
              </w:numPr>
              <w:adjustRightInd w:val="0"/>
              <w:snapToGrid w:val="0"/>
              <w:spacing w:before="166" w:beforeLines="50" w:after="166" w:afterLines="50"/>
              <w:ind w:firstLineChars="0"/>
              <w:rPr>
                <w:kern w:val="0"/>
                <w:sz w:val="18"/>
                <w:szCs w:val="18"/>
              </w:rPr>
            </w:pPr>
            <w:r>
              <w:rPr>
                <w:rFonts w:hint="eastAsia"/>
                <w:kern w:val="0"/>
                <w:sz w:val="18"/>
                <w:szCs w:val="18"/>
              </w:rPr>
              <w:t>体现学生的问题分析能力</w:t>
            </w:r>
          </w:p>
        </w:tc>
        <w:tc>
          <w:tcPr>
            <w:tcW w:w="2310" w:type="dxa"/>
            <w:shd w:val="clear" w:color="auto" w:fill="auto"/>
          </w:tcPr>
          <w:p>
            <w:pPr>
              <w:pStyle w:val="19"/>
              <w:numPr>
                <w:ilvl w:val="0"/>
                <w:numId w:val="2"/>
              </w:numPr>
              <w:adjustRightInd w:val="0"/>
              <w:snapToGrid w:val="0"/>
              <w:spacing w:before="166" w:beforeLines="50" w:after="166" w:afterLines="50"/>
              <w:ind w:firstLineChars="0"/>
              <w:rPr>
                <w:kern w:val="0"/>
                <w:sz w:val="18"/>
                <w:szCs w:val="18"/>
              </w:rPr>
            </w:pPr>
            <w:r>
              <w:rPr>
                <w:rFonts w:hint="eastAsia"/>
                <w:kern w:val="0"/>
                <w:sz w:val="18"/>
                <w:szCs w:val="18"/>
              </w:rPr>
              <w:t>选题有一定的意义</w:t>
            </w:r>
          </w:p>
          <w:p>
            <w:pPr>
              <w:pStyle w:val="19"/>
              <w:numPr>
                <w:ilvl w:val="0"/>
                <w:numId w:val="2"/>
              </w:numPr>
              <w:adjustRightInd w:val="0"/>
              <w:snapToGrid w:val="0"/>
              <w:spacing w:before="166" w:beforeLines="50" w:after="166" w:afterLines="50"/>
              <w:ind w:firstLineChars="0"/>
              <w:rPr>
                <w:kern w:val="0"/>
                <w:sz w:val="18"/>
                <w:szCs w:val="18"/>
              </w:rPr>
            </w:pPr>
            <w:r>
              <w:rPr>
                <w:rFonts w:hint="eastAsia"/>
                <w:kern w:val="0"/>
                <w:sz w:val="18"/>
                <w:szCs w:val="18"/>
              </w:rPr>
              <w:t>对数据进行分析</w:t>
            </w:r>
          </w:p>
          <w:p>
            <w:pPr>
              <w:pStyle w:val="19"/>
              <w:numPr>
                <w:ilvl w:val="0"/>
                <w:numId w:val="2"/>
              </w:numPr>
              <w:adjustRightInd w:val="0"/>
              <w:snapToGrid w:val="0"/>
              <w:spacing w:before="166" w:beforeLines="50" w:after="166" w:afterLines="50"/>
              <w:ind w:firstLineChars="0"/>
              <w:rPr>
                <w:kern w:val="0"/>
                <w:sz w:val="18"/>
                <w:szCs w:val="18"/>
              </w:rPr>
            </w:pPr>
            <w:r>
              <w:rPr>
                <w:rFonts w:hint="eastAsia"/>
                <w:kern w:val="0"/>
                <w:sz w:val="18"/>
                <w:szCs w:val="18"/>
              </w:rPr>
              <w:t>有体现数据分析方法</w:t>
            </w:r>
          </w:p>
          <w:p>
            <w:pPr>
              <w:pStyle w:val="19"/>
              <w:numPr>
                <w:ilvl w:val="0"/>
                <w:numId w:val="2"/>
              </w:numPr>
              <w:adjustRightInd w:val="0"/>
              <w:snapToGrid w:val="0"/>
              <w:spacing w:before="166" w:beforeLines="50" w:after="166" w:afterLines="50"/>
              <w:ind w:firstLineChars="0"/>
              <w:rPr>
                <w:kern w:val="0"/>
                <w:sz w:val="18"/>
                <w:szCs w:val="18"/>
              </w:rPr>
            </w:pPr>
            <w:r>
              <w:rPr>
                <w:rFonts w:hint="eastAsia"/>
                <w:kern w:val="0"/>
                <w:sz w:val="18"/>
                <w:szCs w:val="18"/>
              </w:rPr>
              <w:t>有基本的数据可视化</w:t>
            </w:r>
          </w:p>
          <w:p>
            <w:pPr>
              <w:pStyle w:val="19"/>
              <w:numPr>
                <w:ilvl w:val="0"/>
                <w:numId w:val="2"/>
              </w:numPr>
              <w:adjustRightInd w:val="0"/>
              <w:snapToGrid w:val="0"/>
              <w:spacing w:before="166" w:beforeLines="50" w:after="166" w:afterLines="50"/>
              <w:ind w:firstLineChars="0"/>
              <w:rPr>
                <w:kern w:val="0"/>
                <w:sz w:val="18"/>
                <w:szCs w:val="18"/>
              </w:rPr>
            </w:pPr>
            <w:r>
              <w:rPr>
                <w:rFonts w:hint="eastAsia"/>
                <w:kern w:val="0"/>
                <w:sz w:val="18"/>
                <w:szCs w:val="18"/>
              </w:rPr>
              <w:t>对数据提出结论</w:t>
            </w:r>
          </w:p>
          <w:p>
            <w:pPr>
              <w:pStyle w:val="19"/>
              <w:numPr>
                <w:ilvl w:val="0"/>
                <w:numId w:val="2"/>
              </w:numPr>
              <w:adjustRightInd w:val="0"/>
              <w:snapToGrid w:val="0"/>
              <w:spacing w:before="166" w:beforeLines="50" w:after="166" w:afterLines="50"/>
              <w:ind w:firstLineChars="0"/>
              <w:rPr>
                <w:kern w:val="0"/>
                <w:sz w:val="18"/>
                <w:szCs w:val="18"/>
              </w:rPr>
            </w:pPr>
            <w:r>
              <w:rPr>
                <w:rFonts w:hint="eastAsia"/>
                <w:kern w:val="0"/>
                <w:sz w:val="18"/>
                <w:szCs w:val="18"/>
              </w:rPr>
              <w:t>报告整体上思路较清晰，但内容存在一些问题。</w:t>
            </w:r>
          </w:p>
          <w:p>
            <w:pPr>
              <w:pStyle w:val="19"/>
              <w:numPr>
                <w:ilvl w:val="0"/>
                <w:numId w:val="2"/>
              </w:numPr>
              <w:adjustRightInd w:val="0"/>
              <w:snapToGrid w:val="0"/>
              <w:spacing w:before="166" w:beforeLines="50" w:after="166" w:afterLines="50"/>
              <w:ind w:firstLineChars="0"/>
              <w:rPr>
                <w:kern w:val="0"/>
                <w:sz w:val="18"/>
                <w:szCs w:val="18"/>
              </w:rPr>
            </w:pPr>
            <w:r>
              <w:rPr>
                <w:rFonts w:hint="eastAsia"/>
                <w:kern w:val="0"/>
                <w:sz w:val="18"/>
                <w:szCs w:val="18"/>
              </w:rPr>
              <w:t>格式相对规范</w:t>
            </w:r>
          </w:p>
          <w:p>
            <w:pPr>
              <w:pStyle w:val="19"/>
              <w:numPr>
                <w:ilvl w:val="0"/>
                <w:numId w:val="1"/>
              </w:numPr>
              <w:adjustRightInd w:val="0"/>
              <w:snapToGrid w:val="0"/>
              <w:spacing w:before="166" w:beforeLines="50" w:after="166" w:afterLines="50"/>
              <w:ind w:firstLineChars="0"/>
              <w:rPr>
                <w:kern w:val="0"/>
                <w:sz w:val="18"/>
                <w:szCs w:val="18"/>
              </w:rPr>
            </w:pPr>
            <w:r>
              <w:rPr>
                <w:rFonts w:hint="eastAsia"/>
                <w:kern w:val="0"/>
                <w:sz w:val="18"/>
                <w:szCs w:val="18"/>
              </w:rPr>
              <w:t>数据的可视化方法相对单一</w:t>
            </w:r>
          </w:p>
          <w:p>
            <w:pPr>
              <w:pStyle w:val="19"/>
              <w:numPr>
                <w:ilvl w:val="0"/>
                <w:numId w:val="2"/>
              </w:numPr>
              <w:adjustRightInd w:val="0"/>
              <w:snapToGrid w:val="0"/>
              <w:spacing w:before="166" w:beforeLines="50" w:after="166" w:afterLines="50"/>
              <w:ind w:firstLineChars="0"/>
              <w:rPr>
                <w:kern w:val="0"/>
                <w:sz w:val="18"/>
                <w:szCs w:val="18"/>
              </w:rPr>
            </w:pPr>
            <w:r>
              <w:rPr>
                <w:rFonts w:hint="eastAsia"/>
                <w:kern w:val="0"/>
                <w:sz w:val="18"/>
                <w:szCs w:val="18"/>
              </w:rPr>
              <w:t>可视化部分有体现部分优化</w:t>
            </w:r>
          </w:p>
          <w:p>
            <w:pPr>
              <w:pStyle w:val="19"/>
              <w:numPr>
                <w:ilvl w:val="0"/>
                <w:numId w:val="2"/>
              </w:numPr>
              <w:adjustRightInd w:val="0"/>
              <w:snapToGrid w:val="0"/>
              <w:spacing w:before="166" w:beforeLines="50" w:after="166" w:afterLines="50"/>
              <w:ind w:firstLineChars="0"/>
              <w:rPr>
                <w:kern w:val="0"/>
                <w:sz w:val="18"/>
                <w:szCs w:val="18"/>
              </w:rPr>
            </w:pPr>
            <w:r>
              <w:rPr>
                <w:rFonts w:hint="eastAsia"/>
                <w:kern w:val="0"/>
                <w:sz w:val="18"/>
                <w:szCs w:val="18"/>
              </w:rPr>
              <w:t>主动的问题分析能力有部分体现</w:t>
            </w:r>
          </w:p>
        </w:tc>
        <w:tc>
          <w:tcPr>
            <w:tcW w:w="1964" w:type="dxa"/>
            <w:shd w:val="clear" w:color="auto" w:fill="auto"/>
          </w:tcPr>
          <w:p>
            <w:pPr>
              <w:pStyle w:val="19"/>
              <w:numPr>
                <w:ilvl w:val="0"/>
                <w:numId w:val="2"/>
              </w:numPr>
              <w:adjustRightInd w:val="0"/>
              <w:snapToGrid w:val="0"/>
              <w:spacing w:before="166" w:beforeLines="50" w:after="166" w:afterLines="50"/>
              <w:ind w:firstLineChars="0"/>
              <w:rPr>
                <w:kern w:val="0"/>
                <w:sz w:val="18"/>
                <w:szCs w:val="18"/>
              </w:rPr>
            </w:pPr>
            <w:r>
              <w:rPr>
                <w:rFonts w:hint="eastAsia"/>
                <w:kern w:val="0"/>
                <w:sz w:val="18"/>
                <w:szCs w:val="18"/>
              </w:rPr>
              <w:t>选题无意义</w:t>
            </w:r>
          </w:p>
          <w:p>
            <w:pPr>
              <w:pStyle w:val="19"/>
              <w:numPr>
                <w:ilvl w:val="0"/>
                <w:numId w:val="2"/>
              </w:numPr>
              <w:adjustRightInd w:val="0"/>
              <w:snapToGrid w:val="0"/>
              <w:spacing w:before="166" w:beforeLines="50" w:after="166" w:afterLines="50"/>
              <w:ind w:firstLineChars="0"/>
              <w:rPr>
                <w:kern w:val="0"/>
                <w:sz w:val="18"/>
                <w:szCs w:val="18"/>
              </w:rPr>
            </w:pPr>
            <w:r>
              <w:rPr>
                <w:rFonts w:hint="eastAsia"/>
                <w:kern w:val="0"/>
                <w:sz w:val="18"/>
                <w:szCs w:val="18"/>
              </w:rPr>
              <w:t>不符合要求</w:t>
            </w:r>
          </w:p>
          <w:p>
            <w:pPr>
              <w:pStyle w:val="19"/>
              <w:numPr>
                <w:ilvl w:val="0"/>
                <w:numId w:val="2"/>
              </w:numPr>
              <w:adjustRightInd w:val="0"/>
              <w:snapToGrid w:val="0"/>
              <w:spacing w:before="166" w:beforeLines="50" w:after="166" w:afterLines="50"/>
              <w:ind w:firstLineChars="0"/>
              <w:rPr>
                <w:kern w:val="0"/>
                <w:sz w:val="18"/>
                <w:szCs w:val="18"/>
              </w:rPr>
            </w:pPr>
            <w:r>
              <w:rPr>
                <w:kern w:val="0"/>
                <w:sz w:val="18"/>
                <w:szCs w:val="18"/>
              </w:rPr>
              <w:t>报告内容存在较严重的错误</w:t>
            </w:r>
          </w:p>
          <w:p>
            <w:pPr>
              <w:pStyle w:val="19"/>
              <w:numPr>
                <w:ilvl w:val="0"/>
                <w:numId w:val="2"/>
              </w:numPr>
              <w:adjustRightInd w:val="0"/>
              <w:snapToGrid w:val="0"/>
              <w:spacing w:before="166" w:beforeLines="50" w:after="166" w:afterLines="50"/>
              <w:ind w:firstLineChars="0"/>
              <w:rPr>
                <w:kern w:val="0"/>
                <w:sz w:val="18"/>
                <w:szCs w:val="18"/>
              </w:rPr>
            </w:pPr>
            <w:r>
              <w:rPr>
                <w:rFonts w:hint="eastAsia"/>
                <w:kern w:val="0"/>
                <w:sz w:val="18"/>
                <w:szCs w:val="18"/>
              </w:rPr>
              <w:t>内容过于简单</w:t>
            </w:r>
          </w:p>
          <w:p>
            <w:pPr>
              <w:pStyle w:val="19"/>
              <w:numPr>
                <w:ilvl w:val="0"/>
                <w:numId w:val="2"/>
              </w:numPr>
              <w:adjustRightInd w:val="0"/>
              <w:snapToGrid w:val="0"/>
              <w:spacing w:before="166" w:beforeLines="50" w:after="166" w:afterLines="50"/>
              <w:ind w:firstLineChars="0"/>
              <w:rPr>
                <w:kern w:val="0"/>
                <w:sz w:val="18"/>
                <w:szCs w:val="18"/>
              </w:rPr>
            </w:pPr>
            <w:r>
              <w:rPr>
                <w:rFonts w:hint="eastAsia"/>
                <w:kern w:val="0"/>
                <w:sz w:val="18"/>
                <w:szCs w:val="18"/>
              </w:rPr>
              <w:t>出现雷同的情况</w:t>
            </w:r>
          </w:p>
          <w:p>
            <w:pPr>
              <w:pStyle w:val="19"/>
              <w:numPr>
                <w:ilvl w:val="0"/>
                <w:numId w:val="2"/>
              </w:numPr>
              <w:adjustRightInd w:val="0"/>
              <w:snapToGrid w:val="0"/>
              <w:spacing w:before="166" w:beforeLines="50" w:after="166" w:afterLines="50"/>
              <w:ind w:firstLineChars="0"/>
              <w:rPr>
                <w:kern w:val="0"/>
                <w:sz w:val="18"/>
                <w:szCs w:val="18"/>
              </w:rPr>
            </w:pPr>
            <w:r>
              <w:rPr>
                <w:rFonts w:hint="eastAsia"/>
                <w:kern w:val="0"/>
                <w:sz w:val="18"/>
                <w:szCs w:val="18"/>
              </w:rPr>
              <w:t>没有可视化大屏</w:t>
            </w:r>
          </w:p>
          <w:p>
            <w:pPr>
              <w:pStyle w:val="19"/>
              <w:numPr>
                <w:ilvl w:val="0"/>
                <w:numId w:val="2"/>
              </w:numPr>
              <w:adjustRightInd w:val="0"/>
              <w:snapToGrid w:val="0"/>
              <w:spacing w:before="166" w:beforeLines="50" w:after="166" w:afterLines="50"/>
              <w:ind w:firstLineChars="0"/>
              <w:rPr>
                <w:kern w:val="0"/>
                <w:sz w:val="18"/>
                <w:szCs w:val="18"/>
              </w:rPr>
            </w:pPr>
            <w:r>
              <w:rPr>
                <w:rFonts w:hint="eastAsia"/>
                <w:kern w:val="0"/>
                <w:sz w:val="18"/>
                <w:szCs w:val="18"/>
              </w:rPr>
              <w:t>格式不规范</w:t>
            </w:r>
          </w:p>
          <w:p>
            <w:pPr>
              <w:pStyle w:val="19"/>
              <w:numPr>
                <w:ilvl w:val="0"/>
                <w:numId w:val="1"/>
              </w:numPr>
              <w:adjustRightInd w:val="0"/>
              <w:snapToGrid w:val="0"/>
              <w:spacing w:before="166" w:beforeLines="50" w:after="166" w:afterLines="50"/>
              <w:ind w:firstLineChars="0"/>
              <w:rPr>
                <w:kern w:val="0"/>
                <w:sz w:val="18"/>
                <w:szCs w:val="18"/>
              </w:rPr>
            </w:pPr>
            <w:r>
              <w:rPr>
                <w:rFonts w:hint="eastAsia"/>
                <w:kern w:val="0"/>
                <w:sz w:val="18"/>
                <w:szCs w:val="18"/>
              </w:rPr>
              <w:t>数据的可视化方法单一</w:t>
            </w:r>
          </w:p>
          <w:p>
            <w:pPr>
              <w:pStyle w:val="19"/>
              <w:numPr>
                <w:ilvl w:val="0"/>
                <w:numId w:val="2"/>
              </w:numPr>
              <w:adjustRightInd w:val="0"/>
              <w:snapToGrid w:val="0"/>
              <w:spacing w:before="166" w:beforeLines="50" w:after="166" w:afterLines="50"/>
              <w:ind w:firstLineChars="0"/>
              <w:rPr>
                <w:kern w:val="0"/>
                <w:sz w:val="18"/>
                <w:szCs w:val="18"/>
              </w:rPr>
            </w:pPr>
            <w:r>
              <w:rPr>
                <w:rFonts w:hint="eastAsia"/>
                <w:kern w:val="0"/>
                <w:sz w:val="18"/>
                <w:szCs w:val="18"/>
              </w:rPr>
              <w:t>可视化没有优化</w:t>
            </w:r>
          </w:p>
          <w:p>
            <w:pPr>
              <w:pStyle w:val="19"/>
              <w:numPr>
                <w:ilvl w:val="0"/>
                <w:numId w:val="2"/>
              </w:numPr>
              <w:adjustRightInd w:val="0"/>
              <w:snapToGrid w:val="0"/>
              <w:spacing w:before="166" w:beforeLines="50" w:after="166" w:afterLines="50"/>
              <w:ind w:firstLineChars="0"/>
              <w:rPr>
                <w:kern w:val="0"/>
                <w:sz w:val="18"/>
                <w:szCs w:val="18"/>
              </w:rPr>
            </w:pPr>
            <w:r>
              <w:rPr>
                <w:rFonts w:hint="eastAsia"/>
                <w:kern w:val="0"/>
                <w:sz w:val="18"/>
                <w:szCs w:val="18"/>
              </w:rPr>
              <w:t>无主动的问题分析能力</w:t>
            </w:r>
          </w:p>
        </w:tc>
        <w:tc>
          <w:tcPr>
            <w:tcW w:w="876" w:type="dxa"/>
            <w:shd w:val="clear" w:color="auto" w:fill="auto"/>
          </w:tcPr>
          <w:p>
            <w:pPr>
              <w:adjustRightInd w:val="0"/>
              <w:snapToGrid w:val="0"/>
              <w:spacing w:before="166" w:beforeLines="50" w:after="166" w:afterLines="50"/>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1" w:hRule="atLeast"/>
        </w:trPr>
        <w:tc>
          <w:tcPr>
            <w:tcW w:w="731" w:type="dxa"/>
            <w:shd w:val="clear" w:color="auto" w:fill="auto"/>
            <w:vAlign w:val="center"/>
          </w:tcPr>
          <w:p>
            <w:pPr>
              <w:spacing w:before="166" w:beforeLines="50" w:after="166" w:afterLines="50" w:line="380" w:lineRule="exact"/>
              <w:jc w:val="center"/>
              <w:rPr>
                <w:kern w:val="0"/>
                <w:sz w:val="20"/>
              </w:rPr>
            </w:pPr>
            <w:r>
              <w:rPr>
                <w:rFonts w:hint="eastAsia"/>
                <w:kern w:val="0"/>
                <w:sz w:val="20"/>
              </w:rPr>
              <w:t>个人与团队能力</w:t>
            </w:r>
          </w:p>
          <w:p>
            <w:pPr>
              <w:spacing w:before="166" w:beforeLines="50" w:after="166" w:afterLines="50" w:line="380" w:lineRule="exact"/>
              <w:jc w:val="center"/>
              <w:rPr>
                <w:kern w:val="0"/>
                <w:sz w:val="18"/>
                <w:szCs w:val="18"/>
              </w:rPr>
            </w:pPr>
            <w:r>
              <w:rPr>
                <w:kern w:val="0"/>
                <w:sz w:val="20"/>
              </w:rPr>
              <w:t>30%</w:t>
            </w:r>
          </w:p>
        </w:tc>
        <w:tc>
          <w:tcPr>
            <w:tcW w:w="2550" w:type="dxa"/>
            <w:shd w:val="clear" w:color="auto" w:fill="auto"/>
          </w:tcPr>
          <w:p>
            <w:pPr>
              <w:pStyle w:val="19"/>
              <w:numPr>
                <w:ilvl w:val="0"/>
                <w:numId w:val="1"/>
              </w:numPr>
              <w:adjustRightInd w:val="0"/>
              <w:snapToGrid w:val="0"/>
              <w:spacing w:before="166" w:beforeLines="50" w:after="166" w:afterLines="50"/>
              <w:ind w:firstLineChars="0"/>
              <w:rPr>
                <w:kern w:val="0"/>
                <w:sz w:val="18"/>
                <w:szCs w:val="18"/>
              </w:rPr>
            </w:pPr>
            <w:r>
              <w:rPr>
                <w:rFonts w:hint="eastAsia"/>
                <w:kern w:val="0"/>
                <w:sz w:val="18"/>
                <w:szCs w:val="18"/>
              </w:rPr>
              <w:t>团队有明确分工</w:t>
            </w:r>
          </w:p>
          <w:p>
            <w:pPr>
              <w:pStyle w:val="19"/>
              <w:numPr>
                <w:ilvl w:val="0"/>
                <w:numId w:val="1"/>
              </w:numPr>
              <w:adjustRightInd w:val="0"/>
              <w:snapToGrid w:val="0"/>
              <w:spacing w:before="166" w:beforeLines="50" w:after="166" w:afterLines="50"/>
              <w:ind w:firstLineChars="0"/>
              <w:rPr>
                <w:kern w:val="0"/>
                <w:sz w:val="18"/>
                <w:szCs w:val="18"/>
              </w:rPr>
            </w:pPr>
            <w:r>
              <w:rPr>
                <w:rFonts w:hint="eastAsia"/>
                <w:kern w:val="0"/>
                <w:sz w:val="18"/>
                <w:szCs w:val="18"/>
              </w:rPr>
              <w:t>每人角色定位合理</w:t>
            </w:r>
          </w:p>
          <w:p>
            <w:pPr>
              <w:pStyle w:val="19"/>
              <w:numPr>
                <w:ilvl w:val="0"/>
                <w:numId w:val="1"/>
              </w:numPr>
              <w:adjustRightInd w:val="0"/>
              <w:snapToGrid w:val="0"/>
              <w:spacing w:before="166" w:beforeLines="50" w:after="166" w:afterLines="50"/>
              <w:ind w:firstLineChars="0"/>
              <w:rPr>
                <w:kern w:val="0"/>
                <w:sz w:val="18"/>
                <w:szCs w:val="18"/>
              </w:rPr>
            </w:pPr>
            <w:r>
              <w:rPr>
                <w:rFonts w:hint="eastAsia"/>
                <w:kern w:val="0"/>
                <w:sz w:val="18"/>
                <w:szCs w:val="18"/>
              </w:rPr>
              <w:t>每人能胜任角色任务且出色完成</w:t>
            </w:r>
          </w:p>
          <w:p>
            <w:pPr>
              <w:pStyle w:val="19"/>
              <w:numPr>
                <w:ilvl w:val="0"/>
                <w:numId w:val="1"/>
              </w:numPr>
              <w:adjustRightInd w:val="0"/>
              <w:snapToGrid w:val="0"/>
              <w:spacing w:before="166" w:beforeLines="50" w:after="166" w:afterLines="50"/>
              <w:ind w:firstLineChars="0"/>
              <w:rPr>
                <w:kern w:val="0"/>
                <w:sz w:val="18"/>
                <w:szCs w:val="18"/>
              </w:rPr>
            </w:pPr>
            <w:r>
              <w:rPr>
                <w:rFonts w:hint="eastAsia"/>
                <w:kern w:val="0"/>
                <w:sz w:val="18"/>
                <w:szCs w:val="18"/>
              </w:rPr>
              <w:t>个人总结部分逻辑鲜明</w:t>
            </w:r>
          </w:p>
        </w:tc>
        <w:tc>
          <w:tcPr>
            <w:tcW w:w="2310" w:type="dxa"/>
            <w:shd w:val="clear" w:color="auto" w:fill="auto"/>
          </w:tcPr>
          <w:p>
            <w:pPr>
              <w:pStyle w:val="19"/>
              <w:numPr>
                <w:ilvl w:val="0"/>
                <w:numId w:val="1"/>
              </w:numPr>
              <w:adjustRightInd w:val="0"/>
              <w:snapToGrid w:val="0"/>
              <w:spacing w:before="166" w:beforeLines="50" w:after="166" w:afterLines="50"/>
              <w:ind w:firstLineChars="0"/>
              <w:rPr>
                <w:kern w:val="0"/>
                <w:sz w:val="18"/>
                <w:szCs w:val="18"/>
              </w:rPr>
            </w:pPr>
            <w:r>
              <w:rPr>
                <w:rFonts w:hint="eastAsia"/>
                <w:kern w:val="0"/>
                <w:sz w:val="18"/>
                <w:szCs w:val="18"/>
              </w:rPr>
              <w:t>团队分工不明</w:t>
            </w:r>
          </w:p>
          <w:p>
            <w:pPr>
              <w:pStyle w:val="19"/>
              <w:numPr>
                <w:ilvl w:val="0"/>
                <w:numId w:val="1"/>
              </w:numPr>
              <w:adjustRightInd w:val="0"/>
              <w:snapToGrid w:val="0"/>
              <w:spacing w:before="166" w:beforeLines="50" w:after="166" w:afterLines="50"/>
              <w:ind w:firstLineChars="0"/>
              <w:rPr>
                <w:kern w:val="0"/>
                <w:sz w:val="18"/>
                <w:szCs w:val="18"/>
              </w:rPr>
            </w:pPr>
            <w:r>
              <w:rPr>
                <w:rFonts w:hint="eastAsia"/>
                <w:kern w:val="0"/>
                <w:sz w:val="18"/>
                <w:szCs w:val="18"/>
              </w:rPr>
              <w:t>成员职责不分</w:t>
            </w:r>
          </w:p>
          <w:p>
            <w:pPr>
              <w:pStyle w:val="19"/>
              <w:numPr>
                <w:ilvl w:val="0"/>
                <w:numId w:val="1"/>
              </w:numPr>
              <w:adjustRightInd w:val="0"/>
              <w:snapToGrid w:val="0"/>
              <w:spacing w:before="166" w:beforeLines="50" w:after="166" w:afterLines="50"/>
              <w:ind w:firstLineChars="0"/>
              <w:rPr>
                <w:kern w:val="0"/>
                <w:sz w:val="18"/>
                <w:szCs w:val="18"/>
              </w:rPr>
            </w:pPr>
            <w:r>
              <w:rPr>
                <w:rFonts w:hint="eastAsia"/>
                <w:kern w:val="0"/>
                <w:sz w:val="18"/>
                <w:szCs w:val="18"/>
              </w:rPr>
              <w:t>个人文档和总结不能准确描述自己的工作</w:t>
            </w:r>
          </w:p>
        </w:tc>
        <w:tc>
          <w:tcPr>
            <w:tcW w:w="1964" w:type="dxa"/>
            <w:shd w:val="clear" w:color="auto" w:fill="auto"/>
          </w:tcPr>
          <w:p>
            <w:pPr>
              <w:pStyle w:val="19"/>
              <w:numPr>
                <w:ilvl w:val="0"/>
                <w:numId w:val="1"/>
              </w:numPr>
              <w:adjustRightInd w:val="0"/>
              <w:snapToGrid w:val="0"/>
              <w:spacing w:before="166" w:beforeLines="50" w:after="166" w:afterLines="50"/>
              <w:ind w:firstLineChars="0"/>
              <w:rPr>
                <w:kern w:val="0"/>
                <w:sz w:val="18"/>
                <w:szCs w:val="18"/>
              </w:rPr>
            </w:pPr>
            <w:r>
              <w:rPr>
                <w:rFonts w:hint="eastAsia"/>
                <w:kern w:val="0"/>
                <w:sz w:val="18"/>
                <w:szCs w:val="18"/>
              </w:rPr>
              <w:t>团队管理混乱，分工不明</w:t>
            </w:r>
          </w:p>
          <w:p>
            <w:pPr>
              <w:pStyle w:val="19"/>
              <w:numPr>
                <w:ilvl w:val="0"/>
                <w:numId w:val="1"/>
              </w:numPr>
              <w:adjustRightInd w:val="0"/>
              <w:snapToGrid w:val="0"/>
              <w:spacing w:before="166" w:beforeLines="50" w:after="166" w:afterLines="50"/>
              <w:ind w:firstLineChars="0"/>
              <w:rPr>
                <w:kern w:val="0"/>
                <w:sz w:val="18"/>
                <w:szCs w:val="18"/>
              </w:rPr>
            </w:pPr>
            <w:r>
              <w:rPr>
                <w:rFonts w:hint="eastAsia"/>
                <w:kern w:val="0"/>
                <w:sz w:val="18"/>
                <w:szCs w:val="18"/>
              </w:rPr>
              <w:t>成员职责不清</w:t>
            </w:r>
          </w:p>
          <w:p>
            <w:pPr>
              <w:pStyle w:val="19"/>
              <w:numPr>
                <w:ilvl w:val="0"/>
                <w:numId w:val="1"/>
              </w:numPr>
              <w:adjustRightInd w:val="0"/>
              <w:snapToGrid w:val="0"/>
              <w:spacing w:before="166" w:beforeLines="50" w:after="166" w:afterLines="50"/>
              <w:ind w:firstLineChars="0"/>
              <w:rPr>
                <w:kern w:val="0"/>
                <w:sz w:val="18"/>
                <w:szCs w:val="18"/>
              </w:rPr>
            </w:pPr>
            <w:r>
              <w:rPr>
                <w:rFonts w:hint="eastAsia"/>
                <w:kern w:val="0"/>
                <w:sz w:val="18"/>
                <w:szCs w:val="18"/>
              </w:rPr>
              <w:t>论文整体较差或个人完成部分与要求差别较大</w:t>
            </w:r>
          </w:p>
        </w:tc>
        <w:tc>
          <w:tcPr>
            <w:tcW w:w="876" w:type="dxa"/>
            <w:shd w:val="clear" w:color="auto" w:fill="auto"/>
          </w:tcPr>
          <w:p>
            <w:pPr>
              <w:adjustRightInd w:val="0"/>
              <w:snapToGrid w:val="0"/>
              <w:spacing w:before="166" w:beforeLines="50" w:after="166" w:afterLines="50"/>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9" w:hRule="atLeast"/>
        </w:trPr>
        <w:tc>
          <w:tcPr>
            <w:tcW w:w="731" w:type="dxa"/>
            <w:shd w:val="clear" w:color="auto" w:fill="auto"/>
            <w:vAlign w:val="center"/>
          </w:tcPr>
          <w:p>
            <w:pPr>
              <w:spacing w:before="166" w:beforeLines="50" w:after="166" w:afterLines="50" w:line="380" w:lineRule="exact"/>
              <w:rPr>
                <w:kern w:val="0"/>
                <w:sz w:val="18"/>
                <w:szCs w:val="18"/>
              </w:rPr>
            </w:pPr>
            <w:r>
              <w:rPr>
                <w:rFonts w:hint="eastAsia"/>
                <w:kern w:val="0"/>
                <w:sz w:val="18"/>
                <w:szCs w:val="18"/>
              </w:rPr>
              <w:t>评分：</w:t>
            </w:r>
          </w:p>
        </w:tc>
        <w:tc>
          <w:tcPr>
            <w:tcW w:w="6824" w:type="dxa"/>
            <w:gridSpan w:val="3"/>
            <w:shd w:val="clear" w:color="auto" w:fill="auto"/>
          </w:tcPr>
          <w:p>
            <w:pPr>
              <w:adjustRightInd w:val="0"/>
              <w:snapToGrid w:val="0"/>
              <w:spacing w:before="166" w:beforeLines="50" w:after="166" w:afterLines="50"/>
              <w:rPr>
                <w:kern w:val="0"/>
                <w:sz w:val="18"/>
                <w:szCs w:val="18"/>
              </w:rPr>
            </w:pPr>
          </w:p>
        </w:tc>
        <w:tc>
          <w:tcPr>
            <w:tcW w:w="876" w:type="dxa"/>
            <w:shd w:val="clear" w:color="auto" w:fill="auto"/>
          </w:tcPr>
          <w:p>
            <w:pPr>
              <w:adjustRightInd w:val="0"/>
              <w:snapToGrid w:val="0"/>
              <w:spacing w:before="166" w:beforeLines="50" w:after="166" w:afterLines="50"/>
              <w:rPr>
                <w:kern w:val="0"/>
                <w:sz w:val="18"/>
                <w:szCs w:val="18"/>
              </w:rPr>
            </w:pPr>
          </w:p>
        </w:tc>
      </w:tr>
    </w:tbl>
    <w:p>
      <w:pPr>
        <w:rPr>
          <w:sz w:val="18"/>
          <w:szCs w:val="18"/>
        </w:rPr>
      </w:pPr>
    </w:p>
    <w:p>
      <w:pPr>
        <w:adjustRightInd w:val="0"/>
        <w:snapToGrid w:val="0"/>
        <w:spacing w:line="400" w:lineRule="exact"/>
        <w:rPr>
          <w:rFonts w:ascii="黑体" w:hAnsi="黑体" w:eastAsia="黑体" w:cs="黑体"/>
          <w:b/>
          <w:sz w:val="32"/>
          <w:szCs w:val="32"/>
        </w:rPr>
        <w:sectPr>
          <w:headerReference r:id="rId3" w:type="default"/>
          <w:footerReference r:id="rId5" w:type="default"/>
          <w:headerReference r:id="rId4" w:type="even"/>
          <w:footerReference r:id="rId6" w:type="even"/>
          <w:pgSz w:w="11906" w:h="16838"/>
          <w:pgMar w:top="1701" w:right="1701" w:bottom="1418" w:left="1701" w:header="1247" w:footer="1020" w:gutter="0"/>
          <w:pgNumType w:fmt="upperRoman" w:start="1"/>
          <w:cols w:space="720" w:num="1"/>
          <w:titlePg/>
          <w:docGrid w:type="linesAndChars" w:linePitch="332" w:charSpace="0"/>
        </w:sectPr>
      </w:pPr>
    </w:p>
    <w:p>
      <w:pPr>
        <w:jc w:val="center"/>
        <w:rPr>
          <w:rFonts w:ascii="黑体" w:hAnsi="黑体" w:eastAsia="黑体"/>
          <w:color w:val="FF0000"/>
          <w:sz w:val="30"/>
          <w:szCs w:val="30"/>
        </w:rPr>
      </w:pPr>
      <w:r>
        <w:rPr>
          <w:rFonts w:hint="eastAsia" w:ascii="黑体" w:hAnsi="黑体" w:eastAsia="黑体"/>
          <w:sz w:val="30"/>
          <w:szCs w:val="30"/>
        </w:rPr>
        <w:t>目录</w:t>
      </w:r>
    </w:p>
    <w:p>
      <w:pPr>
        <w:pStyle w:val="8"/>
        <w:tabs>
          <w:tab w:val="right" w:leader="dot" w:pos="8494"/>
        </w:tabs>
        <w:rPr>
          <w:rFonts w:asciiTheme="minorHAnsi" w:hAnsiTheme="minorHAnsi" w:eastAsiaTheme="minorEastAsia" w:cstheme="minorBidi"/>
          <w:szCs w:val="22"/>
        </w:rPr>
      </w:pPr>
      <w:r>
        <w:fldChar w:fldCharType="begin"/>
      </w:r>
      <w:r>
        <w:instrText xml:space="preserve"> TOC \o "1-3" \h \z \u </w:instrText>
      </w:r>
      <w:r>
        <w:fldChar w:fldCharType="separate"/>
      </w:r>
      <w:r>
        <w:fldChar w:fldCharType="begin"/>
      </w:r>
      <w:r>
        <w:instrText xml:space="preserve"> HYPERLINK \l "_Toc136533362" </w:instrText>
      </w:r>
      <w:r>
        <w:fldChar w:fldCharType="separate"/>
      </w:r>
      <w:r>
        <w:rPr>
          <w:rStyle w:val="12"/>
          <w:rFonts w:ascii="黑体" w:hAnsi="黑体"/>
        </w:rPr>
        <w:t>1 开发环境及技术</w:t>
      </w:r>
      <w:r>
        <w:tab/>
      </w:r>
      <w:r>
        <w:fldChar w:fldCharType="begin"/>
      </w:r>
      <w:r>
        <w:instrText xml:space="preserve"> PAGEREF _Toc136533362 \h </w:instrText>
      </w:r>
      <w:r>
        <w:fldChar w:fldCharType="separate"/>
      </w:r>
      <w:r>
        <w:t>1</w:t>
      </w:r>
      <w:r>
        <w:fldChar w:fldCharType="end"/>
      </w:r>
      <w:r>
        <w:fldChar w:fldCharType="end"/>
      </w:r>
    </w:p>
    <w:p>
      <w:pPr>
        <w:pStyle w:val="9"/>
        <w:tabs>
          <w:tab w:val="right" w:leader="dot" w:pos="8494"/>
        </w:tabs>
        <w:rPr>
          <w:rFonts w:asciiTheme="minorHAnsi" w:hAnsiTheme="minorHAnsi" w:eastAsiaTheme="minorEastAsia" w:cstheme="minorBidi"/>
          <w:szCs w:val="22"/>
        </w:rPr>
      </w:pPr>
      <w:r>
        <w:fldChar w:fldCharType="begin"/>
      </w:r>
      <w:r>
        <w:instrText xml:space="preserve"> HYPERLINK \l "_Toc136533363" </w:instrText>
      </w:r>
      <w:r>
        <w:fldChar w:fldCharType="separate"/>
      </w:r>
      <w:r>
        <w:rPr>
          <w:rStyle w:val="12"/>
          <w:rFonts w:ascii="黑体" w:hAnsi="黑体"/>
        </w:rPr>
        <w:t>1.1 开发环境</w:t>
      </w:r>
      <w:r>
        <w:tab/>
      </w:r>
      <w:r>
        <w:fldChar w:fldCharType="begin"/>
      </w:r>
      <w:r>
        <w:instrText xml:space="preserve"> PAGEREF _Toc136533363 \h </w:instrText>
      </w:r>
      <w:r>
        <w:fldChar w:fldCharType="separate"/>
      </w:r>
      <w:r>
        <w:t>1</w:t>
      </w:r>
      <w:r>
        <w:fldChar w:fldCharType="end"/>
      </w:r>
      <w:r>
        <w:fldChar w:fldCharType="end"/>
      </w:r>
    </w:p>
    <w:p>
      <w:pPr>
        <w:pStyle w:val="9"/>
        <w:tabs>
          <w:tab w:val="right" w:leader="dot" w:pos="8494"/>
        </w:tabs>
        <w:rPr>
          <w:rFonts w:asciiTheme="minorHAnsi" w:hAnsiTheme="minorHAnsi" w:eastAsiaTheme="minorEastAsia" w:cstheme="minorBidi"/>
          <w:szCs w:val="22"/>
        </w:rPr>
      </w:pPr>
      <w:r>
        <w:fldChar w:fldCharType="begin"/>
      </w:r>
      <w:r>
        <w:instrText xml:space="preserve"> HYPERLINK \l "_Toc136533364" </w:instrText>
      </w:r>
      <w:r>
        <w:fldChar w:fldCharType="separate"/>
      </w:r>
      <w:r>
        <w:rPr>
          <w:rStyle w:val="12"/>
          <w:rFonts w:ascii="黑体" w:hAnsi="黑体"/>
        </w:rPr>
        <w:t>1.2 相关技术</w:t>
      </w:r>
      <w:r>
        <w:tab/>
      </w:r>
      <w:r>
        <w:fldChar w:fldCharType="begin"/>
      </w:r>
      <w:r>
        <w:instrText xml:space="preserve"> PAGEREF _Toc136533364 \h </w:instrText>
      </w:r>
      <w:r>
        <w:fldChar w:fldCharType="separate"/>
      </w:r>
      <w:r>
        <w:t>1</w:t>
      </w:r>
      <w:r>
        <w:fldChar w:fldCharType="end"/>
      </w:r>
      <w:r>
        <w:fldChar w:fldCharType="end"/>
      </w:r>
    </w:p>
    <w:p>
      <w:pPr>
        <w:pStyle w:val="8"/>
        <w:tabs>
          <w:tab w:val="right" w:leader="dot" w:pos="8494"/>
        </w:tabs>
        <w:rPr>
          <w:rFonts w:asciiTheme="minorHAnsi" w:hAnsiTheme="minorHAnsi" w:eastAsiaTheme="minorEastAsia" w:cstheme="minorBidi"/>
          <w:szCs w:val="22"/>
        </w:rPr>
      </w:pPr>
      <w:r>
        <w:fldChar w:fldCharType="begin"/>
      </w:r>
      <w:r>
        <w:instrText xml:space="preserve"> HYPERLINK \l "_Toc136533365" </w:instrText>
      </w:r>
      <w:r>
        <w:fldChar w:fldCharType="separate"/>
      </w:r>
      <w:r>
        <w:rPr>
          <w:rStyle w:val="12"/>
          <w:rFonts w:ascii="黑体" w:hAnsi="黑体"/>
        </w:rPr>
        <w:t>2 数据</w:t>
      </w:r>
      <w:r>
        <w:tab/>
      </w:r>
      <w:r>
        <w:fldChar w:fldCharType="begin"/>
      </w:r>
      <w:r>
        <w:instrText xml:space="preserve"> PAGEREF _Toc136533365 \h </w:instrText>
      </w:r>
      <w:r>
        <w:fldChar w:fldCharType="separate"/>
      </w:r>
      <w:r>
        <w:t>2</w:t>
      </w:r>
      <w:r>
        <w:fldChar w:fldCharType="end"/>
      </w:r>
      <w:r>
        <w:fldChar w:fldCharType="end"/>
      </w:r>
    </w:p>
    <w:p>
      <w:pPr>
        <w:pStyle w:val="9"/>
        <w:tabs>
          <w:tab w:val="right" w:leader="dot" w:pos="8494"/>
        </w:tabs>
        <w:rPr>
          <w:rFonts w:asciiTheme="minorHAnsi" w:hAnsiTheme="minorHAnsi" w:eastAsiaTheme="minorEastAsia" w:cstheme="minorBidi"/>
          <w:szCs w:val="22"/>
        </w:rPr>
      </w:pPr>
      <w:r>
        <w:fldChar w:fldCharType="begin"/>
      </w:r>
      <w:r>
        <w:instrText xml:space="preserve"> HYPERLINK \l "_Toc136533366" </w:instrText>
      </w:r>
      <w:r>
        <w:fldChar w:fldCharType="separate"/>
      </w:r>
      <w:r>
        <w:rPr>
          <w:rStyle w:val="12"/>
          <w:rFonts w:ascii="黑体" w:hAnsi="黑体"/>
        </w:rPr>
        <w:t>2.1 数据来源及介绍</w:t>
      </w:r>
      <w:r>
        <w:tab/>
      </w:r>
      <w:r>
        <w:fldChar w:fldCharType="begin"/>
      </w:r>
      <w:r>
        <w:instrText xml:space="preserve"> PAGEREF _Toc136533366 \h </w:instrText>
      </w:r>
      <w:r>
        <w:fldChar w:fldCharType="separate"/>
      </w:r>
      <w:r>
        <w:t>2</w:t>
      </w:r>
      <w:r>
        <w:fldChar w:fldCharType="end"/>
      </w:r>
      <w:r>
        <w:fldChar w:fldCharType="end"/>
      </w:r>
    </w:p>
    <w:p>
      <w:pPr>
        <w:pStyle w:val="9"/>
        <w:tabs>
          <w:tab w:val="right" w:leader="dot" w:pos="8494"/>
        </w:tabs>
        <w:rPr>
          <w:rFonts w:asciiTheme="minorHAnsi" w:hAnsiTheme="minorHAnsi" w:eastAsiaTheme="minorEastAsia" w:cstheme="minorBidi"/>
          <w:szCs w:val="22"/>
        </w:rPr>
      </w:pPr>
      <w:r>
        <w:fldChar w:fldCharType="begin"/>
      </w:r>
      <w:r>
        <w:instrText xml:space="preserve"> HYPERLINK \l "_Toc136533367" </w:instrText>
      </w:r>
      <w:r>
        <w:fldChar w:fldCharType="separate"/>
      </w:r>
      <w:r>
        <w:rPr>
          <w:rStyle w:val="12"/>
          <w:rFonts w:ascii="黑体" w:hAnsi="黑体"/>
        </w:rPr>
        <w:t>2.2 重要指标介绍</w:t>
      </w:r>
      <w:r>
        <w:tab/>
      </w:r>
      <w:r>
        <w:fldChar w:fldCharType="begin"/>
      </w:r>
      <w:r>
        <w:instrText xml:space="preserve"> PAGEREF _Toc136533367 \h </w:instrText>
      </w:r>
      <w:r>
        <w:fldChar w:fldCharType="separate"/>
      </w:r>
      <w:r>
        <w:t>3</w:t>
      </w:r>
      <w:r>
        <w:fldChar w:fldCharType="end"/>
      </w:r>
      <w:r>
        <w:fldChar w:fldCharType="end"/>
      </w:r>
    </w:p>
    <w:p>
      <w:pPr>
        <w:pStyle w:val="5"/>
        <w:tabs>
          <w:tab w:val="right" w:leader="dot" w:pos="8494"/>
        </w:tabs>
        <w:rPr>
          <w:rFonts w:asciiTheme="minorHAnsi" w:hAnsiTheme="minorHAnsi" w:eastAsiaTheme="minorEastAsia" w:cstheme="minorBidi"/>
          <w:szCs w:val="22"/>
        </w:rPr>
      </w:pPr>
      <w:r>
        <w:fldChar w:fldCharType="begin"/>
      </w:r>
      <w:r>
        <w:instrText xml:space="preserve"> HYPERLINK \l "_Toc136533368" </w:instrText>
      </w:r>
      <w:r>
        <w:fldChar w:fldCharType="separate"/>
      </w:r>
      <w:r>
        <w:rPr>
          <w:rStyle w:val="12"/>
          <w:rFonts w:ascii="黑体" w:hAnsi="黑体"/>
        </w:rPr>
        <w:t>2.2.1 城镇化率</w:t>
      </w:r>
      <w:r>
        <w:tab/>
      </w:r>
      <w:r>
        <w:fldChar w:fldCharType="begin"/>
      </w:r>
      <w:r>
        <w:instrText xml:space="preserve"> PAGEREF _Toc136533368 \h </w:instrText>
      </w:r>
      <w:r>
        <w:fldChar w:fldCharType="separate"/>
      </w:r>
      <w:r>
        <w:t>3</w:t>
      </w:r>
      <w:r>
        <w:fldChar w:fldCharType="end"/>
      </w:r>
      <w:r>
        <w:fldChar w:fldCharType="end"/>
      </w:r>
    </w:p>
    <w:p>
      <w:pPr>
        <w:pStyle w:val="5"/>
        <w:tabs>
          <w:tab w:val="right" w:leader="dot" w:pos="8494"/>
        </w:tabs>
        <w:rPr>
          <w:rFonts w:asciiTheme="minorHAnsi" w:hAnsiTheme="minorHAnsi" w:eastAsiaTheme="minorEastAsia" w:cstheme="minorBidi"/>
          <w:szCs w:val="22"/>
        </w:rPr>
      </w:pPr>
      <w:r>
        <w:fldChar w:fldCharType="begin"/>
      </w:r>
      <w:r>
        <w:instrText xml:space="preserve"> HYPERLINK \l "_Toc136533369" </w:instrText>
      </w:r>
      <w:r>
        <w:fldChar w:fldCharType="separate"/>
      </w:r>
      <w:r>
        <w:rPr>
          <w:rStyle w:val="12"/>
          <w:rFonts w:ascii="黑体" w:hAnsi="黑体"/>
        </w:rPr>
        <w:t>2.2.2 泰尔指数</w:t>
      </w:r>
      <w:r>
        <w:tab/>
      </w:r>
      <w:r>
        <w:fldChar w:fldCharType="begin"/>
      </w:r>
      <w:r>
        <w:instrText xml:space="preserve"> PAGEREF _Toc136533369 \h </w:instrText>
      </w:r>
      <w:r>
        <w:fldChar w:fldCharType="separate"/>
      </w:r>
      <w:r>
        <w:t>3</w:t>
      </w:r>
      <w:r>
        <w:fldChar w:fldCharType="end"/>
      </w:r>
      <w:r>
        <w:fldChar w:fldCharType="end"/>
      </w:r>
    </w:p>
    <w:p>
      <w:pPr>
        <w:pStyle w:val="8"/>
        <w:tabs>
          <w:tab w:val="right" w:leader="dot" w:pos="8494"/>
        </w:tabs>
        <w:rPr>
          <w:rFonts w:asciiTheme="minorHAnsi" w:hAnsiTheme="minorHAnsi" w:eastAsiaTheme="minorEastAsia" w:cstheme="minorBidi"/>
          <w:szCs w:val="22"/>
        </w:rPr>
      </w:pPr>
      <w:r>
        <w:fldChar w:fldCharType="begin"/>
      </w:r>
      <w:r>
        <w:instrText xml:space="preserve"> HYPERLINK \l "_Toc136533370" </w:instrText>
      </w:r>
      <w:r>
        <w:fldChar w:fldCharType="separate"/>
      </w:r>
      <w:r>
        <w:rPr>
          <w:rStyle w:val="12"/>
        </w:rPr>
        <w:t>3 数据预处理</w:t>
      </w:r>
      <w:r>
        <w:tab/>
      </w:r>
      <w:r>
        <w:fldChar w:fldCharType="begin"/>
      </w:r>
      <w:r>
        <w:instrText xml:space="preserve"> PAGEREF _Toc136533370 \h </w:instrText>
      </w:r>
      <w:r>
        <w:fldChar w:fldCharType="separate"/>
      </w:r>
      <w:r>
        <w:t>5</w:t>
      </w:r>
      <w:r>
        <w:fldChar w:fldCharType="end"/>
      </w:r>
      <w:r>
        <w:fldChar w:fldCharType="end"/>
      </w:r>
    </w:p>
    <w:p>
      <w:pPr>
        <w:pStyle w:val="9"/>
        <w:tabs>
          <w:tab w:val="right" w:leader="dot" w:pos="8494"/>
        </w:tabs>
        <w:rPr>
          <w:rFonts w:asciiTheme="minorHAnsi" w:hAnsiTheme="minorHAnsi" w:eastAsiaTheme="minorEastAsia" w:cstheme="minorBidi"/>
          <w:szCs w:val="22"/>
        </w:rPr>
      </w:pPr>
      <w:r>
        <w:fldChar w:fldCharType="begin"/>
      </w:r>
      <w:r>
        <w:instrText xml:space="preserve"> HYPERLINK \l "_Toc136533371" </w:instrText>
      </w:r>
      <w:r>
        <w:fldChar w:fldCharType="separate"/>
      </w:r>
      <w:r>
        <w:rPr>
          <w:rStyle w:val="12"/>
        </w:rPr>
        <w:t>3.1 数据读取</w:t>
      </w:r>
      <w:r>
        <w:tab/>
      </w:r>
      <w:r>
        <w:fldChar w:fldCharType="begin"/>
      </w:r>
      <w:r>
        <w:instrText xml:space="preserve"> PAGEREF _Toc136533371 \h </w:instrText>
      </w:r>
      <w:r>
        <w:fldChar w:fldCharType="separate"/>
      </w:r>
      <w:r>
        <w:t>5</w:t>
      </w:r>
      <w:r>
        <w:fldChar w:fldCharType="end"/>
      </w:r>
      <w:r>
        <w:fldChar w:fldCharType="end"/>
      </w:r>
    </w:p>
    <w:p>
      <w:pPr>
        <w:pStyle w:val="9"/>
        <w:tabs>
          <w:tab w:val="right" w:leader="dot" w:pos="8494"/>
        </w:tabs>
        <w:rPr>
          <w:rFonts w:asciiTheme="minorHAnsi" w:hAnsiTheme="minorHAnsi" w:eastAsiaTheme="minorEastAsia" w:cstheme="minorBidi"/>
          <w:szCs w:val="22"/>
        </w:rPr>
      </w:pPr>
      <w:r>
        <w:fldChar w:fldCharType="begin"/>
      </w:r>
      <w:r>
        <w:instrText xml:space="preserve"> HYPERLINK \l "_Toc136533372" </w:instrText>
      </w:r>
      <w:r>
        <w:fldChar w:fldCharType="separate"/>
      </w:r>
      <w:r>
        <w:rPr>
          <w:rStyle w:val="12"/>
        </w:rPr>
        <w:t>3.2 重复值处理</w:t>
      </w:r>
      <w:r>
        <w:tab/>
      </w:r>
      <w:r>
        <w:fldChar w:fldCharType="begin"/>
      </w:r>
      <w:r>
        <w:instrText xml:space="preserve"> PAGEREF _Toc136533372 \h </w:instrText>
      </w:r>
      <w:r>
        <w:fldChar w:fldCharType="separate"/>
      </w:r>
      <w:r>
        <w:t>6</w:t>
      </w:r>
      <w:r>
        <w:fldChar w:fldCharType="end"/>
      </w:r>
      <w:r>
        <w:fldChar w:fldCharType="end"/>
      </w:r>
    </w:p>
    <w:p>
      <w:pPr>
        <w:pStyle w:val="9"/>
        <w:tabs>
          <w:tab w:val="right" w:leader="dot" w:pos="8494"/>
        </w:tabs>
        <w:rPr>
          <w:rFonts w:asciiTheme="minorHAnsi" w:hAnsiTheme="minorHAnsi" w:eastAsiaTheme="minorEastAsia" w:cstheme="minorBidi"/>
          <w:szCs w:val="22"/>
        </w:rPr>
      </w:pPr>
      <w:r>
        <w:fldChar w:fldCharType="begin"/>
      </w:r>
      <w:r>
        <w:instrText xml:space="preserve"> HYPERLINK \l "_Toc136533373" </w:instrText>
      </w:r>
      <w:r>
        <w:fldChar w:fldCharType="separate"/>
      </w:r>
      <w:r>
        <w:rPr>
          <w:rStyle w:val="12"/>
        </w:rPr>
        <w:t>3.3 缺失值处理</w:t>
      </w:r>
      <w:r>
        <w:tab/>
      </w:r>
      <w:r>
        <w:fldChar w:fldCharType="begin"/>
      </w:r>
      <w:r>
        <w:instrText xml:space="preserve"> PAGEREF _Toc136533373 \h </w:instrText>
      </w:r>
      <w:r>
        <w:fldChar w:fldCharType="separate"/>
      </w:r>
      <w:r>
        <w:t>6</w:t>
      </w:r>
      <w:r>
        <w:fldChar w:fldCharType="end"/>
      </w:r>
      <w:r>
        <w:fldChar w:fldCharType="end"/>
      </w:r>
    </w:p>
    <w:p>
      <w:pPr>
        <w:pStyle w:val="8"/>
        <w:tabs>
          <w:tab w:val="right" w:leader="dot" w:pos="8494"/>
        </w:tabs>
        <w:rPr>
          <w:rFonts w:asciiTheme="minorHAnsi" w:hAnsiTheme="minorHAnsi" w:eastAsiaTheme="minorEastAsia" w:cstheme="minorBidi"/>
          <w:szCs w:val="22"/>
        </w:rPr>
      </w:pPr>
      <w:r>
        <w:fldChar w:fldCharType="begin"/>
      </w:r>
      <w:r>
        <w:instrText xml:space="preserve"> HYPERLINK \l "_Toc136533374" </w:instrText>
      </w:r>
      <w:r>
        <w:fldChar w:fldCharType="separate"/>
      </w:r>
      <w:r>
        <w:rPr>
          <w:rStyle w:val="12"/>
        </w:rPr>
        <w:t>4 可视化实现</w:t>
      </w:r>
      <w:r>
        <w:tab/>
      </w:r>
      <w:r>
        <w:fldChar w:fldCharType="begin"/>
      </w:r>
      <w:r>
        <w:instrText xml:space="preserve"> PAGEREF _Toc136533374 \h </w:instrText>
      </w:r>
      <w:r>
        <w:fldChar w:fldCharType="separate"/>
      </w:r>
      <w:r>
        <w:t>9</w:t>
      </w:r>
      <w:r>
        <w:fldChar w:fldCharType="end"/>
      </w:r>
      <w:r>
        <w:fldChar w:fldCharType="end"/>
      </w:r>
    </w:p>
    <w:p>
      <w:pPr>
        <w:pStyle w:val="9"/>
        <w:tabs>
          <w:tab w:val="right" w:leader="dot" w:pos="8494"/>
        </w:tabs>
        <w:rPr>
          <w:rFonts w:asciiTheme="minorHAnsi" w:hAnsiTheme="minorHAnsi" w:eastAsiaTheme="minorEastAsia" w:cstheme="minorBidi"/>
          <w:szCs w:val="22"/>
        </w:rPr>
      </w:pPr>
      <w:r>
        <w:fldChar w:fldCharType="begin"/>
      </w:r>
      <w:r>
        <w:instrText xml:space="preserve"> HYPERLINK \l "_Toc136533375" </w:instrText>
      </w:r>
      <w:r>
        <w:fldChar w:fldCharType="separate"/>
      </w:r>
      <w:r>
        <w:rPr>
          <w:rStyle w:val="12"/>
        </w:rPr>
        <w:t>4.1 设计思路</w:t>
      </w:r>
      <w:r>
        <w:tab/>
      </w:r>
      <w:r>
        <w:fldChar w:fldCharType="begin"/>
      </w:r>
      <w:r>
        <w:instrText xml:space="preserve"> PAGEREF _Toc136533375 \h </w:instrText>
      </w:r>
      <w:r>
        <w:fldChar w:fldCharType="separate"/>
      </w:r>
      <w:r>
        <w:t>9</w:t>
      </w:r>
      <w:r>
        <w:fldChar w:fldCharType="end"/>
      </w:r>
      <w:r>
        <w:fldChar w:fldCharType="end"/>
      </w:r>
    </w:p>
    <w:p>
      <w:pPr>
        <w:pStyle w:val="9"/>
        <w:tabs>
          <w:tab w:val="right" w:leader="dot" w:pos="8494"/>
        </w:tabs>
        <w:rPr>
          <w:rFonts w:asciiTheme="minorHAnsi" w:hAnsiTheme="minorHAnsi" w:eastAsiaTheme="minorEastAsia" w:cstheme="minorBidi"/>
          <w:szCs w:val="22"/>
        </w:rPr>
      </w:pPr>
      <w:r>
        <w:fldChar w:fldCharType="begin"/>
      </w:r>
      <w:r>
        <w:instrText xml:space="preserve"> HYPERLINK \l "_Toc136533376" </w:instrText>
      </w:r>
      <w:r>
        <w:fldChar w:fldCharType="separate"/>
      </w:r>
      <w:r>
        <w:rPr>
          <w:rStyle w:val="12"/>
        </w:rPr>
        <w:t>4.1人均收入与消费支出排行榜</w:t>
      </w:r>
      <w:r>
        <w:tab/>
      </w:r>
      <w:r>
        <w:fldChar w:fldCharType="begin"/>
      </w:r>
      <w:r>
        <w:instrText xml:space="preserve"> PAGEREF _Toc136533376 \h </w:instrText>
      </w:r>
      <w:r>
        <w:fldChar w:fldCharType="separate"/>
      </w:r>
      <w:r>
        <w:t>9</w:t>
      </w:r>
      <w:r>
        <w:fldChar w:fldCharType="end"/>
      </w:r>
      <w:r>
        <w:fldChar w:fldCharType="end"/>
      </w:r>
    </w:p>
    <w:p>
      <w:pPr>
        <w:pStyle w:val="9"/>
        <w:tabs>
          <w:tab w:val="right" w:leader="dot" w:pos="8494"/>
        </w:tabs>
        <w:rPr>
          <w:rFonts w:asciiTheme="minorHAnsi" w:hAnsiTheme="minorHAnsi" w:eastAsiaTheme="minorEastAsia" w:cstheme="minorBidi"/>
          <w:szCs w:val="22"/>
        </w:rPr>
      </w:pPr>
      <w:r>
        <w:fldChar w:fldCharType="begin"/>
      </w:r>
      <w:r>
        <w:instrText xml:space="preserve"> HYPERLINK \l "_Toc136533377" </w:instrText>
      </w:r>
      <w:r>
        <w:fldChar w:fldCharType="separate"/>
      </w:r>
      <w:r>
        <w:rPr>
          <w:rStyle w:val="12"/>
        </w:rPr>
        <w:t>4.2全国及各地区消费占比</w:t>
      </w:r>
      <w:r>
        <w:tab/>
      </w:r>
      <w:r>
        <w:fldChar w:fldCharType="begin"/>
      </w:r>
      <w:r>
        <w:instrText xml:space="preserve"> PAGEREF _Toc136533377 \h </w:instrText>
      </w:r>
      <w:r>
        <w:fldChar w:fldCharType="separate"/>
      </w:r>
      <w:r>
        <w:t>10</w:t>
      </w:r>
      <w:r>
        <w:fldChar w:fldCharType="end"/>
      </w:r>
      <w:r>
        <w:fldChar w:fldCharType="end"/>
      </w:r>
    </w:p>
    <w:p>
      <w:pPr>
        <w:pStyle w:val="9"/>
        <w:tabs>
          <w:tab w:val="right" w:leader="dot" w:pos="8494"/>
        </w:tabs>
        <w:rPr>
          <w:rFonts w:asciiTheme="minorHAnsi" w:hAnsiTheme="minorHAnsi" w:eastAsiaTheme="minorEastAsia" w:cstheme="minorBidi"/>
          <w:szCs w:val="22"/>
        </w:rPr>
      </w:pPr>
      <w:r>
        <w:fldChar w:fldCharType="begin"/>
      </w:r>
      <w:r>
        <w:instrText xml:space="preserve"> HYPERLINK \l "_Toc136533378" </w:instrText>
      </w:r>
      <w:r>
        <w:fldChar w:fldCharType="separate"/>
      </w:r>
      <w:r>
        <w:rPr>
          <w:rStyle w:val="12"/>
        </w:rPr>
        <w:t>4.3部分地区城镇人口数及城镇化率</w:t>
      </w:r>
      <w:r>
        <w:tab/>
      </w:r>
      <w:r>
        <w:fldChar w:fldCharType="begin"/>
      </w:r>
      <w:r>
        <w:instrText xml:space="preserve"> PAGEREF _Toc136533378 \h </w:instrText>
      </w:r>
      <w:r>
        <w:fldChar w:fldCharType="separate"/>
      </w:r>
      <w:r>
        <w:t>11</w:t>
      </w:r>
      <w:r>
        <w:fldChar w:fldCharType="end"/>
      </w:r>
      <w:r>
        <w:fldChar w:fldCharType="end"/>
      </w:r>
    </w:p>
    <w:p>
      <w:pPr>
        <w:pStyle w:val="9"/>
        <w:tabs>
          <w:tab w:val="right" w:leader="dot" w:pos="8494"/>
        </w:tabs>
        <w:rPr>
          <w:rFonts w:asciiTheme="minorHAnsi" w:hAnsiTheme="minorHAnsi" w:eastAsiaTheme="minorEastAsia" w:cstheme="minorBidi"/>
          <w:szCs w:val="22"/>
        </w:rPr>
      </w:pPr>
      <w:r>
        <w:fldChar w:fldCharType="begin"/>
      </w:r>
      <w:r>
        <w:instrText xml:space="preserve"> HYPERLINK \l "_Toc136533379" </w:instrText>
      </w:r>
      <w:r>
        <w:fldChar w:fldCharType="separate"/>
      </w:r>
      <w:r>
        <w:rPr>
          <w:rStyle w:val="12"/>
        </w:rPr>
        <w:t>4.4泰尔指数情况一览</w:t>
      </w:r>
      <w:r>
        <w:tab/>
      </w:r>
      <w:r>
        <w:fldChar w:fldCharType="begin"/>
      </w:r>
      <w:r>
        <w:instrText xml:space="preserve"> PAGEREF _Toc136533379 \h </w:instrText>
      </w:r>
      <w:r>
        <w:fldChar w:fldCharType="separate"/>
      </w:r>
      <w:r>
        <w:t>12</w:t>
      </w:r>
      <w:r>
        <w:fldChar w:fldCharType="end"/>
      </w:r>
      <w:r>
        <w:fldChar w:fldCharType="end"/>
      </w:r>
    </w:p>
    <w:p>
      <w:pPr>
        <w:pStyle w:val="9"/>
        <w:tabs>
          <w:tab w:val="right" w:leader="dot" w:pos="8494"/>
        </w:tabs>
        <w:rPr>
          <w:rFonts w:asciiTheme="minorHAnsi" w:hAnsiTheme="minorHAnsi" w:eastAsiaTheme="minorEastAsia" w:cstheme="minorBidi"/>
          <w:szCs w:val="22"/>
        </w:rPr>
      </w:pPr>
      <w:r>
        <w:fldChar w:fldCharType="begin"/>
      </w:r>
      <w:r>
        <w:instrText xml:space="preserve"> HYPERLINK \l "_Toc136533380" </w:instrText>
      </w:r>
      <w:r>
        <w:fldChar w:fldCharType="separate"/>
      </w:r>
      <w:r>
        <w:rPr>
          <w:rStyle w:val="12"/>
        </w:rPr>
        <w:t>4.5人均可支配收入情况一览</w:t>
      </w:r>
      <w:r>
        <w:tab/>
      </w:r>
      <w:r>
        <w:fldChar w:fldCharType="begin"/>
      </w:r>
      <w:r>
        <w:instrText xml:space="preserve"> PAGEREF _Toc136533380 \h </w:instrText>
      </w:r>
      <w:r>
        <w:fldChar w:fldCharType="separate"/>
      </w:r>
      <w:r>
        <w:t>14</w:t>
      </w:r>
      <w:r>
        <w:fldChar w:fldCharType="end"/>
      </w:r>
      <w:r>
        <w:fldChar w:fldCharType="end"/>
      </w:r>
    </w:p>
    <w:p>
      <w:pPr>
        <w:pStyle w:val="9"/>
        <w:tabs>
          <w:tab w:val="right" w:leader="dot" w:pos="8494"/>
        </w:tabs>
        <w:rPr>
          <w:rFonts w:asciiTheme="minorHAnsi" w:hAnsiTheme="minorHAnsi" w:eastAsiaTheme="minorEastAsia" w:cstheme="minorBidi"/>
          <w:szCs w:val="22"/>
        </w:rPr>
      </w:pPr>
      <w:r>
        <w:fldChar w:fldCharType="begin"/>
      </w:r>
      <w:r>
        <w:instrText xml:space="preserve"> HYPERLINK \l "_Toc136533381" </w:instrText>
      </w:r>
      <w:r>
        <w:fldChar w:fldCharType="separate"/>
      </w:r>
      <w:r>
        <w:rPr>
          <w:rStyle w:val="12"/>
        </w:rPr>
        <w:t>4.6全国人口组成情况一览</w:t>
      </w:r>
      <w:r>
        <w:tab/>
      </w:r>
      <w:r>
        <w:fldChar w:fldCharType="begin"/>
      </w:r>
      <w:r>
        <w:instrText xml:space="preserve"> PAGEREF _Toc136533381 \h </w:instrText>
      </w:r>
      <w:r>
        <w:fldChar w:fldCharType="separate"/>
      </w:r>
      <w:r>
        <w:t>16</w:t>
      </w:r>
      <w:r>
        <w:fldChar w:fldCharType="end"/>
      </w:r>
      <w:r>
        <w:fldChar w:fldCharType="end"/>
      </w:r>
    </w:p>
    <w:p>
      <w:pPr>
        <w:pStyle w:val="8"/>
        <w:tabs>
          <w:tab w:val="right" w:leader="dot" w:pos="8494"/>
        </w:tabs>
        <w:rPr>
          <w:rFonts w:asciiTheme="minorHAnsi" w:hAnsiTheme="minorHAnsi" w:eastAsiaTheme="minorEastAsia" w:cstheme="minorBidi"/>
          <w:szCs w:val="22"/>
        </w:rPr>
      </w:pPr>
      <w:r>
        <w:fldChar w:fldCharType="begin"/>
      </w:r>
      <w:r>
        <w:instrText xml:space="preserve"> HYPERLINK \l "_Toc136533382" </w:instrText>
      </w:r>
      <w:r>
        <w:fldChar w:fldCharType="separate"/>
      </w:r>
      <w:r>
        <w:rPr>
          <w:rStyle w:val="12"/>
          <w:rFonts w:ascii="黑体" w:hAnsi="黑体"/>
        </w:rPr>
        <w:t>5 可视化大屏</w:t>
      </w:r>
      <w:r>
        <w:tab/>
      </w:r>
      <w:r>
        <w:fldChar w:fldCharType="begin"/>
      </w:r>
      <w:r>
        <w:instrText xml:space="preserve"> PAGEREF _Toc136533382 \h </w:instrText>
      </w:r>
      <w:r>
        <w:fldChar w:fldCharType="separate"/>
      </w:r>
      <w:r>
        <w:t>18</w:t>
      </w:r>
      <w:r>
        <w:fldChar w:fldCharType="end"/>
      </w:r>
      <w:r>
        <w:fldChar w:fldCharType="end"/>
      </w:r>
    </w:p>
    <w:p>
      <w:pPr>
        <w:pStyle w:val="9"/>
        <w:tabs>
          <w:tab w:val="right" w:leader="dot" w:pos="8494"/>
        </w:tabs>
        <w:rPr>
          <w:rFonts w:asciiTheme="minorHAnsi" w:hAnsiTheme="minorHAnsi" w:eastAsiaTheme="minorEastAsia" w:cstheme="minorBidi"/>
          <w:szCs w:val="22"/>
        </w:rPr>
      </w:pPr>
      <w:r>
        <w:fldChar w:fldCharType="begin"/>
      </w:r>
      <w:r>
        <w:instrText xml:space="preserve"> HYPERLINK \l "_Toc136533383" </w:instrText>
      </w:r>
      <w:r>
        <w:fldChar w:fldCharType="separate"/>
      </w:r>
      <w:r>
        <w:rPr>
          <w:rStyle w:val="12"/>
          <w:rFonts w:ascii="黑体" w:hAnsi="黑体"/>
        </w:rPr>
        <w:t>5.1 生成可视化大屏</w:t>
      </w:r>
      <w:r>
        <w:tab/>
      </w:r>
      <w:r>
        <w:fldChar w:fldCharType="begin"/>
      </w:r>
      <w:r>
        <w:instrText xml:space="preserve"> PAGEREF _Toc136533383 \h </w:instrText>
      </w:r>
      <w:r>
        <w:fldChar w:fldCharType="separate"/>
      </w:r>
      <w:r>
        <w:t>18</w:t>
      </w:r>
      <w:r>
        <w:fldChar w:fldCharType="end"/>
      </w:r>
      <w:r>
        <w:fldChar w:fldCharType="end"/>
      </w:r>
    </w:p>
    <w:p>
      <w:pPr>
        <w:pStyle w:val="9"/>
        <w:tabs>
          <w:tab w:val="right" w:leader="dot" w:pos="8494"/>
        </w:tabs>
        <w:rPr>
          <w:rFonts w:asciiTheme="minorHAnsi" w:hAnsiTheme="minorHAnsi" w:eastAsiaTheme="minorEastAsia" w:cstheme="minorBidi"/>
          <w:szCs w:val="22"/>
        </w:rPr>
      </w:pPr>
      <w:r>
        <w:fldChar w:fldCharType="begin"/>
      </w:r>
      <w:r>
        <w:instrText xml:space="preserve"> HYPERLINK \l "_Toc136533384" </w:instrText>
      </w:r>
      <w:r>
        <w:fldChar w:fldCharType="separate"/>
      </w:r>
      <w:r>
        <w:rPr>
          <w:rStyle w:val="12"/>
          <w:rFonts w:ascii="黑体" w:hAnsi="黑体"/>
        </w:rPr>
        <w:t>5.2 可视化大屏展示</w:t>
      </w:r>
      <w:r>
        <w:tab/>
      </w:r>
      <w:r>
        <w:fldChar w:fldCharType="begin"/>
      </w:r>
      <w:r>
        <w:instrText xml:space="preserve"> PAGEREF _Toc136533384 \h </w:instrText>
      </w:r>
      <w:r>
        <w:fldChar w:fldCharType="separate"/>
      </w:r>
      <w:r>
        <w:t>18</w:t>
      </w:r>
      <w:r>
        <w:fldChar w:fldCharType="end"/>
      </w:r>
      <w:r>
        <w:fldChar w:fldCharType="end"/>
      </w:r>
    </w:p>
    <w:p>
      <w:pPr>
        <w:pStyle w:val="8"/>
        <w:tabs>
          <w:tab w:val="right" w:leader="dot" w:pos="8494"/>
        </w:tabs>
        <w:rPr>
          <w:rFonts w:asciiTheme="minorHAnsi" w:hAnsiTheme="minorHAnsi" w:eastAsiaTheme="minorEastAsia" w:cstheme="minorBidi"/>
          <w:szCs w:val="22"/>
        </w:rPr>
      </w:pPr>
      <w:r>
        <w:fldChar w:fldCharType="begin"/>
      </w:r>
      <w:r>
        <w:instrText xml:space="preserve"> HYPERLINK \l "_Toc136533385" </w:instrText>
      </w:r>
      <w:r>
        <w:fldChar w:fldCharType="separate"/>
      </w:r>
      <w:r>
        <w:rPr>
          <w:rStyle w:val="12"/>
        </w:rPr>
        <w:t>6 结论及建议</w:t>
      </w:r>
      <w:r>
        <w:tab/>
      </w:r>
      <w:r>
        <w:fldChar w:fldCharType="begin"/>
      </w:r>
      <w:r>
        <w:instrText xml:space="preserve"> PAGEREF _Toc136533385 \h </w:instrText>
      </w:r>
      <w:r>
        <w:fldChar w:fldCharType="separate"/>
      </w:r>
      <w:r>
        <w:t>19</w:t>
      </w:r>
      <w:r>
        <w:fldChar w:fldCharType="end"/>
      </w:r>
      <w:r>
        <w:fldChar w:fldCharType="end"/>
      </w:r>
    </w:p>
    <w:p>
      <w:r>
        <w:rPr>
          <w:bCs/>
          <w:lang w:val="zh-CN"/>
        </w:rPr>
        <w:fldChar w:fldCharType="end"/>
      </w:r>
    </w:p>
    <w:p>
      <w:pPr>
        <w:sectPr>
          <w:headerReference r:id="rId7" w:type="default"/>
          <w:footerReference r:id="rId8" w:type="default"/>
          <w:pgSz w:w="11906" w:h="16838"/>
          <w:pgMar w:top="1701" w:right="1701" w:bottom="1418" w:left="1701" w:header="1247" w:footer="1020" w:gutter="0"/>
          <w:pgNumType w:fmt="upperRoman"/>
          <w:cols w:space="720" w:num="1"/>
          <w:docGrid w:type="linesAndChars" w:linePitch="312" w:charSpace="0"/>
        </w:sectPr>
      </w:pPr>
    </w:p>
    <w:p>
      <w:pPr>
        <w:pStyle w:val="2"/>
        <w:spacing w:before="156" w:after="156"/>
        <w:ind w:left="680"/>
        <w:jc w:val="center"/>
        <w:rPr>
          <w:rFonts w:ascii="黑体" w:hAnsi="黑体"/>
          <w:b w:val="0"/>
        </w:rPr>
      </w:pPr>
      <w:bookmarkStart w:id="0" w:name="_Toc450915106"/>
      <w:bookmarkStart w:id="1" w:name="_Toc450915652"/>
      <w:bookmarkStart w:id="2" w:name="_Toc452627334"/>
      <w:bookmarkStart w:id="3" w:name="_Toc136533362"/>
      <w:bookmarkStart w:id="4" w:name="_Toc409"/>
      <w:bookmarkStart w:id="5" w:name="_Toc29818"/>
      <w:bookmarkStart w:id="6" w:name="_Toc12255"/>
      <w:bookmarkStart w:id="7" w:name="_Toc12153"/>
      <w:r>
        <w:rPr>
          <w:rFonts w:hint="eastAsia" w:ascii="黑体" w:hAnsi="黑体"/>
          <w:b w:val="0"/>
        </w:rPr>
        <w:t xml:space="preserve">1 </w:t>
      </w:r>
      <w:bookmarkEnd w:id="0"/>
      <w:bookmarkEnd w:id="1"/>
      <w:bookmarkEnd w:id="2"/>
      <w:r>
        <w:rPr>
          <w:rFonts w:hint="eastAsia" w:ascii="黑体" w:hAnsi="黑体"/>
          <w:b w:val="0"/>
        </w:rPr>
        <w:t>开发环境及技术</w:t>
      </w:r>
      <w:bookmarkEnd w:id="3"/>
    </w:p>
    <w:bookmarkEnd w:id="4"/>
    <w:bookmarkEnd w:id="5"/>
    <w:bookmarkEnd w:id="6"/>
    <w:bookmarkEnd w:id="7"/>
    <w:p>
      <w:pPr>
        <w:pStyle w:val="3"/>
        <w:spacing w:before="156" w:after="156"/>
      </w:pPr>
      <w:bookmarkStart w:id="8" w:name="_Toc136533363"/>
      <w:r>
        <w:rPr>
          <w:rFonts w:hint="eastAsia" w:ascii="黑体" w:hAnsi="黑体"/>
        </w:rPr>
        <w:t>1.1 开发环境</w:t>
      </w:r>
      <w:bookmarkEnd w:id="8"/>
    </w:p>
    <w:p>
      <w:pPr>
        <w:spacing w:before="156" w:beforeLines="50" w:after="156" w:afterLines="50" w:line="400" w:lineRule="exact"/>
        <w:ind w:firstLine="480" w:firstLineChars="200"/>
        <w:rPr>
          <w:rFonts w:ascii="宋体" w:hAnsi="宋体" w:cs="Arial"/>
          <w:color w:val="000000"/>
          <w:sz w:val="24"/>
          <w:szCs w:val="21"/>
        </w:rPr>
      </w:pPr>
      <w:r>
        <w:rPr>
          <w:rFonts w:hint="eastAsia" w:ascii="宋体" w:hAnsi="宋体" w:cs="Arial"/>
          <w:color w:val="000000"/>
          <w:sz w:val="24"/>
          <w:szCs w:val="21"/>
        </w:rPr>
        <w:t>开发环境如下表1</w:t>
      </w:r>
      <w:r>
        <w:rPr>
          <w:rFonts w:ascii="宋体" w:hAnsi="宋体" w:cs="Arial"/>
          <w:color w:val="000000"/>
          <w:sz w:val="24"/>
          <w:szCs w:val="21"/>
        </w:rPr>
        <w:t>.1</w:t>
      </w:r>
      <w:r>
        <w:rPr>
          <w:rFonts w:hint="eastAsia" w:ascii="宋体" w:hAnsi="宋体" w:cs="Arial"/>
          <w:color w:val="000000"/>
          <w:sz w:val="24"/>
          <w:szCs w:val="21"/>
        </w:rPr>
        <w:t>所示:</w:t>
      </w:r>
    </w:p>
    <w:p>
      <w:pPr>
        <w:jc w:val="center"/>
        <w:rPr>
          <w:rFonts w:ascii="宋体" w:hAnsi="宋体" w:cs="Arial"/>
          <w:color w:val="000000"/>
          <w:szCs w:val="21"/>
        </w:rPr>
      </w:pPr>
      <w:r>
        <w:rPr>
          <w:rFonts w:hint="eastAsia" w:ascii="宋体" w:hAnsi="宋体" w:cs="Arial"/>
          <w:color w:val="000000"/>
          <w:szCs w:val="21"/>
        </w:rPr>
        <w:t>表1</w:t>
      </w:r>
      <w:r>
        <w:rPr>
          <w:rFonts w:ascii="宋体" w:hAnsi="宋体" w:cs="Arial"/>
          <w:color w:val="000000"/>
          <w:szCs w:val="21"/>
        </w:rPr>
        <w:t xml:space="preserve">.1 </w:t>
      </w:r>
      <w:r>
        <w:rPr>
          <w:rFonts w:hint="eastAsia" w:ascii="宋体" w:hAnsi="宋体" w:cs="Arial"/>
          <w:color w:val="000000"/>
          <w:szCs w:val="21"/>
        </w:rPr>
        <w:t>开发环境</w:t>
      </w:r>
    </w:p>
    <w:tbl>
      <w:tblPr>
        <w:tblStyle w:val="10"/>
        <w:tblW w:w="0" w:type="auto"/>
        <w:jc w:val="center"/>
        <w:tblLayout w:type="fixed"/>
        <w:tblCellMar>
          <w:top w:w="0" w:type="dxa"/>
          <w:left w:w="108" w:type="dxa"/>
          <w:bottom w:w="0" w:type="dxa"/>
          <w:right w:w="108" w:type="dxa"/>
        </w:tblCellMar>
      </w:tblPr>
      <w:tblGrid>
        <w:gridCol w:w="3019"/>
        <w:gridCol w:w="2835"/>
      </w:tblGrid>
      <w:tr>
        <w:tblPrEx>
          <w:tblCellMar>
            <w:top w:w="0" w:type="dxa"/>
            <w:left w:w="108" w:type="dxa"/>
            <w:bottom w:w="0" w:type="dxa"/>
            <w:right w:w="108" w:type="dxa"/>
          </w:tblCellMar>
        </w:tblPrEx>
        <w:trPr>
          <w:trHeight w:val="313" w:hRule="atLeast"/>
          <w:jc w:val="center"/>
        </w:trPr>
        <w:tc>
          <w:tcPr>
            <w:tcW w:w="3019"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hAnsi="宋体" w:cs="宋体"/>
                <w:color w:val="000000"/>
                <w:kern w:val="0"/>
                <w:szCs w:val="22"/>
              </w:rPr>
            </w:pPr>
          </w:p>
        </w:tc>
        <w:tc>
          <w:tcPr>
            <w:tcW w:w="2835" w:type="dxa"/>
            <w:tcBorders>
              <w:top w:val="single" w:color="auto" w:sz="4" w:space="0"/>
              <w:left w:val="nil"/>
              <w:bottom w:val="single" w:color="auto" w:sz="4" w:space="0"/>
              <w:right w:val="single" w:color="auto" w:sz="4" w:space="0"/>
            </w:tcBorders>
            <w:noWrap/>
            <w:vAlign w:val="center"/>
          </w:tcPr>
          <w:p>
            <w:pPr>
              <w:widowControl/>
              <w:jc w:val="center"/>
              <w:rPr>
                <w:rFonts w:ascii="宋体" w:hAnsi="宋体" w:cs="宋体"/>
                <w:color w:val="000000"/>
                <w:kern w:val="0"/>
                <w:szCs w:val="22"/>
              </w:rPr>
            </w:pPr>
            <w:r>
              <w:rPr>
                <w:rFonts w:hint="eastAsia" w:ascii="宋体" w:hAnsi="宋体" w:cs="宋体"/>
                <w:color w:val="000000"/>
                <w:kern w:val="0"/>
                <w:szCs w:val="22"/>
              </w:rPr>
              <w:t>开发环境</w:t>
            </w:r>
          </w:p>
        </w:tc>
      </w:tr>
      <w:tr>
        <w:tblPrEx>
          <w:tblCellMar>
            <w:top w:w="0" w:type="dxa"/>
            <w:left w:w="108" w:type="dxa"/>
            <w:bottom w:w="0" w:type="dxa"/>
            <w:right w:w="108" w:type="dxa"/>
          </w:tblCellMar>
        </w:tblPrEx>
        <w:trPr>
          <w:trHeight w:val="247" w:hRule="atLeast"/>
          <w:jc w:val="center"/>
        </w:trPr>
        <w:tc>
          <w:tcPr>
            <w:tcW w:w="3019" w:type="dxa"/>
            <w:tcBorders>
              <w:top w:val="nil"/>
              <w:left w:val="single" w:color="auto" w:sz="4" w:space="0"/>
              <w:bottom w:val="single" w:color="auto" w:sz="4" w:space="0"/>
              <w:right w:val="single" w:color="auto" w:sz="4" w:space="0"/>
            </w:tcBorders>
            <w:noWrap/>
            <w:vAlign w:val="center"/>
          </w:tcPr>
          <w:p>
            <w:pPr>
              <w:widowControl/>
              <w:jc w:val="center"/>
              <w:rPr>
                <w:rFonts w:ascii="宋体" w:hAnsi="宋体" w:cs="宋体"/>
                <w:color w:val="000000"/>
                <w:kern w:val="0"/>
                <w:szCs w:val="22"/>
              </w:rPr>
            </w:pPr>
            <w:r>
              <w:rPr>
                <w:rFonts w:hint="eastAsia" w:ascii="宋体" w:hAnsi="宋体" w:cs="宋体"/>
                <w:color w:val="000000"/>
                <w:kern w:val="0"/>
                <w:szCs w:val="22"/>
              </w:rPr>
              <w:t>操作系统</w:t>
            </w:r>
          </w:p>
        </w:tc>
        <w:tc>
          <w:tcPr>
            <w:tcW w:w="2835" w:type="dxa"/>
            <w:tcBorders>
              <w:top w:val="nil"/>
              <w:left w:val="nil"/>
              <w:bottom w:val="single" w:color="auto" w:sz="4" w:space="0"/>
              <w:right w:val="single" w:color="auto" w:sz="4" w:space="0"/>
            </w:tcBorders>
            <w:noWrap/>
            <w:vAlign w:val="center"/>
          </w:tcPr>
          <w:p>
            <w:pPr>
              <w:widowControl/>
              <w:jc w:val="center"/>
              <w:rPr>
                <w:rFonts w:ascii="宋体" w:hAnsi="宋体" w:cs="宋体"/>
                <w:color w:val="000000"/>
                <w:kern w:val="0"/>
                <w:szCs w:val="22"/>
              </w:rPr>
            </w:pPr>
            <w:r>
              <w:rPr>
                <w:rFonts w:hint="eastAsia" w:ascii="宋体" w:hAnsi="宋体" w:cs="宋体"/>
                <w:color w:val="000000"/>
                <w:kern w:val="0"/>
                <w:szCs w:val="22"/>
              </w:rPr>
              <w:t>Windows 10</w:t>
            </w:r>
          </w:p>
        </w:tc>
      </w:tr>
      <w:tr>
        <w:tblPrEx>
          <w:tblCellMar>
            <w:top w:w="0" w:type="dxa"/>
            <w:left w:w="108" w:type="dxa"/>
            <w:bottom w:w="0" w:type="dxa"/>
            <w:right w:w="108" w:type="dxa"/>
          </w:tblCellMar>
        </w:tblPrEx>
        <w:trPr>
          <w:trHeight w:val="125" w:hRule="atLeast"/>
          <w:jc w:val="center"/>
        </w:trPr>
        <w:tc>
          <w:tcPr>
            <w:tcW w:w="3019" w:type="dxa"/>
            <w:tcBorders>
              <w:top w:val="nil"/>
              <w:left w:val="single" w:color="auto" w:sz="4" w:space="0"/>
              <w:bottom w:val="single" w:color="auto" w:sz="4" w:space="0"/>
              <w:right w:val="single" w:color="auto" w:sz="4" w:space="0"/>
            </w:tcBorders>
            <w:noWrap/>
            <w:vAlign w:val="center"/>
          </w:tcPr>
          <w:p>
            <w:pPr>
              <w:widowControl/>
              <w:jc w:val="center"/>
              <w:rPr>
                <w:rFonts w:ascii="宋体" w:hAnsi="宋体" w:cs="宋体"/>
                <w:color w:val="000000"/>
                <w:kern w:val="0"/>
                <w:szCs w:val="22"/>
              </w:rPr>
            </w:pPr>
            <w:r>
              <w:rPr>
                <w:rFonts w:hint="eastAsia" w:ascii="宋体" w:hAnsi="宋体" w:cs="宋体"/>
                <w:color w:val="000000"/>
                <w:kern w:val="0"/>
                <w:szCs w:val="22"/>
              </w:rPr>
              <w:t>开发工具</w:t>
            </w:r>
          </w:p>
        </w:tc>
        <w:tc>
          <w:tcPr>
            <w:tcW w:w="2835" w:type="dxa"/>
            <w:tcBorders>
              <w:top w:val="nil"/>
              <w:left w:val="nil"/>
              <w:bottom w:val="single" w:color="auto" w:sz="4" w:space="0"/>
              <w:right w:val="single" w:color="auto" w:sz="4" w:space="0"/>
            </w:tcBorders>
            <w:noWrap/>
            <w:vAlign w:val="center"/>
          </w:tcPr>
          <w:p>
            <w:pPr>
              <w:widowControl/>
              <w:jc w:val="center"/>
              <w:rPr>
                <w:rFonts w:ascii="宋体" w:hAnsi="宋体" w:cs="宋体"/>
                <w:color w:val="000000"/>
                <w:kern w:val="0"/>
                <w:szCs w:val="22"/>
              </w:rPr>
            </w:pPr>
            <w:r>
              <w:rPr>
                <w:rFonts w:ascii="宋体" w:hAnsi="宋体" w:cs="宋体"/>
                <w:color w:val="000000"/>
                <w:kern w:val="0"/>
                <w:szCs w:val="22"/>
              </w:rPr>
              <w:t>Anaconda</w:t>
            </w:r>
            <w:r>
              <w:rPr>
                <w:rFonts w:hint="eastAsia" w:ascii="宋体" w:hAnsi="宋体" w:cs="宋体"/>
                <w:color w:val="000000"/>
                <w:kern w:val="0"/>
                <w:szCs w:val="22"/>
              </w:rPr>
              <w:t xml:space="preserve"> </w:t>
            </w:r>
            <w:r>
              <w:rPr>
                <w:rFonts w:ascii="宋体" w:hAnsi="宋体" w:cs="宋体"/>
                <w:color w:val="000000"/>
                <w:kern w:val="0"/>
                <w:szCs w:val="22"/>
              </w:rPr>
              <w:t>4.10.1</w:t>
            </w:r>
          </w:p>
        </w:tc>
      </w:tr>
      <w:tr>
        <w:tblPrEx>
          <w:tblCellMar>
            <w:top w:w="0" w:type="dxa"/>
            <w:left w:w="108" w:type="dxa"/>
            <w:bottom w:w="0" w:type="dxa"/>
            <w:right w:w="108" w:type="dxa"/>
          </w:tblCellMar>
        </w:tblPrEx>
        <w:trPr>
          <w:trHeight w:val="74" w:hRule="atLeast"/>
          <w:jc w:val="center"/>
        </w:trPr>
        <w:tc>
          <w:tcPr>
            <w:tcW w:w="3019" w:type="dxa"/>
            <w:tcBorders>
              <w:top w:val="nil"/>
              <w:left w:val="single" w:color="auto" w:sz="4" w:space="0"/>
              <w:bottom w:val="single" w:color="auto" w:sz="4" w:space="0"/>
              <w:right w:val="single" w:color="auto" w:sz="4" w:space="0"/>
            </w:tcBorders>
            <w:noWrap/>
            <w:vAlign w:val="center"/>
          </w:tcPr>
          <w:p>
            <w:pPr>
              <w:widowControl/>
              <w:jc w:val="center"/>
              <w:rPr>
                <w:rFonts w:ascii="宋体" w:hAnsi="宋体" w:cs="宋体"/>
                <w:color w:val="000000"/>
                <w:kern w:val="0"/>
                <w:szCs w:val="22"/>
              </w:rPr>
            </w:pPr>
            <w:r>
              <w:rPr>
                <w:rFonts w:hint="eastAsia" w:ascii="宋体" w:hAnsi="宋体" w:cs="宋体"/>
                <w:color w:val="000000"/>
                <w:kern w:val="0"/>
                <w:szCs w:val="22"/>
              </w:rPr>
              <w:t>语言</w:t>
            </w:r>
          </w:p>
        </w:tc>
        <w:tc>
          <w:tcPr>
            <w:tcW w:w="2835" w:type="dxa"/>
            <w:tcBorders>
              <w:top w:val="nil"/>
              <w:left w:val="nil"/>
              <w:bottom w:val="single" w:color="auto" w:sz="4" w:space="0"/>
              <w:right w:val="single" w:color="auto" w:sz="4" w:space="0"/>
            </w:tcBorders>
            <w:noWrap/>
            <w:vAlign w:val="center"/>
          </w:tcPr>
          <w:p>
            <w:pPr>
              <w:widowControl/>
              <w:jc w:val="center"/>
              <w:rPr>
                <w:rFonts w:ascii="宋体" w:hAnsi="宋体" w:cs="宋体"/>
                <w:color w:val="000000"/>
                <w:kern w:val="0"/>
                <w:szCs w:val="22"/>
              </w:rPr>
            </w:pPr>
            <w:r>
              <w:rPr>
                <w:rFonts w:hint="eastAsia" w:ascii="宋体" w:hAnsi="宋体" w:cs="宋体"/>
                <w:color w:val="000000"/>
                <w:kern w:val="0"/>
                <w:szCs w:val="22"/>
              </w:rPr>
              <w:t>Python</w:t>
            </w:r>
            <w:r>
              <w:rPr>
                <w:rFonts w:ascii="宋体" w:hAnsi="宋体" w:cs="宋体"/>
                <w:color w:val="000000"/>
                <w:kern w:val="0"/>
                <w:szCs w:val="22"/>
              </w:rPr>
              <w:t xml:space="preserve"> 3</w:t>
            </w:r>
            <w:r>
              <w:rPr>
                <w:rFonts w:hint="eastAsia" w:ascii="宋体" w:hAnsi="宋体" w:cs="宋体"/>
                <w:color w:val="000000"/>
                <w:kern w:val="0"/>
                <w:szCs w:val="22"/>
              </w:rPr>
              <w:t>.</w:t>
            </w:r>
            <w:r>
              <w:rPr>
                <w:rFonts w:ascii="宋体" w:hAnsi="宋体" w:cs="宋体"/>
                <w:color w:val="000000"/>
                <w:kern w:val="0"/>
                <w:szCs w:val="22"/>
              </w:rPr>
              <w:t>8</w:t>
            </w:r>
            <w:r>
              <w:rPr>
                <w:rFonts w:hint="eastAsia" w:ascii="宋体" w:hAnsi="宋体" w:cs="宋体"/>
                <w:color w:val="000000"/>
                <w:kern w:val="0"/>
                <w:szCs w:val="22"/>
              </w:rPr>
              <w:t>.</w:t>
            </w:r>
            <w:r>
              <w:rPr>
                <w:rFonts w:ascii="宋体" w:hAnsi="宋体" w:cs="宋体"/>
                <w:color w:val="000000"/>
                <w:kern w:val="0"/>
                <w:szCs w:val="22"/>
              </w:rPr>
              <w:t>8</w:t>
            </w:r>
          </w:p>
        </w:tc>
      </w:tr>
      <w:tr>
        <w:tblPrEx>
          <w:tblCellMar>
            <w:top w:w="0" w:type="dxa"/>
            <w:left w:w="108" w:type="dxa"/>
            <w:bottom w:w="0" w:type="dxa"/>
            <w:right w:w="108" w:type="dxa"/>
          </w:tblCellMar>
        </w:tblPrEx>
        <w:trPr>
          <w:trHeight w:val="83" w:hRule="atLeast"/>
          <w:jc w:val="center"/>
        </w:trPr>
        <w:tc>
          <w:tcPr>
            <w:tcW w:w="3019" w:type="dxa"/>
            <w:tcBorders>
              <w:top w:val="nil"/>
              <w:left w:val="single" w:color="auto" w:sz="4" w:space="0"/>
              <w:bottom w:val="single" w:color="auto" w:sz="4" w:space="0"/>
              <w:right w:val="single" w:color="auto" w:sz="4" w:space="0"/>
            </w:tcBorders>
            <w:noWrap/>
            <w:vAlign w:val="center"/>
          </w:tcPr>
          <w:p>
            <w:pPr>
              <w:widowControl/>
              <w:jc w:val="center"/>
              <w:rPr>
                <w:rFonts w:ascii="宋体" w:hAnsi="宋体" w:cs="宋体"/>
                <w:color w:val="000000"/>
                <w:kern w:val="0"/>
                <w:szCs w:val="22"/>
              </w:rPr>
            </w:pPr>
            <w:r>
              <w:rPr>
                <w:rFonts w:hint="eastAsia" w:ascii="宋体" w:hAnsi="宋体" w:cs="宋体"/>
                <w:color w:val="000000"/>
                <w:kern w:val="0"/>
                <w:szCs w:val="22"/>
              </w:rPr>
              <w:t>浏览器</w:t>
            </w:r>
          </w:p>
        </w:tc>
        <w:tc>
          <w:tcPr>
            <w:tcW w:w="2835" w:type="dxa"/>
            <w:tcBorders>
              <w:top w:val="nil"/>
              <w:left w:val="nil"/>
              <w:bottom w:val="single" w:color="auto" w:sz="4" w:space="0"/>
              <w:right w:val="single" w:color="auto" w:sz="4" w:space="0"/>
            </w:tcBorders>
            <w:noWrap/>
            <w:vAlign w:val="center"/>
          </w:tcPr>
          <w:p>
            <w:pPr>
              <w:widowControl/>
              <w:jc w:val="center"/>
              <w:rPr>
                <w:rFonts w:ascii="宋体" w:hAnsi="宋体" w:cs="宋体"/>
                <w:color w:val="000000"/>
                <w:kern w:val="0"/>
                <w:szCs w:val="22"/>
              </w:rPr>
            </w:pPr>
            <w:r>
              <w:rPr>
                <w:rFonts w:ascii="宋体" w:hAnsi="宋体" w:cs="宋体"/>
                <w:color w:val="000000"/>
                <w:kern w:val="0"/>
                <w:szCs w:val="22"/>
              </w:rPr>
              <w:t>Microsoft Edge</w:t>
            </w:r>
          </w:p>
        </w:tc>
      </w:tr>
    </w:tbl>
    <w:p/>
    <w:p>
      <w:pPr>
        <w:pStyle w:val="3"/>
        <w:spacing w:before="156" w:after="156"/>
        <w:jc w:val="left"/>
      </w:pPr>
      <w:bookmarkStart w:id="9" w:name="_Toc136533364"/>
      <w:r>
        <w:rPr>
          <w:rFonts w:hint="eastAsia" w:ascii="黑体" w:hAnsi="黑体"/>
        </w:rPr>
        <w:t>1.2 相关技术</w:t>
      </w:r>
      <w:bookmarkEnd w:id="9"/>
    </w:p>
    <w:p>
      <w:pPr>
        <w:spacing w:before="156" w:beforeLines="50" w:after="156" w:afterLines="50" w:line="400" w:lineRule="exact"/>
        <w:ind w:firstLine="480" w:firstLineChars="200"/>
        <w:rPr>
          <w:rFonts w:ascii="宋体" w:hAnsi="宋体" w:cs="Arial"/>
          <w:b/>
          <w:color w:val="000000"/>
          <w:sz w:val="24"/>
          <w:szCs w:val="21"/>
        </w:rPr>
      </w:pPr>
      <w:r>
        <w:rPr>
          <w:rFonts w:hint="eastAsia" w:ascii="宋体" w:hAnsi="宋体" w:cs="Arial"/>
          <w:color w:val="000000"/>
          <w:sz w:val="24"/>
          <w:szCs w:val="21"/>
        </w:rPr>
        <w:t>本课题中用到的技术有</w:t>
      </w:r>
      <w:r>
        <w:rPr>
          <w:rFonts w:ascii="宋体" w:hAnsi="宋体" w:cs="Arial"/>
          <w:color w:val="000000"/>
          <w:sz w:val="24"/>
          <w:szCs w:val="21"/>
        </w:rPr>
        <w:t>Pyecharts</w:t>
      </w:r>
      <w:r>
        <w:rPr>
          <w:rFonts w:hint="eastAsia" w:ascii="宋体" w:hAnsi="宋体" w:cs="Arial"/>
          <w:color w:val="000000"/>
          <w:sz w:val="24"/>
          <w:szCs w:val="21"/>
        </w:rPr>
        <w:t>,</w:t>
      </w:r>
      <w:r>
        <w:rPr>
          <w:rFonts w:ascii="宋体" w:hAnsi="宋体" w:cs="Arial"/>
          <w:color w:val="000000"/>
          <w:sz w:val="24"/>
          <w:szCs w:val="21"/>
        </w:rPr>
        <w:t>Page</w:t>
      </w:r>
      <w:r>
        <w:rPr>
          <w:rFonts w:hint="eastAsia" w:ascii="宋体" w:hAnsi="宋体" w:cs="Arial"/>
          <w:color w:val="000000"/>
          <w:sz w:val="24"/>
          <w:szCs w:val="21"/>
        </w:rPr>
        <w:t>和</w:t>
      </w:r>
      <w:r>
        <w:rPr>
          <w:rFonts w:ascii="宋体" w:hAnsi="宋体" w:cs="Arial"/>
          <w:color w:val="000000"/>
          <w:sz w:val="24"/>
          <w:szCs w:val="21"/>
        </w:rPr>
        <w:t>html</w:t>
      </w:r>
      <w:r>
        <w:rPr>
          <w:rFonts w:hint="eastAsia" w:ascii="宋体" w:hAnsi="宋体" w:cs="Arial"/>
          <w:b/>
          <w:color w:val="000000"/>
          <w:sz w:val="24"/>
          <w:szCs w:val="21"/>
        </w:rPr>
        <w:t>。</w:t>
      </w:r>
    </w:p>
    <w:p>
      <w:pPr>
        <w:spacing w:before="156" w:beforeLines="50" w:after="156" w:afterLines="50" w:line="400" w:lineRule="exact"/>
        <w:ind w:firstLine="480" w:firstLineChars="200"/>
        <w:rPr>
          <w:rFonts w:ascii="宋体" w:hAnsi="宋体"/>
          <w:sz w:val="24"/>
          <w:szCs w:val="24"/>
        </w:rPr>
      </w:pPr>
      <w:r>
        <w:rPr>
          <w:rFonts w:hint="eastAsia" w:ascii="宋体" w:hAnsi="宋体"/>
          <w:sz w:val="24"/>
          <w:szCs w:val="24"/>
        </w:rPr>
        <w:t>Pyecharts是一个用于生成Echarts图表的类库，它可以生成独立的网页，也可以在flask,Django中集成使用。Pyecharts的页面组件Page可以将多个图表汇总到一个页面中，方便数据可视化报告的制作。</w:t>
      </w:r>
    </w:p>
    <w:p>
      <w:pPr>
        <w:spacing w:before="156" w:beforeLines="50" w:after="156" w:afterLines="50" w:line="400" w:lineRule="exact"/>
        <w:ind w:firstLine="480" w:firstLineChars="200"/>
        <w:rPr>
          <w:rFonts w:ascii="宋体" w:hAnsi="宋体"/>
          <w:sz w:val="24"/>
          <w:szCs w:val="24"/>
        </w:rPr>
      </w:pPr>
      <w:r>
        <w:rPr>
          <w:rFonts w:hint="eastAsia" w:ascii="宋体" w:hAnsi="宋体"/>
          <w:sz w:val="24"/>
          <w:szCs w:val="24"/>
        </w:rPr>
        <w:t>Page组件是一个容器，可以将多个图表放在一个页面中，支持多种布局方式。Page组件提供了多种布局方式，如Grid、SimplePageLayout、DraggablePageLayout等，同时，还</w:t>
      </w:r>
      <w:r>
        <w:rPr>
          <w:rFonts w:hint="eastAsia" w:ascii="宋体" w:hAnsi="宋体" w:cs="Arial"/>
          <w:color w:val="000000"/>
          <w:sz w:val="24"/>
          <w:szCs w:val="21"/>
        </w:rPr>
        <w:t>提供了一些常用的配置项，如标题、背景颜色、全局字体等</w:t>
      </w:r>
      <w:r>
        <w:rPr>
          <w:rFonts w:hint="eastAsia" w:ascii="宋体" w:hAnsi="宋体"/>
          <w:sz w:val="24"/>
          <w:szCs w:val="24"/>
        </w:rPr>
        <w:t>。</w:t>
      </w:r>
    </w:p>
    <w:p>
      <w:pPr>
        <w:spacing w:before="156" w:beforeLines="50" w:after="156" w:afterLines="50" w:line="400" w:lineRule="exact"/>
        <w:ind w:firstLine="480" w:firstLineChars="200"/>
        <w:rPr>
          <w:rFonts w:ascii="宋体" w:hAnsi="宋体"/>
          <w:sz w:val="24"/>
          <w:szCs w:val="24"/>
        </w:rPr>
        <w:sectPr>
          <w:headerReference r:id="rId9" w:type="default"/>
          <w:footerReference r:id="rId10" w:type="default"/>
          <w:pgSz w:w="11906" w:h="16838"/>
          <w:pgMar w:top="1701" w:right="1701" w:bottom="1418" w:left="1701" w:header="1247" w:footer="1020" w:gutter="0"/>
          <w:pgNumType w:start="1"/>
          <w:cols w:space="720" w:num="1"/>
          <w:docGrid w:type="linesAndChars" w:linePitch="312" w:charSpace="0"/>
        </w:sectPr>
      </w:pPr>
      <w:r>
        <w:rPr>
          <w:rFonts w:hint="eastAsia" w:ascii="宋体" w:hAnsi="宋体"/>
          <w:sz w:val="24"/>
          <w:szCs w:val="24"/>
        </w:rPr>
        <w:t>HTML是一种标记语言，用于创建网页。在Pyecharts中，可以使用render()方法将图表渲染为HTML文件。</w:t>
      </w:r>
    </w:p>
    <w:p>
      <w:pPr>
        <w:pStyle w:val="2"/>
        <w:spacing w:before="156" w:after="156"/>
        <w:jc w:val="center"/>
        <w:rPr>
          <w:rFonts w:ascii="黑体" w:hAnsi="黑体"/>
          <w:b w:val="0"/>
        </w:rPr>
      </w:pPr>
      <w:bookmarkStart w:id="10" w:name="_Toc136533365"/>
      <w:r>
        <w:rPr>
          <w:rFonts w:hint="eastAsia" w:ascii="黑体" w:hAnsi="黑体"/>
          <w:b w:val="0"/>
        </w:rPr>
        <w:t>2 数据</w:t>
      </w:r>
      <w:bookmarkEnd w:id="10"/>
    </w:p>
    <w:p>
      <w:pPr>
        <w:pStyle w:val="3"/>
        <w:spacing w:before="156" w:after="156"/>
        <w:rPr>
          <w:rFonts w:ascii="黑体" w:hAnsi="黑体"/>
        </w:rPr>
      </w:pPr>
      <w:bookmarkStart w:id="11" w:name="_Toc136533366"/>
      <w:r>
        <w:rPr>
          <w:rFonts w:hint="eastAsia" w:ascii="黑体" w:hAnsi="黑体"/>
        </w:rPr>
        <w:t>2.1 数据来源及介绍</w:t>
      </w:r>
      <w:bookmarkEnd w:id="11"/>
    </w:p>
    <w:p>
      <w:pPr>
        <w:spacing w:before="156" w:beforeLines="50" w:after="156" w:afterLines="50" w:line="400" w:lineRule="exact"/>
        <w:ind w:firstLine="480" w:firstLineChars="200"/>
        <w:rPr>
          <w:rFonts w:ascii="宋体" w:hAnsi="宋体"/>
          <w:sz w:val="24"/>
          <w:szCs w:val="24"/>
        </w:rPr>
      </w:pPr>
      <w:r>
        <w:rPr>
          <w:rFonts w:hint="eastAsia" w:ascii="宋体" w:hAnsi="宋体"/>
          <w:sz w:val="24"/>
          <w:szCs w:val="24"/>
        </w:rPr>
        <w:t>本项目所选的数据集是来自和鲸社区的数据集，共两个数据集，分别是“居民人均消费支出.txt”和“2000-2019年分地区人均可支配收入、城市和农村可支配收入以及泰尔指数.xlsx”。</w:t>
      </w:r>
    </w:p>
    <w:p>
      <w:pPr>
        <w:spacing w:before="156" w:beforeLines="50" w:after="156" w:afterLines="50" w:line="400" w:lineRule="exact"/>
        <w:ind w:firstLine="480" w:firstLineChars="200"/>
        <w:rPr>
          <w:rFonts w:ascii="宋体" w:hAnsi="宋体"/>
          <w:sz w:val="24"/>
          <w:szCs w:val="24"/>
        </w:rPr>
      </w:pPr>
      <w:r>
        <w:rPr>
          <w:rFonts w:hint="eastAsia" w:ascii="宋体" w:hAnsi="宋体"/>
          <w:sz w:val="24"/>
          <w:szCs w:val="24"/>
        </w:rPr>
        <w:t>部分数据展示分别如下图2</w:t>
      </w:r>
      <w:r>
        <w:rPr>
          <w:rFonts w:ascii="宋体" w:hAnsi="宋体"/>
          <w:sz w:val="24"/>
          <w:szCs w:val="24"/>
        </w:rPr>
        <w:t>.1</w:t>
      </w:r>
      <w:r>
        <w:rPr>
          <w:rFonts w:hint="eastAsia" w:ascii="宋体" w:hAnsi="宋体"/>
          <w:sz w:val="24"/>
          <w:szCs w:val="24"/>
        </w:rPr>
        <w:t>、图2</w:t>
      </w:r>
      <w:r>
        <w:rPr>
          <w:rFonts w:ascii="宋体" w:hAnsi="宋体"/>
          <w:sz w:val="24"/>
          <w:szCs w:val="24"/>
        </w:rPr>
        <w:t>.2</w:t>
      </w:r>
      <w:r>
        <w:rPr>
          <w:rFonts w:hint="eastAsia" w:ascii="宋体" w:hAnsi="宋体"/>
          <w:sz w:val="24"/>
          <w:szCs w:val="24"/>
        </w:rPr>
        <w:t>所示：</w:t>
      </w:r>
    </w:p>
    <w:p>
      <w:pPr>
        <w:spacing w:before="156" w:beforeLines="50" w:after="156" w:afterLines="50"/>
        <w:jc w:val="center"/>
        <w:rPr>
          <w:rFonts w:ascii="宋体" w:hAnsi="宋体"/>
          <w:szCs w:val="21"/>
        </w:rPr>
      </w:pPr>
      <w:r>
        <w:drawing>
          <wp:inline distT="0" distB="0" distL="0" distR="0">
            <wp:extent cx="5400040" cy="20383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tretch>
                      <a:fillRect/>
                    </a:stretch>
                  </pic:blipFill>
                  <pic:spPr>
                    <a:xfrm>
                      <a:off x="0" y="0"/>
                      <a:ext cx="5400040" cy="2038350"/>
                    </a:xfrm>
                    <a:prstGeom prst="rect">
                      <a:avLst/>
                    </a:prstGeom>
                  </pic:spPr>
                </pic:pic>
              </a:graphicData>
            </a:graphic>
          </wp:inline>
        </w:drawing>
      </w:r>
    </w:p>
    <w:p>
      <w:pPr>
        <w:spacing w:before="156" w:beforeLines="50" w:after="156" w:afterLines="50"/>
        <w:jc w:val="center"/>
        <w:rPr>
          <w:rFonts w:ascii="宋体" w:hAnsi="宋体"/>
          <w:szCs w:val="21"/>
        </w:rPr>
      </w:pPr>
      <w:r>
        <w:rPr>
          <w:rFonts w:hint="eastAsia" w:ascii="宋体" w:hAnsi="宋体"/>
          <w:szCs w:val="21"/>
        </w:rPr>
        <w:t>图</w:t>
      </w:r>
      <w:r>
        <w:rPr>
          <w:rFonts w:ascii="宋体" w:hAnsi="宋体"/>
          <w:szCs w:val="21"/>
        </w:rPr>
        <w:t xml:space="preserve">2.1 </w:t>
      </w:r>
      <w:r>
        <w:rPr>
          <w:rFonts w:hint="eastAsia" w:ascii="宋体" w:hAnsi="宋体"/>
          <w:szCs w:val="21"/>
        </w:rPr>
        <w:t>泰尔指数数据集</w:t>
      </w:r>
    </w:p>
    <w:p>
      <w:pPr>
        <w:spacing w:before="156" w:beforeLines="50" w:after="156" w:afterLines="50"/>
        <w:jc w:val="center"/>
        <w:rPr>
          <w:rFonts w:ascii="宋体" w:hAnsi="宋体"/>
          <w:szCs w:val="21"/>
        </w:rPr>
      </w:pPr>
      <w:r>
        <w:drawing>
          <wp:inline distT="0" distB="0" distL="0" distR="0">
            <wp:extent cx="5400040" cy="24663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stretch>
                      <a:fillRect/>
                    </a:stretch>
                  </pic:blipFill>
                  <pic:spPr>
                    <a:xfrm>
                      <a:off x="0" y="0"/>
                      <a:ext cx="5400040" cy="2466340"/>
                    </a:xfrm>
                    <a:prstGeom prst="rect">
                      <a:avLst/>
                    </a:prstGeom>
                  </pic:spPr>
                </pic:pic>
              </a:graphicData>
            </a:graphic>
          </wp:inline>
        </w:drawing>
      </w:r>
    </w:p>
    <w:p>
      <w:pPr>
        <w:spacing w:before="156" w:beforeLines="50" w:after="156" w:afterLines="50"/>
        <w:jc w:val="center"/>
        <w:rPr>
          <w:rFonts w:ascii="宋体" w:hAnsi="宋体"/>
          <w:szCs w:val="21"/>
        </w:rPr>
      </w:pPr>
      <w:r>
        <w:rPr>
          <w:rFonts w:hint="eastAsia" w:ascii="宋体" w:hAnsi="宋体"/>
          <w:szCs w:val="21"/>
        </w:rPr>
        <w:t>图2</w:t>
      </w:r>
      <w:r>
        <w:rPr>
          <w:rFonts w:ascii="宋体" w:hAnsi="宋体"/>
          <w:szCs w:val="21"/>
        </w:rPr>
        <w:t xml:space="preserve">.2 </w:t>
      </w:r>
      <w:r>
        <w:rPr>
          <w:rFonts w:hint="eastAsia" w:ascii="宋体" w:hAnsi="宋体"/>
          <w:szCs w:val="21"/>
        </w:rPr>
        <w:t>人均消费支出数据集</w:t>
      </w:r>
    </w:p>
    <w:p>
      <w:pPr>
        <w:spacing w:before="156" w:beforeLines="50" w:after="156" w:afterLines="50" w:line="400" w:lineRule="exact"/>
        <w:ind w:firstLine="480" w:firstLineChars="200"/>
        <w:rPr>
          <w:rFonts w:ascii="宋体" w:hAnsi="宋体"/>
          <w:b/>
          <w:bCs/>
          <w:sz w:val="24"/>
          <w:szCs w:val="24"/>
        </w:rPr>
      </w:pPr>
      <w:r>
        <w:rPr>
          <w:rFonts w:hint="eastAsia" w:ascii="宋体" w:hAnsi="宋体"/>
          <w:sz w:val="24"/>
          <w:szCs w:val="24"/>
        </w:rPr>
        <w:t>其中“居民人均消费支出.txt”数据集包含了全国及各地区的人均收入、消费支出和具体不同类型消费额度数据；“2000-2019年分地区人均可支配收入、城市和农村可支配收入以及泰尔指数.xlsx”数据集</w:t>
      </w:r>
      <w:r>
        <w:rPr>
          <w:rFonts w:hint="eastAsia" w:ascii="宋体" w:hAnsi="宋体" w:cs="Arial"/>
          <w:color w:val="000000"/>
          <w:sz w:val="24"/>
          <w:szCs w:val="21"/>
        </w:rPr>
        <w:t>包含了2000年到2019年中国各地区的人均可支配收入、城市和农村可支配收入以及泰尔指数等指标。</w:t>
      </w:r>
    </w:p>
    <w:p>
      <w:pPr>
        <w:ind w:firstLine="480" w:firstLineChars="200"/>
        <w:rPr>
          <w:rFonts w:ascii="宋体" w:hAnsi="宋体"/>
          <w:sz w:val="24"/>
          <w:szCs w:val="24"/>
        </w:rPr>
      </w:pPr>
    </w:p>
    <w:p>
      <w:pPr>
        <w:pStyle w:val="3"/>
        <w:spacing w:before="156" w:after="156"/>
      </w:pPr>
      <w:bookmarkStart w:id="12" w:name="_Toc136533367"/>
      <w:r>
        <w:rPr>
          <w:rFonts w:hint="eastAsia" w:ascii="黑体" w:hAnsi="黑体"/>
        </w:rPr>
        <w:t>2.2 重要指标介绍</w:t>
      </w:r>
      <w:bookmarkEnd w:id="12"/>
    </w:p>
    <w:p>
      <w:pPr>
        <w:pStyle w:val="4"/>
        <w:spacing w:before="156" w:after="156"/>
        <w:rPr>
          <w:rFonts w:ascii="黑体" w:hAnsi="黑体"/>
        </w:rPr>
      </w:pPr>
      <w:bookmarkStart w:id="13" w:name="_Toc21869"/>
      <w:bookmarkStart w:id="14" w:name="_Toc12518"/>
      <w:bookmarkStart w:id="15" w:name="_Toc450915145"/>
      <w:bookmarkStart w:id="16" w:name="_Toc452627347"/>
      <w:bookmarkStart w:id="17" w:name="_Toc450915686"/>
      <w:bookmarkStart w:id="18" w:name="_Toc32055"/>
      <w:bookmarkStart w:id="19" w:name="_Toc22774"/>
      <w:bookmarkStart w:id="20" w:name="_Toc8821"/>
      <w:bookmarkStart w:id="21" w:name="_Toc136533368"/>
      <w:r>
        <w:rPr>
          <w:rFonts w:hint="eastAsia" w:ascii="黑体" w:hAnsi="黑体"/>
        </w:rPr>
        <w:t>2.2.</w:t>
      </w:r>
      <w:r>
        <w:rPr>
          <w:rFonts w:ascii="黑体" w:hAnsi="黑体"/>
        </w:rPr>
        <w:t>1</w:t>
      </w:r>
      <w:r>
        <w:rPr>
          <w:rFonts w:hint="eastAsia" w:ascii="黑体" w:hAnsi="黑体"/>
        </w:rPr>
        <w:t xml:space="preserve"> </w:t>
      </w:r>
      <w:bookmarkEnd w:id="13"/>
      <w:bookmarkEnd w:id="14"/>
      <w:bookmarkEnd w:id="15"/>
      <w:bookmarkEnd w:id="16"/>
      <w:bookmarkEnd w:id="17"/>
      <w:bookmarkEnd w:id="18"/>
      <w:bookmarkEnd w:id="19"/>
      <w:bookmarkEnd w:id="20"/>
      <w:r>
        <w:rPr>
          <w:rFonts w:hint="eastAsia" w:ascii="黑体" w:hAnsi="黑体"/>
        </w:rPr>
        <w:t>城镇化率</w:t>
      </w:r>
      <w:bookmarkEnd w:id="21"/>
    </w:p>
    <w:p>
      <w:pPr>
        <w:spacing w:before="156" w:beforeLines="50" w:after="156" w:afterLines="50" w:line="400" w:lineRule="exact"/>
        <w:ind w:firstLine="480" w:firstLineChars="200"/>
        <w:rPr>
          <w:sz w:val="24"/>
          <w:szCs w:val="24"/>
        </w:rPr>
      </w:pPr>
      <w:r>
        <w:rPr>
          <w:rFonts w:hint="eastAsia"/>
          <w:sz w:val="24"/>
          <w:szCs w:val="24"/>
        </w:rPr>
        <w:t>城镇化率是指一个国家、地区或特定地点的城镇人口占总人口的比例。它通常用百分比表示。城镇化率的计算基于居住在城市和乡村的人口之间的区别。城市通常具有更高的人口密度、更多的经济和社会机会以及更发达的基础设施，而乡村则具有更多的农业和自然资源。</w:t>
      </w:r>
    </w:p>
    <w:p>
      <w:pPr>
        <w:spacing w:before="156" w:beforeLines="50" w:after="156" w:afterLines="50" w:line="400" w:lineRule="exact"/>
        <w:ind w:firstLine="480" w:firstLineChars="200"/>
        <w:rPr>
          <w:sz w:val="24"/>
          <w:szCs w:val="24"/>
        </w:rPr>
      </w:pPr>
      <w:r>
        <w:rPr>
          <w:rFonts w:hint="eastAsia"/>
          <w:sz w:val="24"/>
          <w:szCs w:val="24"/>
        </w:rPr>
        <w:t>城镇化率的提高反映了人们从农村地区迁移到城市地区的趋势。这种趋势通常与工业化、经济发展和社会变革有关。城镇化率的增长可以导致城市人口的增加，城市基础设施的建设和扩张，以及农村地区的人口减少和农业活动的减少。</w:t>
      </w:r>
    </w:p>
    <w:p>
      <w:pPr>
        <w:spacing w:before="156" w:beforeLines="50" w:after="156" w:afterLines="50" w:line="400" w:lineRule="exact"/>
        <w:ind w:firstLine="480" w:firstLineChars="200"/>
        <w:rPr>
          <w:sz w:val="24"/>
          <w:szCs w:val="24"/>
        </w:rPr>
      </w:pPr>
      <w:r>
        <w:rPr>
          <w:rFonts w:hint="eastAsia"/>
          <w:sz w:val="24"/>
          <w:szCs w:val="24"/>
        </w:rPr>
        <w:t>城镇化率的高低对一个国家或地区的发展具有重要的影响。高度城镇化的国家通常拥有更多的就业机会、更丰富的经济活动和更高的生活水平。然而，城镇化也可能带来一些挑战，例如城市贫困、环境问题和基础设施压力。</w:t>
      </w:r>
    </w:p>
    <w:p>
      <w:pPr>
        <w:spacing w:before="156" w:beforeLines="50" w:after="156" w:afterLines="50" w:line="400" w:lineRule="exact"/>
        <w:ind w:firstLine="480" w:firstLineChars="200"/>
        <w:rPr>
          <w:sz w:val="24"/>
          <w:szCs w:val="24"/>
        </w:rPr>
      </w:pPr>
      <w:r>
        <w:rPr>
          <w:rFonts w:hint="eastAsia"/>
          <w:sz w:val="24"/>
          <w:szCs w:val="24"/>
        </w:rPr>
        <w:t>城镇化率是衡量一个地区发展和人口分布的重要指标，政府和研究机构经常使用它来评估和监测城市化的进程和影响。</w:t>
      </w:r>
    </w:p>
    <w:p>
      <w:pPr>
        <w:spacing w:before="156" w:beforeLines="50" w:after="156" w:afterLines="50" w:line="400" w:lineRule="exact"/>
        <w:rPr>
          <w:sz w:val="24"/>
          <w:szCs w:val="24"/>
        </w:rPr>
      </w:pPr>
    </w:p>
    <w:p>
      <w:pPr>
        <w:pStyle w:val="4"/>
        <w:spacing w:before="156" w:after="156"/>
        <w:rPr>
          <w:rFonts w:ascii="黑体" w:hAnsi="黑体"/>
        </w:rPr>
      </w:pPr>
      <w:bookmarkStart w:id="22" w:name="_Toc136533369"/>
      <w:r>
        <w:rPr>
          <w:rFonts w:hint="eastAsia" w:ascii="黑体" w:hAnsi="黑体"/>
        </w:rPr>
        <w:t>2.2.</w:t>
      </w:r>
      <w:r>
        <w:rPr>
          <w:rFonts w:ascii="黑体" w:hAnsi="黑体"/>
        </w:rPr>
        <w:t>2</w:t>
      </w:r>
      <w:r>
        <w:rPr>
          <w:rFonts w:hint="eastAsia" w:ascii="黑体" w:hAnsi="黑体"/>
        </w:rPr>
        <w:t xml:space="preserve"> 泰尔指数</w:t>
      </w:r>
      <w:bookmarkEnd w:id="22"/>
    </w:p>
    <w:p>
      <w:pPr>
        <w:spacing w:before="156" w:beforeLines="50" w:after="156" w:afterLines="50" w:line="400" w:lineRule="exact"/>
        <w:ind w:firstLine="480" w:firstLineChars="200"/>
        <w:rPr>
          <w:rFonts w:ascii="宋体" w:hAnsi="宋体"/>
          <w:sz w:val="24"/>
          <w:szCs w:val="24"/>
        </w:rPr>
      </w:pPr>
      <w:r>
        <w:rPr>
          <w:rFonts w:hint="eastAsia" w:ascii="宋体" w:hAnsi="宋体"/>
          <w:sz w:val="24"/>
          <w:szCs w:val="24"/>
        </w:rPr>
        <w:t>泰尔指数的另一个名称是泰尔熵标准 (Theil’s entropy measure)。这一指数经常被使用。泰尔熵标准是由泰尔 (Theil,1967)利用信息理论中的熵概念来计算收入不平等而得名。</w:t>
      </w:r>
    </w:p>
    <w:p>
      <w:pPr>
        <w:spacing w:before="156" w:beforeLines="50" w:after="156" w:afterLines="50" w:line="400" w:lineRule="exact"/>
        <w:ind w:firstLine="480" w:firstLineChars="200"/>
        <w:rPr>
          <w:rFonts w:ascii="宋体" w:hAnsi="宋体"/>
          <w:sz w:val="24"/>
          <w:szCs w:val="24"/>
        </w:rPr>
      </w:pPr>
      <w:r>
        <w:rPr>
          <w:rFonts w:hint="eastAsia" w:ascii="宋体" w:hAnsi="宋体"/>
          <w:sz w:val="24"/>
          <w:szCs w:val="24"/>
        </w:rPr>
        <w:t>泰尔指数（Theil Index）是一种常用的不平等度量指标，用于衡量某个领域内的收入或财富分布的不平等程度。它可以用来评估一个国家、地区或群体内部的经济不平等状况。</w:t>
      </w:r>
    </w:p>
    <w:p>
      <w:pPr>
        <w:spacing w:before="156" w:beforeLines="50" w:after="156" w:afterLines="50" w:line="400" w:lineRule="exact"/>
        <w:ind w:firstLine="480" w:firstLineChars="200"/>
        <w:rPr>
          <w:rFonts w:ascii="宋体" w:hAnsi="宋体"/>
          <w:sz w:val="24"/>
          <w:szCs w:val="24"/>
        </w:rPr>
      </w:pPr>
      <w:r>
        <w:rPr>
          <w:rFonts w:hint="eastAsia" w:ascii="宋体" w:hAnsi="宋体"/>
          <w:sz w:val="24"/>
          <w:szCs w:val="24"/>
        </w:rPr>
        <w:t>泰尔指数的计算方法涉及个体收入或财富的相对比例。它基于信息熵的概念，通过将整体的不平等性与个体之间的差异相结合，来度量不平等的程度。</w:t>
      </w:r>
    </w:p>
    <w:p>
      <w:pPr>
        <w:spacing w:before="156" w:beforeLines="50" w:after="156" w:afterLines="50" w:line="400" w:lineRule="exact"/>
        <w:ind w:firstLine="480" w:firstLineChars="200"/>
        <w:rPr>
          <w:rFonts w:ascii="宋体" w:hAnsi="宋体"/>
          <w:sz w:val="24"/>
          <w:szCs w:val="24"/>
        </w:rPr>
      </w:pPr>
      <w:r>
        <w:rPr>
          <w:rFonts w:hint="eastAsia" w:ascii="宋体" w:hAnsi="宋体"/>
          <w:sz w:val="24"/>
          <w:szCs w:val="24"/>
        </w:rPr>
        <w:t>泰尔指数的取值范围通常在0到1之间，其中0表示完全平等，1表示最大的不平等。如果泰尔指数为0.5，表示一半的总收入或财富集中在少数一半的人手中。</w:t>
      </w:r>
    </w:p>
    <w:p>
      <w:pPr>
        <w:spacing w:before="156" w:beforeLines="50" w:after="156" w:afterLines="50" w:line="400" w:lineRule="exact"/>
        <w:ind w:firstLine="480" w:firstLineChars="200"/>
        <w:rPr>
          <w:rFonts w:ascii="宋体" w:hAnsi="宋体"/>
          <w:sz w:val="24"/>
          <w:szCs w:val="24"/>
        </w:rPr>
      </w:pPr>
      <w:r>
        <w:rPr>
          <w:rFonts w:hint="eastAsia" w:ascii="宋体" w:hAnsi="宋体"/>
          <w:sz w:val="24"/>
          <w:szCs w:val="24"/>
        </w:rPr>
        <w:t>计算泰尔指数的方法有多种，其中一种常用的方式是通过将个体的收入或财富按照大小排序，然后计算相对差异的平均值。具体的计算公式可能会根据研究领域和具体的数据集而有所不同。</w:t>
      </w:r>
    </w:p>
    <w:p>
      <w:pPr>
        <w:spacing w:before="156" w:beforeLines="50" w:after="156" w:afterLines="50" w:line="400" w:lineRule="exact"/>
        <w:ind w:firstLine="480" w:firstLineChars="200"/>
        <w:rPr>
          <w:rFonts w:ascii="宋体" w:hAnsi="宋体"/>
          <w:sz w:val="24"/>
          <w:szCs w:val="24"/>
        </w:rPr>
      </w:pPr>
      <w:r>
        <w:rPr>
          <w:rFonts w:hint="eastAsia" w:ascii="宋体" w:hAnsi="宋体"/>
          <w:sz w:val="24"/>
          <w:szCs w:val="24"/>
        </w:rPr>
        <w:t>泰尔指数在经济学、社会学和政治学等领域得到广泛应用，可以用于比较不同国家或地区的收入或财富分配差异，以及跟踪不平等的变化趋势。它提供了一个定量的指标，用于理解和评估不平等问题，并帮助政策制定者采取相应的措施来解决或减轻不平等。</w:t>
      </w:r>
    </w:p>
    <w:p>
      <w:pPr>
        <w:pStyle w:val="2"/>
        <w:spacing w:before="156" w:after="156"/>
        <w:jc w:val="center"/>
        <w:sectPr>
          <w:headerReference r:id="rId11" w:type="default"/>
          <w:pgSz w:w="11906" w:h="16838"/>
          <w:pgMar w:top="1701" w:right="1701" w:bottom="1418" w:left="1701" w:header="1247" w:footer="1020" w:gutter="0"/>
          <w:cols w:space="720" w:num="1"/>
          <w:docGrid w:type="linesAndChars" w:linePitch="312" w:charSpace="0"/>
        </w:sectPr>
      </w:pPr>
    </w:p>
    <w:p>
      <w:pPr>
        <w:pStyle w:val="2"/>
        <w:spacing w:before="156" w:after="156"/>
        <w:jc w:val="center"/>
      </w:pPr>
      <w:bookmarkStart w:id="23" w:name="_Toc136533370"/>
      <w:r>
        <w:rPr>
          <w:rFonts w:hint="eastAsia"/>
        </w:rPr>
        <w:t>3 数据预处理</w:t>
      </w:r>
      <w:bookmarkEnd w:id="23"/>
    </w:p>
    <w:p>
      <w:pPr>
        <w:pStyle w:val="3"/>
        <w:spacing w:before="156" w:after="156"/>
      </w:pPr>
      <w:bookmarkStart w:id="24" w:name="_Toc136533371"/>
      <w:r>
        <w:rPr>
          <w:rFonts w:hint="eastAsia"/>
        </w:rPr>
        <w:t>3.1 数据读取</w:t>
      </w:r>
      <w:bookmarkEnd w:id="24"/>
    </w:p>
    <w:p>
      <w:pPr>
        <w:spacing w:before="156" w:beforeLines="50" w:after="156" w:afterLines="50" w:line="400" w:lineRule="exact"/>
        <w:ind w:firstLine="480" w:firstLineChars="200"/>
        <w:rPr>
          <w:rFonts w:ascii="宋体" w:hAnsi="宋体"/>
          <w:sz w:val="24"/>
          <w:szCs w:val="24"/>
        </w:rPr>
      </w:pPr>
      <w:r>
        <w:rPr>
          <w:rFonts w:hint="eastAsia" w:ascii="宋体" w:hAnsi="宋体"/>
          <w:sz w:val="24"/>
          <w:szCs w:val="24"/>
        </w:rPr>
        <w:t>由于本次开发所应用的数据集分别有</w:t>
      </w:r>
      <w:r>
        <w:rPr>
          <w:rFonts w:ascii="宋体" w:hAnsi="宋体"/>
          <w:sz w:val="24"/>
          <w:szCs w:val="24"/>
        </w:rPr>
        <w:t>TXT</w:t>
      </w:r>
      <w:r>
        <w:rPr>
          <w:rFonts w:hint="eastAsia" w:ascii="宋体" w:hAnsi="宋体"/>
          <w:sz w:val="24"/>
          <w:szCs w:val="24"/>
        </w:rPr>
        <w:t>与X</w:t>
      </w:r>
      <w:r>
        <w:rPr>
          <w:rFonts w:ascii="宋体" w:hAnsi="宋体"/>
          <w:sz w:val="24"/>
          <w:szCs w:val="24"/>
        </w:rPr>
        <w:t>LSX</w:t>
      </w:r>
      <w:r>
        <w:rPr>
          <w:rFonts w:hint="eastAsia" w:ascii="宋体" w:hAnsi="宋体"/>
          <w:sz w:val="24"/>
          <w:szCs w:val="24"/>
        </w:rPr>
        <w:t>两种格式的文件，因此，读取数据时分别调用pandas函数库中的read_csv</w:t>
      </w:r>
      <w:r>
        <w:rPr>
          <w:rFonts w:ascii="宋体" w:hAnsi="宋体"/>
          <w:sz w:val="24"/>
          <w:szCs w:val="24"/>
        </w:rPr>
        <w:t>()</w:t>
      </w:r>
      <w:r>
        <w:rPr>
          <w:rFonts w:hint="eastAsia" w:ascii="宋体" w:hAnsi="宋体"/>
          <w:sz w:val="24"/>
          <w:szCs w:val="24"/>
        </w:rPr>
        <w:t>与r</w:t>
      </w:r>
      <w:r>
        <w:rPr>
          <w:rFonts w:ascii="宋体" w:hAnsi="宋体"/>
          <w:sz w:val="24"/>
          <w:szCs w:val="24"/>
        </w:rPr>
        <w:t>ead_excel()</w:t>
      </w:r>
      <w:r>
        <w:rPr>
          <w:rFonts w:hint="eastAsia" w:ascii="宋体" w:hAnsi="宋体"/>
          <w:sz w:val="24"/>
          <w:szCs w:val="24"/>
        </w:rPr>
        <w:t>方法对两个数据集进行读取。代码及结果图分别如下图3</w:t>
      </w:r>
      <w:r>
        <w:rPr>
          <w:rFonts w:ascii="宋体" w:hAnsi="宋体"/>
          <w:sz w:val="24"/>
          <w:szCs w:val="24"/>
        </w:rPr>
        <w:t>.1</w:t>
      </w:r>
      <w:r>
        <w:rPr>
          <w:rFonts w:hint="eastAsia" w:ascii="宋体" w:hAnsi="宋体"/>
          <w:sz w:val="24"/>
          <w:szCs w:val="24"/>
        </w:rPr>
        <w:t>、图3</w:t>
      </w:r>
      <w:r>
        <w:rPr>
          <w:rFonts w:ascii="宋体" w:hAnsi="宋体"/>
          <w:sz w:val="24"/>
          <w:szCs w:val="24"/>
        </w:rPr>
        <w:t>.2</w:t>
      </w:r>
      <w:r>
        <w:rPr>
          <w:rFonts w:hint="eastAsia" w:ascii="宋体" w:hAnsi="宋体"/>
          <w:sz w:val="24"/>
          <w:szCs w:val="24"/>
        </w:rPr>
        <w:t>所示：</w:t>
      </w:r>
    </w:p>
    <w:p>
      <w:pPr>
        <w:pStyle w:val="20"/>
        <w:rPr>
          <w:shd w:val="pct10" w:color="auto" w:fill="FFFFFF"/>
        </w:rPr>
      </w:pPr>
      <w:r>
        <w:rPr>
          <w:rFonts w:hint="eastAsia"/>
          <w:shd w:val="pct10" w:color="auto" w:fill="FFFFFF"/>
        </w:rPr>
        <w:t>data_1 = pd.read_excel("2000-2019年分地区人均可支配收入、城市和农村可支配收入以及泰尔指数.xlsx")</w:t>
      </w:r>
    </w:p>
    <w:p>
      <w:pPr>
        <w:pStyle w:val="20"/>
        <w:spacing w:line="240" w:lineRule="auto"/>
        <w:ind w:firstLine="0" w:firstLineChars="0"/>
        <w:jc w:val="center"/>
        <w:rPr>
          <w:shd w:val="pct10" w:color="auto" w:fill="FFFFFF"/>
        </w:rPr>
      </w:pPr>
      <w:r>
        <w:drawing>
          <wp:inline distT="0" distB="0" distL="0" distR="0">
            <wp:extent cx="5400040" cy="22402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5400040" cy="2240280"/>
                    </a:xfrm>
                    <a:prstGeom prst="rect">
                      <a:avLst/>
                    </a:prstGeom>
                  </pic:spPr>
                </pic:pic>
              </a:graphicData>
            </a:graphic>
          </wp:inline>
        </w:drawing>
      </w:r>
    </w:p>
    <w:p>
      <w:pPr>
        <w:pStyle w:val="20"/>
        <w:spacing w:line="240" w:lineRule="auto"/>
        <w:ind w:firstLine="0" w:firstLineChars="0"/>
        <w:jc w:val="center"/>
        <w:rPr>
          <w:sz w:val="21"/>
          <w:szCs w:val="21"/>
          <w:shd w:val="pct10" w:color="auto" w:fill="FFFFFF"/>
        </w:rPr>
      </w:pPr>
      <w:r>
        <w:rPr>
          <w:rFonts w:hint="eastAsia"/>
          <w:sz w:val="21"/>
          <w:szCs w:val="21"/>
        </w:rPr>
        <w:t>图</w:t>
      </w:r>
      <w:r>
        <w:rPr>
          <w:sz w:val="21"/>
          <w:szCs w:val="21"/>
        </w:rPr>
        <w:t xml:space="preserve">3.1 </w:t>
      </w:r>
      <w:r>
        <w:rPr>
          <w:rFonts w:hint="eastAsia"/>
          <w:sz w:val="21"/>
          <w:szCs w:val="21"/>
        </w:rPr>
        <w:t>读取泰尔指数数据</w:t>
      </w:r>
    </w:p>
    <w:p>
      <w:pPr>
        <w:spacing w:before="156" w:beforeLines="50" w:after="156" w:afterLines="50" w:line="400" w:lineRule="exact"/>
        <w:ind w:firstLine="480" w:firstLineChars="200"/>
        <w:rPr>
          <w:rFonts w:ascii="宋体" w:hAnsi="宋体"/>
          <w:sz w:val="24"/>
          <w:szCs w:val="24"/>
          <w:shd w:val="pct10" w:color="auto" w:fill="FFFFFF"/>
        </w:rPr>
      </w:pPr>
      <w:r>
        <w:rPr>
          <w:rFonts w:hint="eastAsia" w:ascii="宋体" w:hAnsi="宋体"/>
          <w:sz w:val="24"/>
          <w:szCs w:val="24"/>
          <w:shd w:val="pct10" w:color="auto" w:fill="FFFFFF"/>
        </w:rPr>
        <w:t>data_2 = pd.read_csv("居民人均消费支出.txt",sep=' ')</w:t>
      </w:r>
    </w:p>
    <w:p>
      <w:pPr>
        <w:spacing w:before="156" w:beforeLines="50" w:after="156" w:afterLines="50"/>
        <w:jc w:val="center"/>
        <w:rPr>
          <w:rFonts w:ascii="宋体" w:hAnsi="宋体"/>
          <w:sz w:val="24"/>
          <w:szCs w:val="24"/>
        </w:rPr>
      </w:pPr>
      <w:r>
        <w:drawing>
          <wp:inline distT="0" distB="0" distL="0" distR="0">
            <wp:extent cx="5400040" cy="29184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1"/>
                    <a:stretch>
                      <a:fillRect/>
                    </a:stretch>
                  </pic:blipFill>
                  <pic:spPr>
                    <a:xfrm>
                      <a:off x="0" y="0"/>
                      <a:ext cx="5400040" cy="2918460"/>
                    </a:xfrm>
                    <a:prstGeom prst="rect">
                      <a:avLst/>
                    </a:prstGeom>
                  </pic:spPr>
                </pic:pic>
              </a:graphicData>
            </a:graphic>
          </wp:inline>
        </w:drawing>
      </w:r>
    </w:p>
    <w:p>
      <w:pPr>
        <w:spacing w:before="156" w:beforeLines="50" w:after="156" w:afterLines="50"/>
        <w:jc w:val="center"/>
        <w:rPr>
          <w:rFonts w:ascii="宋体" w:hAnsi="宋体"/>
          <w:szCs w:val="21"/>
        </w:rPr>
      </w:pPr>
      <w:r>
        <w:rPr>
          <w:rFonts w:hint="eastAsia" w:ascii="宋体" w:hAnsi="宋体"/>
          <w:szCs w:val="21"/>
        </w:rPr>
        <w:t>图</w:t>
      </w:r>
      <w:r>
        <w:rPr>
          <w:rFonts w:ascii="宋体" w:hAnsi="宋体"/>
          <w:szCs w:val="21"/>
        </w:rPr>
        <w:t xml:space="preserve">3.2 </w:t>
      </w:r>
      <w:r>
        <w:rPr>
          <w:rFonts w:hint="eastAsia" w:ascii="宋体" w:hAnsi="宋体"/>
          <w:szCs w:val="21"/>
        </w:rPr>
        <w:t>读取人均消费支出数据</w:t>
      </w:r>
    </w:p>
    <w:p>
      <w:pPr>
        <w:pStyle w:val="3"/>
        <w:spacing w:before="156" w:after="156"/>
      </w:pPr>
      <w:bookmarkStart w:id="25" w:name="_Toc136533372"/>
      <w:r>
        <w:rPr>
          <w:rFonts w:hint="eastAsia"/>
        </w:rPr>
        <w:t>3.2 重复值处理</w:t>
      </w:r>
      <w:bookmarkEnd w:id="25"/>
    </w:p>
    <w:p>
      <w:pPr>
        <w:spacing w:before="156" w:beforeLines="50" w:after="156" w:afterLines="50" w:line="400" w:lineRule="exact"/>
        <w:ind w:firstLine="480" w:firstLineChars="200"/>
        <w:rPr>
          <w:rFonts w:ascii="宋体" w:hAnsi="宋体"/>
          <w:sz w:val="24"/>
          <w:szCs w:val="24"/>
        </w:rPr>
      </w:pPr>
      <w:r>
        <w:rPr>
          <w:rFonts w:hint="eastAsia" w:ascii="宋体" w:hAnsi="宋体"/>
          <w:sz w:val="24"/>
          <w:szCs w:val="24"/>
        </w:rPr>
        <w:t>重复值是指样本数据中某个或某些数据记录完全相同，主要是由于人工录入、机械故障等导致部分数据重复录入。重复值主要有两种处理方式，即删除重复值和保留重复值，其中删除重复值是比较常见的方式，其目的在于保留唯一的数据记录。需要说明的是，在分析演变规律、样本不均衡处理、业务规则等场景中，重复值具有一定的使用价值，需保留。</w:t>
      </w:r>
    </w:p>
    <w:p>
      <w:pPr>
        <w:spacing w:before="156" w:beforeLines="50" w:after="156" w:afterLines="50" w:line="400" w:lineRule="exact"/>
        <w:ind w:firstLine="480" w:firstLineChars="200"/>
        <w:rPr>
          <w:rFonts w:ascii="宋体" w:hAnsi="宋体"/>
          <w:sz w:val="24"/>
          <w:szCs w:val="24"/>
        </w:rPr>
      </w:pPr>
      <w:r>
        <w:rPr>
          <w:rFonts w:hint="eastAsia" w:ascii="宋体" w:hAnsi="宋体"/>
          <w:sz w:val="24"/>
          <w:szCs w:val="24"/>
        </w:rPr>
        <w:t>在本次开发的读取数据阶段，同时对数据进行了去重操作，具体代码如下：</w:t>
      </w:r>
    </w:p>
    <w:p>
      <w:pPr>
        <w:spacing w:before="156" w:beforeLines="50" w:after="156" w:afterLines="50" w:line="400" w:lineRule="exact"/>
        <w:ind w:firstLine="480" w:firstLineChars="200"/>
        <w:rPr>
          <w:rFonts w:ascii="宋体" w:hAnsi="宋体"/>
          <w:sz w:val="24"/>
          <w:szCs w:val="24"/>
          <w:shd w:val="pct10" w:color="auto" w:fill="FFFFFF"/>
        </w:rPr>
      </w:pPr>
      <w:r>
        <w:rPr>
          <w:rFonts w:ascii="宋体" w:hAnsi="宋体"/>
          <w:sz w:val="24"/>
          <w:szCs w:val="24"/>
          <w:shd w:val="pct10" w:color="auto" w:fill="FFFFFF"/>
        </w:rPr>
        <w:t>data_1.drop_duplicates(inplace=True)</w:t>
      </w:r>
    </w:p>
    <w:p>
      <w:pPr>
        <w:spacing w:before="156" w:beforeLines="50" w:after="156" w:afterLines="50" w:line="400" w:lineRule="exact"/>
        <w:ind w:firstLine="480" w:firstLineChars="200"/>
        <w:rPr>
          <w:rFonts w:ascii="宋体" w:hAnsi="宋体"/>
          <w:sz w:val="24"/>
          <w:szCs w:val="24"/>
          <w:shd w:val="pct10" w:color="auto" w:fill="FFFFFF"/>
        </w:rPr>
      </w:pPr>
      <w:r>
        <w:rPr>
          <w:rFonts w:ascii="宋体" w:hAnsi="宋体"/>
          <w:sz w:val="24"/>
          <w:szCs w:val="24"/>
          <w:shd w:val="pct10" w:color="auto" w:fill="FFFFFF"/>
        </w:rPr>
        <w:t>data_2.drop_duplicates(inplace=True)</w:t>
      </w:r>
    </w:p>
    <w:p>
      <w:pPr>
        <w:spacing w:before="156" w:beforeLines="50" w:after="156" w:afterLines="50" w:line="400" w:lineRule="exact"/>
        <w:ind w:firstLine="480" w:firstLineChars="200"/>
        <w:rPr>
          <w:rFonts w:ascii="宋体" w:hAnsi="宋体"/>
          <w:sz w:val="24"/>
          <w:szCs w:val="24"/>
        </w:rPr>
      </w:pPr>
      <w:r>
        <w:rPr>
          <w:rFonts w:hint="eastAsia" w:ascii="宋体" w:hAnsi="宋体"/>
          <w:sz w:val="24"/>
          <w:szCs w:val="24"/>
        </w:rPr>
        <w:t>执行这一步的操作后，再通过调用pandas中的duplicated()方法，对两个数据集分别进行重复值检测，结果显示不再存在重复值。具体代码及结果图分别如下图3</w:t>
      </w:r>
      <w:r>
        <w:rPr>
          <w:rFonts w:ascii="宋体" w:hAnsi="宋体"/>
          <w:sz w:val="24"/>
          <w:szCs w:val="24"/>
        </w:rPr>
        <w:t>.3</w:t>
      </w:r>
      <w:r>
        <w:rPr>
          <w:rFonts w:hint="eastAsia" w:ascii="宋体" w:hAnsi="宋体"/>
          <w:sz w:val="24"/>
          <w:szCs w:val="24"/>
        </w:rPr>
        <w:t>、图3</w:t>
      </w:r>
      <w:r>
        <w:rPr>
          <w:rFonts w:ascii="宋体" w:hAnsi="宋体"/>
          <w:sz w:val="24"/>
          <w:szCs w:val="24"/>
        </w:rPr>
        <w:t>.4</w:t>
      </w:r>
      <w:r>
        <w:rPr>
          <w:rFonts w:hint="eastAsia" w:ascii="宋体" w:hAnsi="宋体"/>
          <w:sz w:val="24"/>
          <w:szCs w:val="24"/>
        </w:rPr>
        <w:t>所示：</w:t>
      </w:r>
    </w:p>
    <w:p>
      <w:pPr>
        <w:spacing w:before="156" w:beforeLines="50" w:after="156" w:afterLines="50" w:line="400" w:lineRule="exact"/>
        <w:ind w:firstLine="480" w:firstLineChars="200"/>
        <w:rPr>
          <w:rFonts w:ascii="宋体" w:hAnsi="宋体"/>
          <w:sz w:val="24"/>
          <w:szCs w:val="24"/>
          <w:shd w:val="pct10" w:color="auto" w:fill="FFFFFF"/>
        </w:rPr>
      </w:pPr>
      <w:r>
        <w:rPr>
          <w:rFonts w:ascii="宋体" w:hAnsi="宋体"/>
          <w:sz w:val="24"/>
          <w:szCs w:val="24"/>
          <w:shd w:val="pct10" w:color="auto" w:fill="FFFFFF"/>
        </w:rPr>
        <w:t>data_1[data_1.duplicated()]</w:t>
      </w:r>
    </w:p>
    <w:p>
      <w:pPr>
        <w:spacing w:before="156" w:beforeLines="50" w:after="156" w:afterLines="50"/>
        <w:jc w:val="center"/>
        <w:rPr>
          <w:rFonts w:ascii="宋体" w:hAnsi="宋体"/>
          <w:sz w:val="24"/>
          <w:szCs w:val="24"/>
          <w:shd w:val="pct10" w:color="auto" w:fill="FFFFFF"/>
        </w:rPr>
      </w:pPr>
      <w:r>
        <w:drawing>
          <wp:inline distT="0" distB="0" distL="0" distR="0">
            <wp:extent cx="5400040" cy="4806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stretch>
                      <a:fillRect/>
                    </a:stretch>
                  </pic:blipFill>
                  <pic:spPr>
                    <a:xfrm>
                      <a:off x="0" y="0"/>
                      <a:ext cx="5400040" cy="480695"/>
                    </a:xfrm>
                    <a:prstGeom prst="rect">
                      <a:avLst/>
                    </a:prstGeom>
                  </pic:spPr>
                </pic:pic>
              </a:graphicData>
            </a:graphic>
          </wp:inline>
        </w:drawing>
      </w:r>
    </w:p>
    <w:p>
      <w:pPr>
        <w:spacing w:before="156" w:beforeLines="50" w:after="156" w:afterLines="50"/>
        <w:jc w:val="center"/>
        <w:rPr>
          <w:rFonts w:ascii="宋体" w:hAnsi="宋体"/>
          <w:szCs w:val="21"/>
        </w:rPr>
      </w:pPr>
      <w:r>
        <w:rPr>
          <w:rFonts w:hint="eastAsia" w:ascii="宋体" w:hAnsi="宋体"/>
          <w:szCs w:val="21"/>
        </w:rPr>
        <w:t>图</w:t>
      </w:r>
      <w:r>
        <w:rPr>
          <w:rFonts w:ascii="宋体" w:hAnsi="宋体"/>
          <w:szCs w:val="21"/>
        </w:rPr>
        <w:t xml:space="preserve">3.3 </w:t>
      </w:r>
      <w:r>
        <w:rPr>
          <w:rFonts w:hint="eastAsia" w:ascii="宋体" w:hAnsi="宋体"/>
          <w:szCs w:val="21"/>
        </w:rPr>
        <w:t>检测泰尔指数数据重复值</w:t>
      </w:r>
    </w:p>
    <w:p>
      <w:pPr>
        <w:spacing w:before="156" w:beforeLines="50" w:after="156" w:afterLines="50" w:line="400" w:lineRule="exact"/>
        <w:ind w:firstLine="480" w:firstLineChars="200"/>
        <w:rPr>
          <w:rFonts w:ascii="宋体" w:hAnsi="宋体"/>
          <w:sz w:val="24"/>
          <w:szCs w:val="24"/>
          <w:shd w:val="pct10" w:color="auto" w:fill="FFFFFF"/>
        </w:rPr>
      </w:pPr>
      <w:r>
        <w:rPr>
          <w:rFonts w:ascii="宋体" w:hAnsi="宋体"/>
          <w:sz w:val="24"/>
          <w:szCs w:val="24"/>
          <w:shd w:val="pct10" w:color="auto" w:fill="FFFFFF"/>
        </w:rPr>
        <w:t>data_2[data_2.duplicated()]</w:t>
      </w:r>
    </w:p>
    <w:p>
      <w:pPr>
        <w:spacing w:before="156" w:beforeLines="50" w:after="156" w:afterLines="50"/>
        <w:jc w:val="center"/>
        <w:rPr>
          <w:rFonts w:ascii="宋体" w:hAnsi="宋体"/>
          <w:sz w:val="24"/>
          <w:szCs w:val="24"/>
          <w:shd w:val="pct10" w:color="auto" w:fill="FFFFFF"/>
        </w:rPr>
      </w:pPr>
      <w:r>
        <w:drawing>
          <wp:inline distT="0" distB="0" distL="0" distR="0">
            <wp:extent cx="5400040" cy="469265"/>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3"/>
                    <a:stretch>
                      <a:fillRect/>
                    </a:stretch>
                  </pic:blipFill>
                  <pic:spPr>
                    <a:xfrm>
                      <a:off x="0" y="0"/>
                      <a:ext cx="5400040" cy="469265"/>
                    </a:xfrm>
                    <a:prstGeom prst="rect">
                      <a:avLst/>
                    </a:prstGeom>
                  </pic:spPr>
                </pic:pic>
              </a:graphicData>
            </a:graphic>
          </wp:inline>
        </w:drawing>
      </w:r>
    </w:p>
    <w:p>
      <w:pPr>
        <w:spacing w:before="156" w:beforeLines="50" w:after="156" w:afterLines="50"/>
        <w:jc w:val="center"/>
        <w:rPr>
          <w:rFonts w:ascii="宋体" w:hAnsi="宋体"/>
          <w:szCs w:val="21"/>
        </w:rPr>
      </w:pPr>
      <w:r>
        <w:rPr>
          <w:rFonts w:hint="eastAsia" w:ascii="宋体" w:hAnsi="宋体"/>
          <w:szCs w:val="21"/>
        </w:rPr>
        <w:t>图</w:t>
      </w:r>
      <w:r>
        <w:rPr>
          <w:rFonts w:ascii="宋体" w:hAnsi="宋体"/>
          <w:szCs w:val="21"/>
        </w:rPr>
        <w:t xml:space="preserve">3.4 </w:t>
      </w:r>
      <w:r>
        <w:rPr>
          <w:rFonts w:hint="eastAsia" w:ascii="宋体" w:hAnsi="宋体"/>
          <w:szCs w:val="21"/>
        </w:rPr>
        <w:t>检测人均消费支出数据重复值</w:t>
      </w:r>
    </w:p>
    <w:p>
      <w:pPr>
        <w:spacing w:before="156" w:beforeLines="50" w:after="156" w:afterLines="50" w:line="400" w:lineRule="exact"/>
      </w:pPr>
    </w:p>
    <w:p>
      <w:pPr>
        <w:pStyle w:val="3"/>
        <w:spacing w:before="156" w:after="156"/>
      </w:pPr>
      <w:bookmarkStart w:id="26" w:name="_Toc136533373"/>
      <w:r>
        <w:rPr>
          <w:rFonts w:hint="eastAsia"/>
        </w:rPr>
        <w:t>3.3 缺失值处理</w:t>
      </w:r>
      <w:bookmarkEnd w:id="26"/>
    </w:p>
    <w:p>
      <w:pPr>
        <w:spacing w:before="156" w:beforeLines="50" w:after="156" w:afterLines="50" w:line="400" w:lineRule="exact"/>
        <w:ind w:firstLine="480" w:firstLineChars="200"/>
        <w:rPr>
          <w:rFonts w:ascii="宋体" w:hAnsi="宋体"/>
          <w:sz w:val="24"/>
          <w:szCs w:val="24"/>
        </w:rPr>
      </w:pPr>
      <w:r>
        <w:rPr>
          <w:rFonts w:hint="eastAsia" w:ascii="宋体" w:hAnsi="宋体"/>
          <w:sz w:val="24"/>
          <w:szCs w:val="24"/>
        </w:rPr>
        <w:t>缺失值是指样本数据中某个或某些属性的值是不全的，主要是由于机械故障、人为因素等导致部分数据未能收集。若使用存在缺失值的数据进行分析，则会降低预测结果的准确率，需通过合适的方式予以处理。缺失值主要有3种处理方式：删除、填充和插补。</w:t>
      </w:r>
    </w:p>
    <w:p>
      <w:pPr>
        <w:spacing w:before="156" w:beforeLines="50" w:after="156" w:afterLines="50" w:line="400" w:lineRule="exact"/>
        <w:ind w:firstLine="480" w:firstLineChars="200"/>
        <w:rPr>
          <w:rFonts w:ascii="宋体" w:hAnsi="宋体"/>
          <w:sz w:val="24"/>
          <w:szCs w:val="24"/>
        </w:rPr>
      </w:pPr>
      <w:r>
        <w:rPr>
          <w:rFonts w:hint="eastAsia" w:ascii="宋体" w:hAnsi="宋体"/>
          <w:sz w:val="24"/>
          <w:szCs w:val="24"/>
        </w:rPr>
        <w:t>对于本次开发，我们通过使用info</w:t>
      </w:r>
      <w:r>
        <w:rPr>
          <w:rFonts w:ascii="宋体" w:hAnsi="宋体"/>
          <w:sz w:val="24"/>
          <w:szCs w:val="24"/>
        </w:rPr>
        <w:t>()</w:t>
      </w:r>
      <w:r>
        <w:rPr>
          <w:rFonts w:hint="eastAsia" w:ascii="宋体" w:hAnsi="宋体"/>
          <w:sz w:val="24"/>
          <w:szCs w:val="24"/>
        </w:rPr>
        <w:t>方法分别查看数据集信息的方式查看是否存在缺失值，由结果可以看出数据集不存在缺失值，故不再进行缺失值的处理。具体代码及结果图分别如下图3</w:t>
      </w:r>
      <w:r>
        <w:rPr>
          <w:rFonts w:ascii="宋体" w:hAnsi="宋体"/>
          <w:sz w:val="24"/>
          <w:szCs w:val="24"/>
        </w:rPr>
        <w:t>.5</w:t>
      </w:r>
      <w:r>
        <w:rPr>
          <w:rFonts w:hint="eastAsia" w:ascii="宋体" w:hAnsi="宋体"/>
          <w:sz w:val="24"/>
          <w:szCs w:val="24"/>
        </w:rPr>
        <w:t>、图3</w:t>
      </w:r>
      <w:r>
        <w:rPr>
          <w:rFonts w:ascii="宋体" w:hAnsi="宋体"/>
          <w:sz w:val="24"/>
          <w:szCs w:val="24"/>
        </w:rPr>
        <w:t>.6</w:t>
      </w:r>
      <w:r>
        <w:rPr>
          <w:rFonts w:hint="eastAsia" w:ascii="宋体" w:hAnsi="宋体"/>
          <w:sz w:val="24"/>
          <w:szCs w:val="24"/>
        </w:rPr>
        <w:t>所示：</w:t>
      </w:r>
    </w:p>
    <w:p>
      <w:pPr>
        <w:spacing w:before="156" w:beforeLines="50" w:after="156" w:afterLines="50" w:line="400" w:lineRule="exact"/>
        <w:ind w:firstLine="480" w:firstLineChars="200"/>
        <w:rPr>
          <w:rFonts w:ascii="宋体" w:hAnsi="宋体"/>
          <w:sz w:val="24"/>
          <w:szCs w:val="24"/>
          <w:shd w:val="pct10" w:color="auto" w:fill="FFFFFF"/>
        </w:rPr>
      </w:pPr>
      <w:r>
        <w:rPr>
          <w:rFonts w:ascii="宋体" w:hAnsi="宋体"/>
          <w:sz w:val="24"/>
          <w:szCs w:val="24"/>
          <w:shd w:val="pct10" w:color="auto" w:fill="FFFFFF"/>
        </w:rPr>
        <w:t>data_1.info()</w:t>
      </w:r>
    </w:p>
    <w:p>
      <w:pPr>
        <w:spacing w:before="156" w:beforeLines="50" w:after="156" w:afterLines="50"/>
        <w:jc w:val="center"/>
        <w:rPr>
          <w:rFonts w:ascii="宋体" w:hAnsi="宋体"/>
          <w:szCs w:val="21"/>
          <w:shd w:val="pct10" w:color="auto" w:fill="FFFFFF"/>
        </w:rPr>
      </w:pPr>
      <w:r>
        <w:drawing>
          <wp:inline distT="0" distB="0" distL="0" distR="0">
            <wp:extent cx="3436620" cy="43510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4"/>
                    <a:stretch>
                      <a:fillRect/>
                    </a:stretch>
                  </pic:blipFill>
                  <pic:spPr>
                    <a:xfrm>
                      <a:off x="0" y="0"/>
                      <a:ext cx="3436918" cy="4351397"/>
                    </a:xfrm>
                    <a:prstGeom prst="rect">
                      <a:avLst/>
                    </a:prstGeom>
                  </pic:spPr>
                </pic:pic>
              </a:graphicData>
            </a:graphic>
          </wp:inline>
        </w:drawing>
      </w:r>
    </w:p>
    <w:p>
      <w:pPr>
        <w:spacing w:before="156" w:beforeLines="50" w:after="156" w:afterLines="50"/>
        <w:jc w:val="center"/>
        <w:rPr>
          <w:rFonts w:ascii="宋体" w:hAnsi="宋体"/>
          <w:szCs w:val="21"/>
        </w:rPr>
      </w:pPr>
      <w:r>
        <w:rPr>
          <w:rFonts w:hint="eastAsia" w:ascii="宋体" w:hAnsi="宋体"/>
          <w:szCs w:val="21"/>
        </w:rPr>
        <w:t>图3</w:t>
      </w:r>
      <w:r>
        <w:rPr>
          <w:rFonts w:ascii="宋体" w:hAnsi="宋体"/>
          <w:szCs w:val="21"/>
        </w:rPr>
        <w:t xml:space="preserve">.5 </w:t>
      </w:r>
      <w:r>
        <w:rPr>
          <w:rFonts w:hint="eastAsia" w:ascii="宋体" w:hAnsi="宋体"/>
          <w:szCs w:val="21"/>
        </w:rPr>
        <w:t>泰尔指数数据集信息</w:t>
      </w:r>
    </w:p>
    <w:p>
      <w:pPr>
        <w:spacing w:before="156" w:beforeLines="50" w:after="156" w:afterLines="50" w:line="400" w:lineRule="exact"/>
        <w:ind w:firstLine="480" w:firstLineChars="200"/>
        <w:rPr>
          <w:rFonts w:ascii="宋体" w:hAnsi="宋体"/>
          <w:sz w:val="24"/>
          <w:szCs w:val="24"/>
          <w:shd w:val="pct10" w:color="auto" w:fill="FFFFFF"/>
        </w:rPr>
      </w:pPr>
      <w:r>
        <w:rPr>
          <w:rFonts w:ascii="宋体" w:hAnsi="宋体"/>
          <w:sz w:val="24"/>
          <w:szCs w:val="24"/>
          <w:shd w:val="pct10" w:color="auto" w:fill="FFFFFF"/>
        </w:rPr>
        <w:t>data_2.info()</w:t>
      </w:r>
    </w:p>
    <w:p>
      <w:pPr>
        <w:spacing w:before="156" w:beforeLines="50" w:after="156" w:afterLines="50"/>
        <w:jc w:val="center"/>
        <w:rPr>
          <w:rFonts w:ascii="宋体" w:hAnsi="宋体"/>
          <w:szCs w:val="21"/>
        </w:rPr>
      </w:pPr>
      <w:r>
        <w:drawing>
          <wp:inline distT="0" distB="0" distL="0" distR="0">
            <wp:extent cx="3025140" cy="2887980"/>
            <wp:effectExtent l="0" t="0" r="381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5"/>
                    <a:stretch>
                      <a:fillRect/>
                    </a:stretch>
                  </pic:blipFill>
                  <pic:spPr>
                    <a:xfrm>
                      <a:off x="0" y="0"/>
                      <a:ext cx="3025402" cy="2888230"/>
                    </a:xfrm>
                    <a:prstGeom prst="rect">
                      <a:avLst/>
                    </a:prstGeom>
                  </pic:spPr>
                </pic:pic>
              </a:graphicData>
            </a:graphic>
          </wp:inline>
        </w:drawing>
      </w:r>
    </w:p>
    <w:p>
      <w:pPr>
        <w:spacing w:before="156" w:beforeLines="50" w:after="156" w:afterLines="50"/>
        <w:jc w:val="center"/>
        <w:rPr>
          <w:rFonts w:ascii="宋体" w:hAnsi="宋体"/>
          <w:szCs w:val="21"/>
        </w:rPr>
      </w:pPr>
      <w:r>
        <w:rPr>
          <w:rFonts w:hint="eastAsia" w:ascii="宋体" w:hAnsi="宋体"/>
          <w:szCs w:val="21"/>
        </w:rPr>
        <w:t>图</w:t>
      </w:r>
      <w:r>
        <w:rPr>
          <w:rFonts w:ascii="宋体" w:hAnsi="宋体"/>
          <w:szCs w:val="21"/>
        </w:rPr>
        <w:t xml:space="preserve">3.6 </w:t>
      </w:r>
      <w:r>
        <w:rPr>
          <w:rFonts w:hint="eastAsia" w:ascii="宋体" w:hAnsi="宋体"/>
          <w:szCs w:val="21"/>
        </w:rPr>
        <w:t>人均消费支出数据集信息</w:t>
      </w:r>
    </w:p>
    <w:p>
      <w:pPr>
        <w:pStyle w:val="2"/>
        <w:spacing w:before="156" w:after="156"/>
        <w:jc w:val="center"/>
        <w:sectPr>
          <w:headerReference r:id="rId12" w:type="default"/>
          <w:pgSz w:w="11906" w:h="16838"/>
          <w:pgMar w:top="1701" w:right="1701" w:bottom="1418" w:left="1701" w:header="1247" w:footer="1020" w:gutter="0"/>
          <w:cols w:space="720" w:num="1"/>
          <w:docGrid w:type="linesAndChars" w:linePitch="312" w:charSpace="0"/>
        </w:sectPr>
      </w:pPr>
    </w:p>
    <w:p>
      <w:pPr>
        <w:pStyle w:val="2"/>
        <w:spacing w:before="156" w:after="156"/>
        <w:jc w:val="center"/>
        <w:rPr>
          <w:rFonts w:eastAsia="宋体"/>
        </w:rPr>
      </w:pPr>
      <w:bookmarkStart w:id="27" w:name="_Toc136533374"/>
      <w:r>
        <w:rPr>
          <w:rFonts w:hint="eastAsia"/>
        </w:rPr>
        <w:t>4</w:t>
      </w:r>
      <w:r>
        <w:t xml:space="preserve"> </w:t>
      </w:r>
      <w:r>
        <w:rPr>
          <w:rFonts w:hint="eastAsia"/>
        </w:rPr>
        <w:t>可视化实现</w:t>
      </w:r>
      <w:bookmarkEnd w:id="27"/>
    </w:p>
    <w:p>
      <w:pPr>
        <w:pStyle w:val="3"/>
        <w:spacing w:before="156" w:after="156"/>
      </w:pPr>
      <w:bookmarkStart w:id="28" w:name="_Toc136533375"/>
      <w:bookmarkStart w:id="29" w:name="_Toc6122"/>
      <w:r>
        <w:rPr>
          <w:rFonts w:hint="eastAsia"/>
        </w:rPr>
        <w:t>4</w:t>
      </w:r>
      <w:r>
        <w:t xml:space="preserve">.1 </w:t>
      </w:r>
      <w:r>
        <w:rPr>
          <w:rFonts w:hint="eastAsia"/>
        </w:rPr>
        <w:t>设计思路</w:t>
      </w:r>
      <w:bookmarkEnd w:id="28"/>
    </w:p>
    <w:p>
      <w:pPr>
        <w:spacing w:before="156" w:beforeLines="50" w:after="156" w:afterLines="50" w:line="400" w:lineRule="exact"/>
        <w:ind w:firstLine="480" w:firstLineChars="200"/>
        <w:rPr>
          <w:rFonts w:ascii="宋体" w:hAnsi="宋体"/>
          <w:sz w:val="24"/>
          <w:szCs w:val="24"/>
        </w:rPr>
      </w:pPr>
      <w:r>
        <w:rPr>
          <w:rFonts w:hint="eastAsia" w:ascii="宋体" w:hAnsi="宋体"/>
          <w:sz w:val="24"/>
          <w:szCs w:val="24"/>
        </w:rPr>
        <w:t>此次开发的设计思路如下图</w:t>
      </w:r>
      <w:r>
        <w:rPr>
          <w:rFonts w:ascii="宋体" w:hAnsi="宋体"/>
          <w:sz w:val="24"/>
          <w:szCs w:val="24"/>
        </w:rPr>
        <w:t>4.1</w:t>
      </w:r>
      <w:r>
        <w:rPr>
          <w:rFonts w:hint="eastAsia" w:ascii="宋体" w:hAnsi="宋体"/>
          <w:sz w:val="24"/>
          <w:szCs w:val="24"/>
        </w:rPr>
        <w:t>所示：</w:t>
      </w:r>
    </w:p>
    <w:p>
      <w:r>
        <w:drawing>
          <wp:inline distT="0" distB="0" distL="0" distR="0">
            <wp:extent cx="5400040" cy="184340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400040" cy="1843405"/>
                    </a:xfrm>
                    <a:prstGeom prst="rect">
                      <a:avLst/>
                    </a:prstGeom>
                    <a:noFill/>
                    <a:ln>
                      <a:noFill/>
                    </a:ln>
                  </pic:spPr>
                </pic:pic>
              </a:graphicData>
            </a:graphic>
          </wp:inline>
        </w:drawing>
      </w:r>
    </w:p>
    <w:p>
      <w:pPr>
        <w:jc w:val="center"/>
        <w:rPr>
          <w:rFonts w:ascii="宋体" w:hAnsi="宋体"/>
        </w:rPr>
      </w:pPr>
      <w:r>
        <w:rPr>
          <w:rFonts w:hint="eastAsia" w:ascii="宋体" w:hAnsi="宋体"/>
        </w:rPr>
        <w:t>图4</w:t>
      </w:r>
      <w:r>
        <w:rPr>
          <w:rFonts w:ascii="宋体" w:hAnsi="宋体"/>
        </w:rPr>
        <w:t xml:space="preserve">.1 </w:t>
      </w:r>
      <w:r>
        <w:rPr>
          <w:rFonts w:hint="eastAsia" w:ascii="宋体" w:hAnsi="宋体"/>
        </w:rPr>
        <w:t>设计思路</w:t>
      </w:r>
    </w:p>
    <w:p>
      <w:pPr>
        <w:rPr>
          <w:rFonts w:ascii="宋体" w:hAnsi="宋体"/>
          <w:sz w:val="24"/>
          <w:szCs w:val="24"/>
        </w:rPr>
      </w:pPr>
    </w:p>
    <w:p>
      <w:pPr>
        <w:pStyle w:val="3"/>
        <w:spacing w:before="156" w:after="156"/>
      </w:pPr>
      <w:bookmarkStart w:id="30" w:name="_Toc136533376"/>
      <w:r>
        <w:rPr>
          <w:rFonts w:hint="eastAsia"/>
        </w:rPr>
        <w:t>4.1</w:t>
      </w:r>
      <w:bookmarkEnd w:id="29"/>
      <w:r>
        <w:rPr>
          <w:rFonts w:hint="eastAsia"/>
        </w:rPr>
        <w:t>人均收入与消费支出排行榜</w:t>
      </w:r>
      <w:bookmarkEnd w:id="30"/>
    </w:p>
    <w:p>
      <w:pPr>
        <w:spacing w:before="156" w:beforeLines="50" w:after="156" w:afterLines="50" w:line="400" w:lineRule="exact"/>
        <w:ind w:firstLine="480" w:firstLineChars="200"/>
        <w:rPr>
          <w:rFonts w:ascii="宋体" w:hAnsi="宋体" w:cs="Arial"/>
          <w:color w:val="000000"/>
          <w:sz w:val="24"/>
          <w:szCs w:val="21"/>
        </w:rPr>
      </w:pPr>
      <w:r>
        <w:rPr>
          <w:rFonts w:hint="eastAsia" w:ascii="宋体" w:hAnsi="宋体" w:cs="Arial"/>
          <w:color w:val="000000"/>
          <w:sz w:val="24"/>
          <w:szCs w:val="21"/>
        </w:rPr>
        <w:t>人均收入与消费支出排行榜的绘制使用了Pyecharts库来创建一个条形图，展示了全国各地区的人均可支配收入和消费支出情况对比。</w:t>
      </w:r>
    </w:p>
    <w:p>
      <w:pPr>
        <w:spacing w:before="156" w:beforeLines="50" w:after="156" w:afterLines="50" w:line="400" w:lineRule="exact"/>
        <w:ind w:firstLine="480" w:firstLineChars="200"/>
        <w:rPr>
          <w:rFonts w:ascii="宋体" w:hAnsi="宋体" w:cs="Arial"/>
          <w:color w:val="000000"/>
          <w:sz w:val="24"/>
          <w:szCs w:val="21"/>
        </w:rPr>
      </w:pPr>
      <w:r>
        <w:rPr>
          <w:rFonts w:hint="eastAsia" w:ascii="宋体" w:hAnsi="宋体" w:cs="Arial"/>
          <w:color w:val="000000"/>
          <w:sz w:val="24"/>
          <w:szCs w:val="21"/>
        </w:rPr>
        <w:t>首先，我们准备了需要绘制的数据，包括地区、人均可支配收入和消费支出。</w:t>
      </w:r>
    </w:p>
    <w:p>
      <w:pPr>
        <w:spacing w:before="156" w:beforeLines="50" w:after="156" w:afterLines="50" w:line="400" w:lineRule="exact"/>
        <w:ind w:firstLine="480" w:firstLineChars="200"/>
        <w:rPr>
          <w:rFonts w:ascii="宋体" w:hAnsi="宋体" w:cs="Arial"/>
          <w:color w:val="000000"/>
          <w:sz w:val="24"/>
          <w:szCs w:val="21"/>
        </w:rPr>
      </w:pPr>
      <w:r>
        <w:rPr>
          <w:rFonts w:hint="eastAsia" w:ascii="宋体" w:hAnsi="宋体" w:cs="Arial"/>
          <w:color w:val="000000"/>
          <w:sz w:val="24"/>
          <w:szCs w:val="21"/>
        </w:rPr>
        <w:t>接下来，我们创建了一个Bar实例，并通过add_xaxis</w:t>
      </w:r>
      <w:r>
        <w:rPr>
          <w:rFonts w:ascii="宋体" w:hAnsi="宋体" w:cs="Arial"/>
          <w:color w:val="000000"/>
          <w:sz w:val="24"/>
          <w:szCs w:val="21"/>
        </w:rPr>
        <w:t>()</w:t>
      </w:r>
      <w:r>
        <w:rPr>
          <w:rFonts w:hint="eastAsia" w:ascii="宋体" w:hAnsi="宋体" w:cs="Arial"/>
          <w:color w:val="000000"/>
          <w:sz w:val="24"/>
          <w:szCs w:val="21"/>
        </w:rPr>
        <w:t>方法设置横坐标为地区列表，通过add_yaxis</w:t>
      </w:r>
      <w:r>
        <w:rPr>
          <w:rFonts w:ascii="宋体" w:hAnsi="宋体" w:cs="Arial"/>
          <w:color w:val="000000"/>
          <w:sz w:val="24"/>
          <w:szCs w:val="21"/>
        </w:rPr>
        <w:t>()</w:t>
      </w:r>
      <w:r>
        <w:rPr>
          <w:rFonts w:hint="eastAsia" w:ascii="宋体" w:hAnsi="宋体" w:cs="Arial"/>
          <w:color w:val="000000"/>
          <w:sz w:val="24"/>
          <w:szCs w:val="21"/>
        </w:rPr>
        <w:t>方法添加了两个系列，分别是人均可支配收入和消费支出，对应的纵坐标分别是收入和支出的数值列表。</w:t>
      </w:r>
    </w:p>
    <w:p>
      <w:pPr>
        <w:spacing w:before="156" w:beforeLines="50" w:after="156" w:afterLines="50" w:line="400" w:lineRule="exact"/>
        <w:ind w:firstLine="480" w:firstLineChars="200"/>
        <w:rPr>
          <w:rFonts w:ascii="宋体" w:hAnsi="宋体" w:cs="Arial"/>
          <w:color w:val="000000"/>
          <w:sz w:val="24"/>
          <w:szCs w:val="21"/>
        </w:rPr>
      </w:pPr>
      <w:r>
        <w:rPr>
          <w:rFonts w:hint="eastAsia" w:ascii="宋体" w:hAnsi="宋体" w:cs="Arial"/>
          <w:color w:val="000000"/>
          <w:sz w:val="24"/>
          <w:szCs w:val="21"/>
        </w:rPr>
        <w:t>然后，我们通过reversal_axis</w:t>
      </w:r>
      <w:r>
        <w:rPr>
          <w:rFonts w:ascii="宋体" w:hAnsi="宋体" w:cs="Arial"/>
          <w:color w:val="000000"/>
          <w:sz w:val="24"/>
          <w:szCs w:val="21"/>
        </w:rPr>
        <w:t>()</w:t>
      </w:r>
      <w:r>
        <w:rPr>
          <w:rFonts w:hint="eastAsia" w:ascii="宋体" w:hAnsi="宋体" w:cs="Arial"/>
          <w:color w:val="000000"/>
          <w:sz w:val="24"/>
          <w:szCs w:val="21"/>
        </w:rPr>
        <w:t>方法将图表的横纵坐标进行反转，使地区名称在纵轴显示。通过set_series_opts</w:t>
      </w:r>
      <w:r>
        <w:rPr>
          <w:rFonts w:ascii="宋体" w:hAnsi="宋体" w:cs="Arial"/>
          <w:color w:val="000000"/>
          <w:sz w:val="24"/>
          <w:szCs w:val="21"/>
        </w:rPr>
        <w:t>()</w:t>
      </w:r>
      <w:r>
        <w:rPr>
          <w:rFonts w:hint="eastAsia" w:ascii="宋体" w:hAnsi="宋体" w:cs="Arial"/>
          <w:color w:val="000000"/>
          <w:sz w:val="24"/>
          <w:szCs w:val="21"/>
        </w:rPr>
        <w:t>方法设置了标签选项，将标签位置设置在右侧。</w:t>
      </w:r>
    </w:p>
    <w:p>
      <w:pPr>
        <w:spacing w:before="156" w:beforeLines="50" w:after="156" w:afterLines="50" w:line="400" w:lineRule="exact"/>
        <w:ind w:firstLine="480" w:firstLineChars="200"/>
        <w:rPr>
          <w:rFonts w:ascii="宋体" w:hAnsi="宋体" w:cs="Arial"/>
          <w:color w:val="000000"/>
          <w:sz w:val="24"/>
          <w:szCs w:val="21"/>
        </w:rPr>
      </w:pPr>
      <w:r>
        <w:rPr>
          <w:rFonts w:hint="eastAsia" w:ascii="宋体" w:hAnsi="宋体" w:cs="Arial"/>
          <w:color w:val="000000"/>
          <w:sz w:val="24"/>
          <w:szCs w:val="21"/>
        </w:rPr>
        <w:t>最后，我们通过set_global_opts</w:t>
      </w:r>
      <w:r>
        <w:rPr>
          <w:rFonts w:ascii="宋体" w:hAnsi="宋体" w:cs="Arial"/>
          <w:color w:val="000000"/>
          <w:sz w:val="24"/>
          <w:szCs w:val="21"/>
        </w:rPr>
        <w:t>()</w:t>
      </w:r>
      <w:r>
        <w:rPr>
          <w:rFonts w:hint="eastAsia" w:ascii="宋体" w:hAnsi="宋体" w:cs="Arial"/>
          <w:color w:val="000000"/>
          <w:sz w:val="24"/>
          <w:szCs w:val="21"/>
        </w:rPr>
        <w:t>方法设置了图表的全局选项，包括标题、横轴名称、纵轴名称等，然后使用render_notebook</w:t>
      </w:r>
      <w:r>
        <w:rPr>
          <w:rFonts w:ascii="宋体" w:hAnsi="宋体" w:cs="Arial"/>
          <w:color w:val="000000"/>
          <w:sz w:val="24"/>
          <w:szCs w:val="21"/>
        </w:rPr>
        <w:t>()</w:t>
      </w:r>
      <w:r>
        <w:rPr>
          <w:rFonts w:hint="eastAsia" w:ascii="宋体" w:hAnsi="宋体" w:cs="Arial"/>
          <w:color w:val="000000"/>
          <w:sz w:val="24"/>
          <w:szCs w:val="21"/>
        </w:rPr>
        <w:t>方法将图表渲染在Notebook中，以便直接在Notebook中显示图表。如图</w:t>
      </w:r>
      <w:r>
        <w:rPr>
          <w:rFonts w:ascii="宋体" w:hAnsi="宋体" w:cs="Arial"/>
          <w:color w:val="000000"/>
          <w:sz w:val="24"/>
          <w:szCs w:val="21"/>
        </w:rPr>
        <w:t>4</w:t>
      </w:r>
      <w:r>
        <w:rPr>
          <w:rFonts w:hint="eastAsia" w:ascii="宋体" w:hAnsi="宋体" w:cs="Arial"/>
          <w:color w:val="000000"/>
          <w:sz w:val="24"/>
          <w:szCs w:val="21"/>
        </w:rPr>
        <w:t>.</w:t>
      </w:r>
      <w:r>
        <w:rPr>
          <w:rFonts w:ascii="宋体" w:hAnsi="宋体" w:cs="Arial"/>
          <w:color w:val="000000"/>
          <w:sz w:val="24"/>
          <w:szCs w:val="21"/>
        </w:rPr>
        <w:t>2</w:t>
      </w:r>
      <w:r>
        <w:rPr>
          <w:rFonts w:hint="eastAsia" w:ascii="宋体" w:hAnsi="宋体" w:cs="Arial"/>
          <w:color w:val="000000"/>
          <w:sz w:val="24"/>
          <w:szCs w:val="21"/>
        </w:rPr>
        <w:t>所示：</w:t>
      </w:r>
    </w:p>
    <w:p>
      <w:pPr>
        <w:widowControl/>
        <w:jc w:val="center"/>
      </w:pPr>
      <w:r>
        <w:drawing>
          <wp:inline distT="0" distB="0" distL="0" distR="0">
            <wp:extent cx="5400040" cy="24079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400040" cy="2407920"/>
                    </a:xfrm>
                    <a:prstGeom prst="rect">
                      <a:avLst/>
                    </a:prstGeom>
                    <a:noFill/>
                    <a:ln>
                      <a:noFill/>
                    </a:ln>
                  </pic:spPr>
                </pic:pic>
              </a:graphicData>
            </a:graphic>
          </wp:inline>
        </w:drawing>
      </w:r>
    </w:p>
    <w:p>
      <w:pPr>
        <w:jc w:val="center"/>
        <w:rPr>
          <w:rFonts w:ascii="宋体" w:hAnsi="宋体"/>
          <w:bCs/>
          <w:color w:val="000000"/>
          <w:szCs w:val="21"/>
        </w:rPr>
      </w:pPr>
      <w:r>
        <w:rPr>
          <w:rFonts w:hint="eastAsia" w:ascii="宋体" w:hAnsi="宋体"/>
          <w:bCs/>
          <w:color w:val="000000"/>
          <w:szCs w:val="21"/>
        </w:rPr>
        <w:t>图4.</w:t>
      </w:r>
      <w:r>
        <w:rPr>
          <w:rFonts w:ascii="宋体" w:hAnsi="宋体"/>
          <w:bCs/>
          <w:color w:val="000000"/>
          <w:szCs w:val="21"/>
        </w:rPr>
        <w:t xml:space="preserve">2 </w:t>
      </w:r>
      <w:r>
        <w:rPr>
          <w:rFonts w:hint="eastAsia" w:ascii="宋体" w:hAnsi="宋体"/>
          <w:bCs/>
          <w:color w:val="000000"/>
          <w:szCs w:val="21"/>
        </w:rPr>
        <w:t>人均收入与消费支出排行榜</w:t>
      </w:r>
    </w:p>
    <w:p>
      <w:pPr>
        <w:spacing w:before="156" w:beforeLines="50" w:after="156" w:afterLines="50" w:line="400" w:lineRule="exact"/>
        <w:ind w:firstLine="480" w:firstLineChars="200"/>
        <w:rPr>
          <w:rFonts w:ascii="宋体" w:hAnsi="宋体" w:cs="Arial"/>
          <w:color w:val="000000"/>
          <w:sz w:val="24"/>
          <w:szCs w:val="21"/>
        </w:rPr>
      </w:pPr>
      <w:r>
        <w:rPr>
          <w:rFonts w:hint="eastAsia" w:ascii="宋体" w:hAnsi="宋体" w:cs="Arial"/>
          <w:color w:val="000000"/>
          <w:sz w:val="24"/>
          <w:szCs w:val="21"/>
        </w:rPr>
        <w:t>由图可知，北京、上海、浙江等发达地区在人均可支配收入和消费支出方面表现出较高的水平。这表明这些地区的经济相对较为发达，人们的收入水平相对较高，并且有较高的消费水平。</w:t>
      </w:r>
    </w:p>
    <w:p>
      <w:pPr>
        <w:spacing w:before="156" w:beforeLines="50" w:after="156" w:afterLines="50" w:line="400" w:lineRule="exact"/>
        <w:ind w:firstLine="480" w:firstLineChars="200"/>
        <w:rPr>
          <w:rFonts w:ascii="宋体" w:hAnsi="宋体" w:cs="Arial"/>
          <w:color w:val="000000"/>
          <w:sz w:val="24"/>
          <w:szCs w:val="21"/>
        </w:rPr>
      </w:pPr>
      <w:r>
        <w:rPr>
          <w:rFonts w:hint="eastAsia" w:ascii="宋体" w:hAnsi="宋体" w:cs="Arial"/>
          <w:color w:val="000000"/>
          <w:sz w:val="24"/>
          <w:szCs w:val="21"/>
        </w:rPr>
        <w:t>相比之下，一些经济相对较为欠发达的地区，如贵州、西藏等地，人均可支配收入和消费支出水平较低。这可能反映了这些地区的经济发展相对滞后，人们的收入水平较低，消费水平较低。</w:t>
      </w:r>
    </w:p>
    <w:p>
      <w:pPr>
        <w:pStyle w:val="3"/>
        <w:spacing w:before="156" w:after="156"/>
      </w:pPr>
      <w:bookmarkStart w:id="31" w:name="_Toc136533377"/>
      <w:r>
        <w:rPr>
          <w:rFonts w:hint="eastAsia"/>
        </w:rPr>
        <w:t>4.2全国及各地区消费占比</w:t>
      </w:r>
      <w:bookmarkEnd w:id="31"/>
    </w:p>
    <w:p>
      <w:pPr>
        <w:spacing w:before="156" w:beforeLines="50" w:after="156" w:afterLines="50" w:line="400" w:lineRule="exact"/>
        <w:ind w:firstLine="480" w:firstLineChars="200"/>
        <w:rPr>
          <w:rFonts w:ascii="宋体" w:hAnsi="宋体" w:cs="Arial"/>
          <w:color w:val="000000"/>
          <w:sz w:val="24"/>
          <w:szCs w:val="21"/>
        </w:rPr>
      </w:pPr>
      <w:r>
        <w:rPr>
          <w:rFonts w:hint="eastAsia" w:ascii="宋体" w:hAnsi="宋体" w:cs="Arial"/>
          <w:color w:val="000000"/>
          <w:sz w:val="24"/>
          <w:szCs w:val="21"/>
        </w:rPr>
        <w:t>全国及各地区消费占比的绘制使用了Pyecharts库创建了一个堆叠条形图，用于展示全国及各地区不同消费类别的占比情况。</w:t>
      </w:r>
    </w:p>
    <w:p>
      <w:pPr>
        <w:spacing w:before="156" w:beforeLines="50" w:after="156" w:afterLines="50" w:line="400" w:lineRule="exact"/>
        <w:ind w:firstLine="480" w:firstLineChars="200"/>
        <w:rPr>
          <w:rFonts w:ascii="宋体" w:hAnsi="宋体" w:cs="Arial"/>
          <w:color w:val="000000"/>
          <w:sz w:val="24"/>
          <w:szCs w:val="21"/>
        </w:rPr>
      </w:pPr>
      <w:r>
        <w:rPr>
          <w:rFonts w:hint="eastAsia" w:ascii="宋体" w:hAnsi="宋体" w:cs="Arial"/>
          <w:color w:val="000000"/>
          <w:sz w:val="24"/>
          <w:szCs w:val="21"/>
        </w:rPr>
        <w:t>首先，通过导入必要的模块，创建了一个Bar实例。</w:t>
      </w:r>
    </w:p>
    <w:p>
      <w:pPr>
        <w:spacing w:before="156" w:beforeLines="50" w:after="156" w:afterLines="50" w:line="400" w:lineRule="exact"/>
        <w:ind w:firstLine="480" w:firstLineChars="200"/>
        <w:rPr>
          <w:rFonts w:ascii="宋体" w:hAnsi="宋体" w:cs="Arial"/>
          <w:color w:val="000000"/>
          <w:sz w:val="24"/>
          <w:szCs w:val="21"/>
        </w:rPr>
      </w:pPr>
      <w:r>
        <w:rPr>
          <w:rFonts w:hint="eastAsia" w:ascii="宋体" w:hAnsi="宋体" w:cs="Arial"/>
          <w:color w:val="000000"/>
          <w:sz w:val="24"/>
          <w:szCs w:val="21"/>
        </w:rPr>
        <w:t>然后，使用add_xaxis方法设置横坐标为地区列表，使用add_yaxis方法添加了多个系列，分别代表不同消费类别的占比情况。每个系列的纵坐标数据都对应了数据集中相应类别的占比值。</w:t>
      </w:r>
    </w:p>
    <w:p>
      <w:pPr>
        <w:spacing w:before="156" w:beforeLines="50" w:after="156" w:afterLines="50" w:line="400" w:lineRule="exact"/>
        <w:ind w:firstLine="480" w:firstLineChars="200"/>
        <w:rPr>
          <w:rFonts w:ascii="宋体" w:hAnsi="宋体" w:cs="Arial"/>
          <w:color w:val="000000"/>
          <w:sz w:val="24"/>
          <w:szCs w:val="21"/>
        </w:rPr>
      </w:pPr>
      <w:r>
        <w:rPr>
          <w:rFonts w:hint="eastAsia" w:ascii="宋体" w:hAnsi="宋体" w:cs="Arial"/>
          <w:color w:val="000000"/>
          <w:sz w:val="24"/>
          <w:szCs w:val="21"/>
        </w:rPr>
        <w:t>接下来，使用set_global_opts方法设置了图表的全局选项，包括标题、图例等。标题设置为"全国及各地区消费占比"，并通过pos_left参数调整标题位置。图例设置在右侧中部，以垂直方式显示。</w:t>
      </w:r>
    </w:p>
    <w:p>
      <w:pPr>
        <w:spacing w:before="156" w:beforeLines="50" w:after="156" w:afterLines="50" w:line="400" w:lineRule="exact"/>
        <w:ind w:firstLine="480" w:firstLineChars="200"/>
        <w:rPr>
          <w:rFonts w:ascii="宋体" w:hAnsi="宋体" w:cs="Arial"/>
          <w:color w:val="000000"/>
          <w:sz w:val="24"/>
          <w:szCs w:val="21"/>
        </w:rPr>
      </w:pPr>
      <w:r>
        <w:rPr>
          <w:rFonts w:hint="eastAsia" w:ascii="宋体" w:hAnsi="宋体" w:cs="Arial"/>
          <w:color w:val="000000"/>
          <w:sz w:val="24"/>
          <w:szCs w:val="21"/>
        </w:rPr>
        <w:t>最后，使用set_series_opts方法对系列进行设置，其中label_opts参数设置为不显示数据标签。使用render_notebook方法将图表渲染在Notebook中，以便直接在Notebook中显示图表。如图4.3所示：</w:t>
      </w:r>
    </w:p>
    <w:p>
      <w:pPr>
        <w:widowControl/>
        <w:jc w:val="center"/>
      </w:pPr>
      <w:r>
        <w:drawing>
          <wp:inline distT="0" distB="0" distL="0" distR="0">
            <wp:extent cx="5400040" cy="253936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400040" cy="2539365"/>
                    </a:xfrm>
                    <a:prstGeom prst="rect">
                      <a:avLst/>
                    </a:prstGeom>
                    <a:noFill/>
                    <a:ln>
                      <a:noFill/>
                    </a:ln>
                  </pic:spPr>
                </pic:pic>
              </a:graphicData>
            </a:graphic>
          </wp:inline>
        </w:drawing>
      </w:r>
    </w:p>
    <w:p>
      <w:pPr>
        <w:jc w:val="center"/>
        <w:rPr>
          <w:rFonts w:ascii="宋体" w:hAnsi="宋体"/>
          <w:bCs/>
          <w:color w:val="000000"/>
          <w:szCs w:val="21"/>
        </w:rPr>
      </w:pPr>
      <w:r>
        <w:rPr>
          <w:rFonts w:hint="eastAsia" w:ascii="宋体" w:hAnsi="宋体"/>
          <w:bCs/>
          <w:color w:val="000000"/>
          <w:szCs w:val="21"/>
        </w:rPr>
        <w:t>图4.3</w:t>
      </w:r>
      <w:r>
        <w:rPr>
          <w:rFonts w:ascii="宋体" w:hAnsi="宋体"/>
          <w:bCs/>
          <w:color w:val="000000"/>
          <w:szCs w:val="21"/>
        </w:rPr>
        <w:t xml:space="preserve"> </w:t>
      </w:r>
      <w:r>
        <w:rPr>
          <w:rFonts w:hint="eastAsia" w:ascii="宋体" w:hAnsi="宋体"/>
          <w:bCs/>
          <w:color w:val="000000"/>
          <w:szCs w:val="21"/>
        </w:rPr>
        <w:t>全国及各地区消费占比</w:t>
      </w:r>
    </w:p>
    <w:p>
      <w:pPr>
        <w:spacing w:before="156" w:beforeLines="50" w:after="156" w:afterLines="50" w:line="400" w:lineRule="exact"/>
        <w:ind w:firstLine="200"/>
        <w:rPr>
          <w:rFonts w:ascii="宋体" w:hAnsi="宋体" w:cs="Arial"/>
          <w:color w:val="000000"/>
          <w:sz w:val="24"/>
          <w:szCs w:val="21"/>
        </w:rPr>
      </w:pPr>
      <w:r>
        <w:rPr>
          <w:rFonts w:hint="eastAsia" w:ascii="宋体" w:hAnsi="宋体" w:cs="Arial"/>
          <w:color w:val="000000"/>
          <w:sz w:val="24"/>
          <w:szCs w:val="21"/>
        </w:rPr>
        <w:t>通过这个堆叠柱状图，我们可以直观地比较各地区不同消费类别的占比情况。通过观察图表，可以了解各类别在消费中的相对重要程度，并对不同地区的消费结构进行比较和分析，得出结论：</w:t>
      </w:r>
    </w:p>
    <w:p>
      <w:pPr>
        <w:spacing w:before="156" w:beforeLines="50" w:after="156" w:afterLines="50" w:line="400" w:lineRule="exact"/>
        <w:ind w:firstLine="200"/>
        <w:rPr>
          <w:rFonts w:ascii="宋体" w:hAnsi="宋体" w:cs="Arial"/>
          <w:color w:val="000000"/>
          <w:sz w:val="24"/>
          <w:szCs w:val="21"/>
        </w:rPr>
      </w:pPr>
      <w:r>
        <w:rPr>
          <w:rFonts w:hint="eastAsia" w:ascii="宋体" w:hAnsi="宋体" w:cs="Arial"/>
          <w:color w:val="000000"/>
          <w:sz w:val="24"/>
          <w:szCs w:val="21"/>
        </w:rPr>
        <w:t>交通通信占比和居住占比在各地区的消费中较大。这意味着人们在日常消费中对交通和通信以及居住方面的支出相对较高。这可能是由于交通和通信的发展水平以及居住成本在不同地区的差异导致的。</w:t>
      </w:r>
    </w:p>
    <w:p>
      <w:pPr>
        <w:spacing w:before="156" w:beforeLines="50" w:after="156" w:afterLines="50" w:line="400" w:lineRule="exact"/>
        <w:ind w:firstLine="200"/>
        <w:rPr>
          <w:rFonts w:ascii="宋体" w:hAnsi="宋体" w:cs="Arial"/>
          <w:color w:val="000000"/>
          <w:sz w:val="24"/>
          <w:szCs w:val="21"/>
        </w:rPr>
      </w:pPr>
      <w:r>
        <w:rPr>
          <w:rFonts w:hint="eastAsia" w:ascii="宋体" w:hAnsi="宋体" w:cs="Arial"/>
          <w:color w:val="000000"/>
          <w:sz w:val="24"/>
          <w:szCs w:val="21"/>
        </w:rPr>
        <w:t>教育文化娱乐占比在一些地区相对较低。这可能是因为在一些地区的消费结构中，教育、文化和娱乐方面的支出相对较少，或者人们在这些方面的消费需求相对较低。</w:t>
      </w:r>
    </w:p>
    <w:p>
      <w:pPr>
        <w:pStyle w:val="3"/>
        <w:spacing w:before="156" w:after="156"/>
      </w:pPr>
      <w:bookmarkStart w:id="32" w:name="_Toc136533378"/>
      <w:r>
        <w:rPr>
          <w:rFonts w:hint="eastAsia"/>
        </w:rPr>
        <w:t>4.3部分地区城镇人口数及城镇化率</w:t>
      </w:r>
      <w:bookmarkEnd w:id="32"/>
    </w:p>
    <w:p>
      <w:pPr>
        <w:widowControl/>
        <w:spacing w:before="156" w:beforeLines="50" w:after="156" w:afterLines="50" w:line="400" w:lineRule="exact"/>
        <w:ind w:firstLine="480" w:firstLineChars="200"/>
        <w:jc w:val="left"/>
        <w:rPr>
          <w:rFonts w:ascii="宋体" w:hAnsi="宋体" w:cs="Arial"/>
          <w:color w:val="000000"/>
          <w:sz w:val="24"/>
          <w:szCs w:val="21"/>
        </w:rPr>
      </w:pPr>
      <w:r>
        <w:rPr>
          <w:rFonts w:hint="eastAsia" w:ascii="宋体" w:hAnsi="宋体" w:cs="Arial"/>
          <w:color w:val="000000"/>
          <w:sz w:val="24"/>
          <w:szCs w:val="21"/>
        </w:rPr>
        <w:t>这段代码定义了两个函数。首先，cal_lis1()函数根据给定的地区名称，从数据集中提取相应地区的城镇化率和城镇总人口数据，并返回处理后的数据。同时，该函数还计算了给定地区的城镇总人口的最大值。</w:t>
      </w:r>
    </w:p>
    <w:p>
      <w:pPr>
        <w:widowControl/>
        <w:spacing w:before="156" w:beforeLines="50" w:after="156" w:afterLines="50" w:line="400" w:lineRule="exact"/>
        <w:ind w:firstLine="480" w:firstLineChars="200"/>
        <w:jc w:val="left"/>
        <w:rPr>
          <w:rFonts w:ascii="宋体" w:hAnsi="宋体" w:cs="Arial"/>
          <w:color w:val="000000"/>
          <w:sz w:val="24"/>
          <w:szCs w:val="21"/>
        </w:rPr>
      </w:pPr>
      <w:r>
        <w:rPr>
          <w:rFonts w:hint="eastAsia" w:ascii="宋体" w:hAnsi="宋体" w:cs="Arial"/>
          <w:color w:val="000000"/>
          <w:sz w:val="24"/>
          <w:szCs w:val="21"/>
        </w:rPr>
        <w:t>接下来，plot_mul_line()函数根据传入的参数绘制了一个复合折线图。该图包含两个折线图，分别表示城镇人口数和城镇化率随时间的变化情况。函数根据传入的地区名称、标题、时间数据、城镇化率数据以及城镇人口数据进行绘制。图表的样式和配置通过使用Pyecharts库中的相关选项进行设置。</w:t>
      </w:r>
    </w:p>
    <w:p>
      <w:pPr>
        <w:widowControl/>
        <w:spacing w:before="156" w:beforeLines="50" w:after="156" w:afterLines="50" w:line="400" w:lineRule="exact"/>
        <w:ind w:firstLine="480" w:firstLineChars="200"/>
        <w:jc w:val="left"/>
        <w:rPr>
          <w:rFonts w:ascii="宋体" w:hAnsi="宋体" w:cs="Arial"/>
          <w:color w:val="000000"/>
          <w:sz w:val="24"/>
          <w:szCs w:val="21"/>
        </w:rPr>
      </w:pPr>
      <w:r>
        <w:rPr>
          <w:rFonts w:hint="eastAsia" w:ascii="宋体" w:hAnsi="宋体" w:cs="Arial"/>
          <w:color w:val="000000"/>
          <w:sz w:val="24"/>
          <w:szCs w:val="21"/>
        </w:rPr>
        <w:t>在主程序中，我们从“全国各地区人均收入、消费支出排行榜”图中选择人均收入与消费支出TOP3的城市进行数据提取和绘图，并获取了它们的城镇化率和城镇总人口数据，以及最大人口数。然后，通过调用plot_mul_line()函数，并传入相关数据，绘制了城镇人口数和城镇化率的关系图表。如图4.</w:t>
      </w:r>
      <w:r>
        <w:rPr>
          <w:rFonts w:ascii="宋体" w:hAnsi="宋体" w:cs="Arial"/>
          <w:color w:val="000000"/>
          <w:sz w:val="24"/>
          <w:szCs w:val="21"/>
        </w:rPr>
        <w:t>4</w:t>
      </w:r>
      <w:r>
        <w:rPr>
          <w:rFonts w:hint="eastAsia" w:ascii="宋体" w:hAnsi="宋体" w:cs="Arial"/>
          <w:color w:val="000000"/>
          <w:sz w:val="24"/>
          <w:szCs w:val="21"/>
        </w:rPr>
        <w:t>所示：</w:t>
      </w:r>
    </w:p>
    <w:p>
      <w:pPr>
        <w:widowControl/>
        <w:jc w:val="center"/>
      </w:pPr>
      <w:r>
        <w:drawing>
          <wp:inline distT="0" distB="0" distL="0" distR="0">
            <wp:extent cx="5400040" cy="4055745"/>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400040" cy="4055745"/>
                    </a:xfrm>
                    <a:prstGeom prst="rect">
                      <a:avLst/>
                    </a:prstGeom>
                    <a:noFill/>
                    <a:ln>
                      <a:noFill/>
                    </a:ln>
                  </pic:spPr>
                </pic:pic>
              </a:graphicData>
            </a:graphic>
          </wp:inline>
        </w:drawing>
      </w:r>
    </w:p>
    <w:p>
      <w:pPr>
        <w:widowControl/>
        <w:ind w:firstLine="420" w:firstLineChars="200"/>
        <w:jc w:val="left"/>
      </w:pPr>
    </w:p>
    <w:p>
      <w:pPr>
        <w:jc w:val="center"/>
        <w:rPr>
          <w:rFonts w:ascii="宋体" w:hAnsi="宋体"/>
          <w:bCs/>
          <w:color w:val="000000"/>
          <w:szCs w:val="21"/>
        </w:rPr>
      </w:pPr>
      <w:r>
        <w:rPr>
          <w:rFonts w:hint="eastAsia" w:ascii="宋体" w:hAnsi="宋体"/>
          <w:bCs/>
          <w:color w:val="000000"/>
          <w:szCs w:val="21"/>
        </w:rPr>
        <w:t>图4.</w:t>
      </w:r>
      <w:r>
        <w:rPr>
          <w:rFonts w:ascii="宋体" w:hAnsi="宋体"/>
          <w:bCs/>
          <w:color w:val="000000"/>
          <w:szCs w:val="21"/>
        </w:rPr>
        <w:t xml:space="preserve">4 </w:t>
      </w:r>
      <w:r>
        <w:rPr>
          <w:rFonts w:hint="eastAsia" w:ascii="宋体" w:hAnsi="宋体"/>
          <w:bCs/>
          <w:color w:val="000000"/>
          <w:szCs w:val="21"/>
        </w:rPr>
        <w:t>部分地区城镇人口数及城镇化率</w:t>
      </w:r>
    </w:p>
    <w:p>
      <w:pPr>
        <w:jc w:val="center"/>
        <w:rPr>
          <w:rFonts w:ascii="宋体" w:hAnsi="宋体"/>
          <w:bCs/>
          <w:color w:val="000000"/>
          <w:szCs w:val="21"/>
        </w:rPr>
      </w:pPr>
    </w:p>
    <w:p>
      <w:pPr>
        <w:widowControl/>
        <w:spacing w:before="156" w:beforeLines="50" w:after="156" w:afterLines="50" w:line="400" w:lineRule="exact"/>
        <w:ind w:firstLine="480" w:firstLineChars="200"/>
        <w:jc w:val="left"/>
        <w:rPr>
          <w:rFonts w:ascii="宋体" w:hAnsi="宋体" w:cs="Arial"/>
          <w:color w:val="000000"/>
          <w:sz w:val="24"/>
          <w:szCs w:val="21"/>
        </w:rPr>
      </w:pPr>
      <w:r>
        <w:rPr>
          <w:rFonts w:hint="eastAsia" w:ascii="宋体" w:hAnsi="宋体" w:cs="Arial"/>
          <w:color w:val="000000"/>
          <w:sz w:val="24"/>
          <w:szCs w:val="21"/>
        </w:rPr>
        <w:t>通过比较上图的上下两部分可知，虽然城镇人口有所提升，但是城镇化率的提升并没有与城镇人口的保持一致，而是逐渐趋于平稳。三个城市中城镇化率最高的是上海，对比上海的城镇人口增长，两者的增速都近乎平稳。浙江的城镇人口增速是三个城市中最明显的，但是其城镇化水平却是三个城市中最低的。</w:t>
      </w:r>
    </w:p>
    <w:p>
      <w:pPr>
        <w:pStyle w:val="3"/>
        <w:spacing w:before="156" w:after="156"/>
      </w:pPr>
      <w:bookmarkStart w:id="33" w:name="_Toc136533379"/>
      <w:r>
        <w:rPr>
          <w:rFonts w:hint="eastAsia"/>
        </w:rPr>
        <w:t>4.4泰尔指数情况一览</w:t>
      </w:r>
      <w:bookmarkEnd w:id="33"/>
    </w:p>
    <w:p>
      <w:pPr>
        <w:rPr>
          <w:rFonts w:ascii="黑体" w:hAnsi="黑体" w:eastAsia="黑体" w:cs="黑体"/>
          <w:color w:val="333333"/>
          <w:sz w:val="28"/>
          <w:szCs w:val="28"/>
          <w:shd w:val="clear" w:color="auto" w:fill="FFFFFF"/>
        </w:rPr>
      </w:pPr>
      <w:r>
        <w:rPr>
          <w:rFonts w:ascii="Cambria" w:hAnsi="Cambria" w:eastAsia="黑体" w:cs="Cambria"/>
          <w:color w:val="333333"/>
          <w:sz w:val="28"/>
          <w:szCs w:val="28"/>
          <w:shd w:val="clear" w:color="auto" w:fill="FFFFFF"/>
        </w:rPr>
        <w:t xml:space="preserve">4.4.1 </w:t>
      </w:r>
      <w:r>
        <w:rPr>
          <w:rFonts w:hint="eastAsia" w:ascii="黑体" w:hAnsi="黑体" w:eastAsia="黑体" w:cs="黑体"/>
          <w:color w:val="333333"/>
          <w:sz w:val="28"/>
          <w:szCs w:val="28"/>
          <w:shd w:val="clear" w:color="auto" w:fill="FFFFFF"/>
        </w:rPr>
        <w:t>柱状图</w:t>
      </w:r>
    </w:p>
    <w:p>
      <w:pPr>
        <w:spacing w:before="156" w:beforeLines="50" w:after="156" w:afterLines="50" w:line="400" w:lineRule="exact"/>
        <w:ind w:firstLine="480" w:firstLineChars="200"/>
        <w:rPr>
          <w:rFonts w:ascii="宋体" w:hAnsi="宋体" w:cs="Arial"/>
          <w:color w:val="000000"/>
          <w:sz w:val="24"/>
          <w:szCs w:val="21"/>
        </w:rPr>
      </w:pPr>
      <w:r>
        <w:rPr>
          <w:rFonts w:ascii="宋体" w:hAnsi="宋体" w:cs="Arial"/>
          <w:color w:val="000000"/>
          <w:sz w:val="24"/>
          <w:szCs w:val="21"/>
        </w:rPr>
        <w:t>泰尔指数是衡量收入分配不均衡程度的指标，指数值越高表示收入分配越不均衡。</w:t>
      </w:r>
      <w:r>
        <w:rPr>
          <w:rFonts w:hint="eastAsia" w:ascii="宋体" w:hAnsi="宋体" w:cs="Arial"/>
          <w:color w:val="000000"/>
          <w:sz w:val="24"/>
          <w:szCs w:val="21"/>
        </w:rPr>
        <w:t>这段代码使用了Pyecharts库来绘制时间轴图表，并展示了不同年份的柱状图。首先，通过调用get_year_overlap_chart()函数，生成了一个柱状图（Bar）对象，用于表示指定年份的泰尔指数情况。</w:t>
      </w:r>
    </w:p>
    <w:p>
      <w:pPr>
        <w:spacing w:before="156" w:beforeLines="50" w:after="156" w:afterLines="50" w:line="400" w:lineRule="exact"/>
        <w:ind w:firstLine="480" w:firstLineChars="200"/>
        <w:rPr>
          <w:rFonts w:ascii="宋体" w:hAnsi="宋体" w:cs="Arial"/>
          <w:color w:val="000000"/>
          <w:sz w:val="24"/>
          <w:szCs w:val="21"/>
        </w:rPr>
      </w:pPr>
      <w:r>
        <w:rPr>
          <w:rFonts w:hint="eastAsia" w:ascii="宋体" w:hAnsi="宋体" w:cs="Arial"/>
          <w:color w:val="000000"/>
          <w:sz w:val="24"/>
          <w:szCs w:val="21"/>
        </w:rPr>
        <w:t>然后，创建了一个时间轴对象，即timeline1，用于按照年份的顺序展示不同年份的柱状图。通过一个循环，将每个年份对应的柱状图添加到时间轴中，使用timeline1.add()实现。</w:t>
      </w:r>
    </w:p>
    <w:p>
      <w:pPr>
        <w:spacing w:before="156" w:beforeLines="50" w:after="156" w:afterLines="50" w:line="400" w:lineRule="exact"/>
        <w:ind w:firstLine="480" w:firstLineChars="200"/>
        <w:rPr>
          <w:rFonts w:ascii="宋体" w:hAnsi="宋体" w:cs="Arial"/>
          <w:color w:val="000000"/>
          <w:sz w:val="24"/>
          <w:szCs w:val="21"/>
        </w:rPr>
      </w:pPr>
      <w:r>
        <w:rPr>
          <w:rFonts w:hint="eastAsia" w:ascii="宋体" w:hAnsi="宋体" w:cs="Arial"/>
          <w:color w:val="000000"/>
          <w:sz w:val="24"/>
          <w:szCs w:val="21"/>
        </w:rPr>
        <w:t>最后，通过设置时间轴的相关参数，如自动播放和播放间隔，使用timeline1.add_schema()。</w:t>
      </w:r>
    </w:p>
    <w:p>
      <w:pPr>
        <w:widowControl/>
        <w:spacing w:before="156" w:beforeLines="50" w:after="156" w:afterLines="50"/>
        <w:ind w:firstLine="420"/>
        <w:jc w:val="left"/>
      </w:pPr>
      <w:r>
        <w:rPr>
          <w:rFonts w:hint="eastAsia" w:ascii="宋体" w:hAnsi="宋体" w:cs="Arial"/>
          <w:color w:val="000000"/>
          <w:sz w:val="24"/>
          <w:szCs w:val="21"/>
        </w:rPr>
        <w:t>最终，通过调用timeline1.render_notebook()方法，将时间轴图表渲染为Jupyter Notebook中的可视化结果。如图4.</w:t>
      </w:r>
      <w:r>
        <w:rPr>
          <w:rFonts w:ascii="宋体" w:hAnsi="宋体" w:cs="Arial"/>
          <w:color w:val="000000"/>
          <w:sz w:val="24"/>
          <w:szCs w:val="21"/>
        </w:rPr>
        <w:t>5</w:t>
      </w:r>
      <w:r>
        <w:rPr>
          <w:rFonts w:hint="eastAsia" w:ascii="宋体" w:hAnsi="宋体" w:cs="Arial"/>
          <w:color w:val="000000"/>
          <w:sz w:val="24"/>
          <w:szCs w:val="21"/>
        </w:rPr>
        <w:t>所示：</w:t>
      </w:r>
      <w:r>
        <w:rPr>
          <w:rFonts w:hint="eastAsia" w:ascii="宋体" w:hAnsi="宋体" w:cs="Arial"/>
          <w:color w:val="000000"/>
          <w:sz w:val="24"/>
          <w:szCs w:val="21"/>
        </w:rPr>
        <w:br w:type="textWrapping"/>
      </w:r>
      <w:r>
        <w:drawing>
          <wp:inline distT="0" distB="0" distL="0" distR="0">
            <wp:extent cx="5400040" cy="251079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0"/>
                    <a:stretch>
                      <a:fillRect/>
                    </a:stretch>
                  </pic:blipFill>
                  <pic:spPr>
                    <a:xfrm>
                      <a:off x="0" y="0"/>
                      <a:ext cx="5400040" cy="2510790"/>
                    </a:xfrm>
                    <a:prstGeom prst="rect">
                      <a:avLst/>
                    </a:prstGeom>
                  </pic:spPr>
                </pic:pic>
              </a:graphicData>
            </a:graphic>
          </wp:inline>
        </w:drawing>
      </w:r>
    </w:p>
    <w:p>
      <w:pPr>
        <w:jc w:val="center"/>
        <w:rPr>
          <w:rFonts w:ascii="宋体" w:hAnsi="宋体"/>
          <w:bCs/>
          <w:color w:val="000000"/>
          <w:szCs w:val="21"/>
        </w:rPr>
      </w:pPr>
      <w:r>
        <w:rPr>
          <w:rFonts w:hint="eastAsia" w:ascii="宋体" w:hAnsi="宋体"/>
          <w:bCs/>
          <w:color w:val="000000"/>
          <w:szCs w:val="21"/>
        </w:rPr>
        <w:t>图4.</w:t>
      </w:r>
      <w:r>
        <w:rPr>
          <w:rFonts w:ascii="宋体" w:hAnsi="宋体"/>
          <w:bCs/>
          <w:color w:val="000000"/>
          <w:szCs w:val="21"/>
        </w:rPr>
        <w:t xml:space="preserve">5 </w:t>
      </w:r>
      <w:r>
        <w:rPr>
          <w:rFonts w:hint="eastAsia" w:ascii="宋体" w:hAnsi="宋体"/>
          <w:bCs/>
          <w:color w:val="000000"/>
          <w:szCs w:val="21"/>
        </w:rPr>
        <w:t>泰尔指数情况一览柱状图</w:t>
      </w:r>
    </w:p>
    <w:p>
      <w:pPr>
        <w:spacing w:line="400" w:lineRule="exact"/>
        <w:rPr>
          <w:rFonts w:ascii="宋体" w:hAnsi="宋体" w:cs="Arial"/>
          <w:color w:val="000000"/>
          <w:sz w:val="24"/>
          <w:szCs w:val="21"/>
        </w:rPr>
      </w:pPr>
    </w:p>
    <w:p>
      <w:pPr>
        <w:spacing w:before="156" w:beforeLines="50" w:after="156" w:afterLines="50" w:line="400" w:lineRule="exact"/>
        <w:ind w:firstLine="480" w:firstLineChars="200"/>
        <w:rPr>
          <w:rFonts w:ascii="宋体" w:hAnsi="宋体" w:cs="Arial"/>
          <w:color w:val="000000"/>
          <w:sz w:val="24"/>
          <w:szCs w:val="21"/>
        </w:rPr>
      </w:pPr>
      <w:r>
        <w:rPr>
          <w:rFonts w:hint="eastAsia" w:ascii="宋体" w:hAnsi="宋体" w:cs="Arial"/>
          <w:color w:val="000000"/>
          <w:sz w:val="24"/>
          <w:szCs w:val="21"/>
        </w:rPr>
        <w:t>由图可知，</w:t>
      </w:r>
      <w:r>
        <w:rPr>
          <w:rFonts w:ascii="宋体" w:hAnsi="宋体" w:cs="Arial"/>
          <w:color w:val="000000"/>
          <w:sz w:val="24"/>
          <w:szCs w:val="21"/>
        </w:rPr>
        <w:t>不同地区之间的泰尔指数存在差异。一些地区</w:t>
      </w:r>
      <w:r>
        <w:rPr>
          <w:rFonts w:hint="eastAsia" w:ascii="宋体" w:hAnsi="宋体" w:cs="Arial"/>
          <w:color w:val="000000"/>
          <w:sz w:val="24"/>
          <w:szCs w:val="21"/>
        </w:rPr>
        <w:t>如新疆，贵州</w:t>
      </w:r>
      <w:r>
        <w:rPr>
          <w:rFonts w:ascii="宋体" w:hAnsi="宋体" w:cs="Arial"/>
          <w:color w:val="000000"/>
          <w:sz w:val="24"/>
          <w:szCs w:val="21"/>
        </w:rPr>
        <w:t>在多个年份都呈现较高的泰尔指数，说明这些地区的收入分配问题比较严重。而另一些地区</w:t>
      </w:r>
      <w:r>
        <w:rPr>
          <w:rFonts w:hint="eastAsia" w:ascii="宋体" w:hAnsi="宋体" w:cs="Arial"/>
          <w:color w:val="000000"/>
          <w:sz w:val="24"/>
          <w:szCs w:val="21"/>
        </w:rPr>
        <w:t>如北京，上海</w:t>
      </w:r>
      <w:r>
        <w:rPr>
          <w:rFonts w:ascii="宋体" w:hAnsi="宋体" w:cs="Arial"/>
          <w:color w:val="000000"/>
          <w:sz w:val="24"/>
          <w:szCs w:val="21"/>
        </w:rPr>
        <w:t>的泰尔指数相对较低，说明这些地区的收入分配相对较为均衡。</w:t>
      </w:r>
    </w:p>
    <w:p>
      <w:pPr>
        <w:spacing w:before="156" w:beforeLines="50" w:after="156" w:afterLines="50" w:line="400" w:lineRule="exact"/>
        <w:ind w:firstLine="480" w:firstLineChars="200"/>
        <w:rPr>
          <w:rFonts w:ascii="宋体" w:hAnsi="宋体" w:cs="Arial"/>
          <w:color w:val="000000"/>
          <w:sz w:val="24"/>
          <w:szCs w:val="21"/>
        </w:rPr>
      </w:pPr>
      <w:r>
        <w:rPr>
          <w:rFonts w:ascii="宋体" w:hAnsi="宋体" w:cs="Arial"/>
          <w:color w:val="000000"/>
          <w:sz w:val="24"/>
          <w:szCs w:val="21"/>
        </w:rPr>
        <w:t>综上所述，通过时间轴图表，我们可以直观地观察到全国各地区在收入分配不均衡方面的变化趋势，并比较不同地区的泰尔指数情况。这有助于我们了解和关注收入分配的公平性和社会经济发展的平衡性。</w:t>
      </w:r>
    </w:p>
    <w:p>
      <w:pPr>
        <w:rPr>
          <w:rFonts w:ascii="黑体" w:hAnsi="黑体" w:eastAsia="黑体" w:cs="黑体"/>
          <w:color w:val="333333"/>
          <w:sz w:val="28"/>
          <w:szCs w:val="28"/>
          <w:shd w:val="clear" w:color="auto" w:fill="FFFFFF"/>
        </w:rPr>
      </w:pPr>
      <w:r>
        <w:rPr>
          <w:rFonts w:ascii="Cambria" w:hAnsi="Cambria" w:eastAsia="黑体" w:cs="Cambria"/>
          <w:color w:val="333333"/>
          <w:sz w:val="28"/>
          <w:szCs w:val="28"/>
          <w:shd w:val="clear" w:color="auto" w:fill="FFFFFF"/>
        </w:rPr>
        <w:t>4.4.2</w:t>
      </w:r>
      <w:r>
        <w:rPr>
          <w:rFonts w:hint="eastAsia" w:ascii="黑体" w:hAnsi="黑体" w:eastAsia="黑体" w:cs="黑体"/>
          <w:color w:val="333333"/>
          <w:sz w:val="28"/>
          <w:szCs w:val="28"/>
          <w:shd w:val="clear" w:color="auto" w:fill="FFFFFF"/>
        </w:rPr>
        <w:t>地图</w:t>
      </w:r>
    </w:p>
    <w:p>
      <w:pPr>
        <w:spacing w:before="156" w:beforeLines="50" w:after="156" w:afterLines="50" w:line="400" w:lineRule="exact"/>
        <w:ind w:firstLine="480" w:firstLineChars="200"/>
        <w:rPr>
          <w:rFonts w:ascii="宋体" w:hAnsi="宋体" w:cs="Arial"/>
          <w:color w:val="000000"/>
          <w:sz w:val="24"/>
          <w:szCs w:val="21"/>
        </w:rPr>
      </w:pPr>
      <w:r>
        <w:rPr>
          <w:rFonts w:hint="eastAsia" w:ascii="宋体" w:hAnsi="宋体" w:cs="Arial"/>
          <w:color w:val="000000"/>
          <w:sz w:val="24"/>
          <w:szCs w:val="21"/>
        </w:rPr>
        <w:t>这段代码首先创建了一个空列表name_list，用于存储统一格式后的地区名称。然后使用循环遍历原始地区名称列表names，对每个地区名称进行处理，将不规范的名称统一为规范的格式，并添加到name_list中。例如，将"上海"统一为"上海市"，将"重庆"统一为"重庆市"，将"天津"统一为"天津市"等。</w:t>
      </w:r>
    </w:p>
    <w:p>
      <w:pPr>
        <w:spacing w:before="156" w:beforeLines="50" w:after="156" w:afterLines="50" w:line="400" w:lineRule="exact"/>
        <w:ind w:firstLine="480" w:firstLineChars="200"/>
        <w:rPr>
          <w:rFonts w:ascii="宋体" w:hAnsi="宋体" w:cs="Arial"/>
          <w:color w:val="000000"/>
          <w:sz w:val="24"/>
          <w:szCs w:val="21"/>
        </w:rPr>
      </w:pPr>
      <w:r>
        <w:rPr>
          <w:rFonts w:hint="eastAsia" w:ascii="宋体" w:hAnsi="宋体" w:cs="Arial"/>
          <w:color w:val="000000"/>
          <w:sz w:val="24"/>
          <w:szCs w:val="21"/>
        </w:rPr>
        <w:t>重新定义了data_ind字典，并将格式化后的数据存储到其中。每个年份对应一个子字典，其中包含每个地区的名称和对应的泰尔指数值。</w:t>
      </w:r>
    </w:p>
    <w:p>
      <w:pPr>
        <w:spacing w:before="156" w:beforeLines="50" w:after="156" w:afterLines="50" w:line="400" w:lineRule="exact"/>
        <w:ind w:firstLine="480" w:firstLineChars="200"/>
        <w:rPr>
          <w:rFonts w:ascii="宋体" w:hAnsi="宋体" w:cs="Arial"/>
          <w:color w:val="000000"/>
          <w:sz w:val="24"/>
          <w:szCs w:val="21"/>
        </w:rPr>
      </w:pPr>
      <w:r>
        <w:rPr>
          <w:rFonts w:hint="eastAsia" w:ascii="宋体" w:hAnsi="宋体" w:cs="Arial"/>
          <w:color w:val="000000"/>
          <w:sz w:val="24"/>
          <w:szCs w:val="21"/>
        </w:rPr>
        <w:t>修改了format_data函数，将地区名称与对应的泰尔指数值一起存储，并使用统一格式的地区名称。</w:t>
      </w:r>
    </w:p>
    <w:p>
      <w:pPr>
        <w:spacing w:before="156" w:beforeLines="50" w:after="156" w:afterLines="50" w:line="400" w:lineRule="exact"/>
        <w:ind w:firstLine="480" w:firstLineChars="200"/>
        <w:rPr>
          <w:rFonts w:ascii="宋体" w:hAnsi="宋体" w:cs="Arial"/>
          <w:color w:val="000000"/>
          <w:sz w:val="24"/>
          <w:szCs w:val="21"/>
        </w:rPr>
      </w:pPr>
      <w:r>
        <w:rPr>
          <w:rFonts w:hint="eastAsia" w:ascii="宋体" w:hAnsi="宋体" w:cs="Arial"/>
          <w:color w:val="000000"/>
          <w:sz w:val="24"/>
          <w:szCs w:val="21"/>
        </w:rPr>
        <w:t>创建了一个新的时间轴对象timeline2，并使用循环将每个年份的地图图表添加到时间轴中。</w:t>
      </w:r>
    </w:p>
    <w:p>
      <w:pPr>
        <w:spacing w:before="156" w:beforeLines="50" w:after="156" w:afterLines="50" w:line="400" w:lineRule="exact"/>
        <w:ind w:firstLine="480" w:firstLineChars="200"/>
        <w:rPr>
          <w:rFonts w:ascii="宋体" w:hAnsi="宋体" w:cs="Arial"/>
          <w:color w:val="000000"/>
          <w:sz w:val="24"/>
          <w:szCs w:val="21"/>
        </w:rPr>
      </w:pPr>
      <w:r>
        <w:rPr>
          <w:rFonts w:hint="eastAsia" w:ascii="宋体" w:hAnsi="宋体" w:cs="Arial"/>
          <w:color w:val="000000"/>
          <w:sz w:val="24"/>
          <w:szCs w:val="21"/>
        </w:rPr>
        <w:t>调用get_year_overlap_chart()函数获取每个年份对应的地图（Map）对象，表示该年份的泰尔指数情况。</w:t>
      </w:r>
    </w:p>
    <w:p>
      <w:pPr>
        <w:spacing w:before="156" w:beforeLines="50" w:after="156" w:afterLines="50" w:line="400" w:lineRule="exact"/>
        <w:ind w:firstLine="480" w:firstLineChars="200"/>
        <w:rPr>
          <w:rFonts w:ascii="宋体" w:hAnsi="宋体" w:cs="Arial"/>
          <w:color w:val="000000"/>
          <w:sz w:val="24"/>
          <w:szCs w:val="21"/>
        </w:rPr>
      </w:pPr>
      <w:r>
        <w:rPr>
          <w:rFonts w:hint="eastAsia" w:ascii="宋体" w:hAnsi="宋体" w:cs="Arial"/>
          <w:color w:val="000000"/>
          <w:sz w:val="24"/>
          <w:szCs w:val="21"/>
        </w:rPr>
        <w:t>在地图对象中，使用add()方法添加地图数据，设置标题、视觉映射配置和提示框等全局选项。</w:t>
      </w:r>
    </w:p>
    <w:p>
      <w:pPr>
        <w:spacing w:before="156" w:beforeLines="50" w:after="156" w:afterLines="50" w:line="400" w:lineRule="exact"/>
        <w:ind w:firstLine="480" w:firstLineChars="200"/>
        <w:rPr>
          <w:rFonts w:ascii="宋体" w:hAnsi="宋体" w:cs="Arial"/>
          <w:color w:val="000000"/>
          <w:sz w:val="24"/>
          <w:szCs w:val="21"/>
        </w:rPr>
      </w:pPr>
      <w:r>
        <w:rPr>
          <w:rFonts w:hint="eastAsia" w:ascii="宋体" w:hAnsi="宋体" w:cs="Arial"/>
          <w:color w:val="000000"/>
          <w:sz w:val="24"/>
          <w:szCs w:val="21"/>
        </w:rPr>
        <w:t>最后，通过调用timeline2.render_notebook()方法，将时间轴图表渲染为Jupyter Notebook中的可视化结果。如图4.</w:t>
      </w:r>
      <w:r>
        <w:rPr>
          <w:rFonts w:ascii="宋体" w:hAnsi="宋体" w:cs="Arial"/>
          <w:color w:val="000000"/>
          <w:sz w:val="24"/>
          <w:szCs w:val="21"/>
        </w:rPr>
        <w:t>6</w:t>
      </w:r>
      <w:r>
        <w:rPr>
          <w:rFonts w:hint="eastAsia" w:ascii="宋体" w:hAnsi="宋体" w:cs="Arial"/>
          <w:color w:val="000000"/>
          <w:sz w:val="24"/>
          <w:szCs w:val="21"/>
        </w:rPr>
        <w:t>所示：</w:t>
      </w:r>
    </w:p>
    <w:p>
      <w:pPr>
        <w:widowControl/>
        <w:jc w:val="left"/>
      </w:pPr>
      <w:r>
        <w:drawing>
          <wp:inline distT="0" distB="0" distL="0" distR="0">
            <wp:extent cx="5400040" cy="264160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400040" cy="2641600"/>
                    </a:xfrm>
                    <a:prstGeom prst="rect">
                      <a:avLst/>
                    </a:prstGeom>
                    <a:noFill/>
                    <a:ln>
                      <a:noFill/>
                    </a:ln>
                  </pic:spPr>
                </pic:pic>
              </a:graphicData>
            </a:graphic>
          </wp:inline>
        </w:drawing>
      </w:r>
    </w:p>
    <w:p>
      <w:pPr>
        <w:jc w:val="center"/>
        <w:rPr>
          <w:rFonts w:ascii="宋体" w:hAnsi="宋体"/>
          <w:bCs/>
          <w:color w:val="000000"/>
          <w:szCs w:val="21"/>
        </w:rPr>
      </w:pPr>
      <w:r>
        <w:rPr>
          <w:rFonts w:hint="eastAsia" w:ascii="宋体" w:hAnsi="宋体"/>
          <w:bCs/>
          <w:color w:val="000000"/>
          <w:szCs w:val="21"/>
        </w:rPr>
        <w:t>图4.</w:t>
      </w:r>
      <w:r>
        <w:rPr>
          <w:rFonts w:ascii="宋体" w:hAnsi="宋体"/>
          <w:bCs/>
          <w:color w:val="000000"/>
          <w:szCs w:val="21"/>
        </w:rPr>
        <w:t xml:space="preserve">6 </w:t>
      </w:r>
      <w:r>
        <w:rPr>
          <w:rFonts w:hint="eastAsia" w:ascii="宋体" w:hAnsi="宋体"/>
          <w:bCs/>
          <w:color w:val="000000"/>
          <w:szCs w:val="21"/>
        </w:rPr>
        <w:t>泰尔指数情况一览地图</w:t>
      </w:r>
    </w:p>
    <w:p>
      <w:pPr>
        <w:spacing w:line="400" w:lineRule="exact"/>
        <w:rPr>
          <w:rFonts w:ascii="宋体" w:hAnsi="宋体" w:cs="Arial"/>
          <w:color w:val="000000"/>
          <w:sz w:val="24"/>
          <w:szCs w:val="21"/>
        </w:rPr>
      </w:pPr>
    </w:p>
    <w:p>
      <w:pPr>
        <w:spacing w:before="156" w:beforeLines="50" w:after="156" w:afterLines="50" w:line="400" w:lineRule="exact"/>
        <w:ind w:firstLine="480" w:firstLineChars="200"/>
        <w:rPr>
          <w:rFonts w:ascii="宋体" w:hAnsi="宋体" w:cs="Arial"/>
          <w:color w:val="000000"/>
          <w:sz w:val="24"/>
          <w:szCs w:val="21"/>
        </w:rPr>
      </w:pPr>
      <w:r>
        <w:rPr>
          <w:rFonts w:hint="eastAsia" w:ascii="宋体" w:hAnsi="宋体" w:cs="Arial"/>
          <w:color w:val="000000"/>
          <w:sz w:val="24"/>
          <w:szCs w:val="21"/>
        </w:rPr>
        <w:t>根据结果图，通过时间轴的方式，可以逐年查看泰尔指数的变化趋势，并对不同地区之间的差异进行比较。</w:t>
      </w:r>
    </w:p>
    <w:p>
      <w:pPr>
        <w:pStyle w:val="3"/>
        <w:spacing w:before="156" w:after="156"/>
      </w:pPr>
      <w:bookmarkStart w:id="34" w:name="_Toc136533380"/>
      <w:r>
        <w:rPr>
          <w:rFonts w:hint="eastAsia"/>
        </w:rPr>
        <w:t>4.5人均可支配收入情况一览</w:t>
      </w:r>
      <w:bookmarkEnd w:id="34"/>
    </w:p>
    <w:p>
      <w:pPr>
        <w:widowControl/>
        <w:spacing w:before="156" w:beforeLines="50" w:after="156" w:afterLines="50" w:line="400" w:lineRule="exact"/>
        <w:ind w:firstLine="480" w:firstLineChars="200"/>
        <w:jc w:val="left"/>
        <w:rPr>
          <w:rFonts w:ascii="宋体" w:hAnsi="宋体" w:cs="Arial"/>
          <w:color w:val="000000"/>
          <w:sz w:val="24"/>
          <w:szCs w:val="21"/>
        </w:rPr>
      </w:pPr>
      <w:r>
        <w:rPr>
          <w:rFonts w:hint="eastAsia" w:ascii="宋体" w:hAnsi="宋体" w:cs="Arial"/>
          <w:color w:val="000000"/>
          <w:sz w:val="24"/>
          <w:szCs w:val="21"/>
        </w:rPr>
        <w:t>在该主题的代码实现中定义了一个名为get_year_overlap_chart的函数，用于生成可支配收入情况的时间轴图表。函数内部的操作包括：</w:t>
      </w:r>
    </w:p>
    <w:p>
      <w:pPr>
        <w:widowControl/>
        <w:spacing w:before="156" w:beforeLines="50" w:after="156" w:afterLines="50" w:line="400" w:lineRule="exact"/>
        <w:ind w:firstLine="480" w:firstLineChars="200"/>
        <w:jc w:val="left"/>
        <w:rPr>
          <w:rFonts w:ascii="宋体" w:hAnsi="宋体" w:cs="Arial"/>
          <w:color w:val="000000"/>
          <w:sz w:val="24"/>
          <w:szCs w:val="21"/>
        </w:rPr>
      </w:pPr>
      <w:r>
        <w:rPr>
          <w:rFonts w:hint="eastAsia" w:ascii="宋体" w:hAnsi="宋体" w:cs="Arial"/>
          <w:color w:val="000000"/>
          <w:sz w:val="24"/>
          <w:szCs w:val="21"/>
        </w:rPr>
        <w:t>1.创建了一个柱状图（Bar）对象bar，用于展示不同年份的居民、城市和农村可支配收入的情况。使用add_yaxis()方法分别添加居民、城市和农村可支配收入的数据，其中total_data["dataINCOME"][year]表示居民可支配收入，total_data["dataCITY"][year]表示城市可支配收入，total_data["dataCOUNTRY"][year]表示农村可支配收入。</w:t>
      </w:r>
    </w:p>
    <w:p>
      <w:pPr>
        <w:widowControl/>
        <w:spacing w:before="156" w:beforeLines="50" w:after="156" w:afterLines="50" w:line="400" w:lineRule="exact"/>
        <w:ind w:firstLine="200"/>
        <w:jc w:val="left"/>
        <w:rPr>
          <w:rFonts w:ascii="宋体" w:hAnsi="宋体" w:cs="Arial"/>
          <w:color w:val="000000"/>
          <w:sz w:val="24"/>
          <w:szCs w:val="21"/>
        </w:rPr>
      </w:pPr>
      <w:r>
        <w:rPr>
          <w:rFonts w:hint="eastAsia" w:ascii="宋体" w:hAnsi="宋体" w:cs="Arial"/>
          <w:color w:val="000000"/>
          <w:sz w:val="24"/>
          <w:szCs w:val="21"/>
        </w:rPr>
        <w:t>使用set_global_opts()方法设置全局选项，包括标题、提示框和横轴标签的显示设置。</w:t>
      </w:r>
    </w:p>
    <w:p>
      <w:pPr>
        <w:widowControl/>
        <w:spacing w:before="156" w:beforeLines="50" w:after="156" w:afterLines="50" w:line="400" w:lineRule="exact"/>
        <w:ind w:firstLine="480" w:firstLineChars="200"/>
        <w:jc w:val="left"/>
        <w:rPr>
          <w:rFonts w:ascii="宋体" w:hAnsi="宋体" w:cs="Arial"/>
          <w:color w:val="000000"/>
          <w:sz w:val="24"/>
          <w:szCs w:val="21"/>
        </w:rPr>
      </w:pPr>
      <w:r>
        <w:rPr>
          <w:rFonts w:hint="eastAsia" w:ascii="宋体" w:hAnsi="宋体" w:cs="Arial"/>
          <w:color w:val="000000"/>
          <w:sz w:val="24"/>
          <w:szCs w:val="21"/>
        </w:rPr>
        <w:t>2.创建了一个饼图（Pie）对象pie，用于展示城市和农村可支配收入的占比情况。使用add()方法添加饼图的数据，其中城市和农村的可支配收入占比由total_data["dataCITY"]["{}sum".format(year)]和total_data["dataCOUNTRY"]["{}sum".format(year)]给出。</w:t>
      </w:r>
    </w:p>
    <w:p>
      <w:pPr>
        <w:widowControl/>
        <w:spacing w:before="156" w:beforeLines="50" w:after="156" w:afterLines="50" w:line="400" w:lineRule="exact"/>
        <w:ind w:firstLine="200"/>
        <w:jc w:val="left"/>
        <w:rPr>
          <w:rFonts w:ascii="宋体" w:hAnsi="宋体" w:cs="Arial"/>
          <w:color w:val="000000"/>
          <w:sz w:val="24"/>
          <w:szCs w:val="21"/>
        </w:rPr>
      </w:pPr>
      <w:r>
        <w:rPr>
          <w:rFonts w:hint="eastAsia" w:ascii="宋体" w:hAnsi="宋体" w:cs="Arial"/>
          <w:color w:val="000000"/>
          <w:sz w:val="24"/>
          <w:szCs w:val="21"/>
        </w:rPr>
        <w:t>使用set_series_opts()方法设置饼图的提示框选项。</w:t>
      </w:r>
    </w:p>
    <w:p>
      <w:pPr>
        <w:widowControl/>
        <w:spacing w:before="156" w:beforeLines="50" w:after="156" w:afterLines="50" w:line="400" w:lineRule="exact"/>
        <w:ind w:firstLine="200"/>
        <w:jc w:val="left"/>
        <w:rPr>
          <w:rFonts w:ascii="宋体" w:hAnsi="宋体" w:cs="Arial"/>
          <w:color w:val="000000"/>
          <w:sz w:val="24"/>
          <w:szCs w:val="21"/>
        </w:rPr>
      </w:pPr>
      <w:r>
        <w:rPr>
          <w:rFonts w:hint="eastAsia" w:ascii="宋体" w:hAnsi="宋体" w:cs="Arial"/>
          <w:color w:val="000000"/>
          <w:sz w:val="24"/>
          <w:szCs w:val="21"/>
        </w:rPr>
        <w:t>最后，使用.overlap()方法将柱状图和饼图叠加在一起，并返回叠加后的图表对象。</w:t>
      </w:r>
    </w:p>
    <w:p>
      <w:pPr>
        <w:widowControl/>
        <w:spacing w:before="156" w:beforeLines="50" w:after="156" w:afterLines="50" w:line="400" w:lineRule="exact"/>
        <w:ind w:firstLine="480" w:firstLineChars="200"/>
        <w:jc w:val="left"/>
        <w:rPr>
          <w:rFonts w:ascii="宋体" w:hAnsi="宋体" w:cs="Arial"/>
          <w:color w:val="000000"/>
          <w:sz w:val="24"/>
          <w:szCs w:val="21"/>
        </w:rPr>
      </w:pPr>
      <w:r>
        <w:rPr>
          <w:rFonts w:hint="eastAsia" w:ascii="宋体" w:hAnsi="宋体" w:cs="Arial"/>
          <w:color w:val="000000"/>
          <w:sz w:val="24"/>
          <w:szCs w:val="21"/>
        </w:rPr>
        <w:t>接下来，代码创建了一个新的时间轴对象timeline3，通过循环遍历每个年份，并调用get_year_overlap_chart(year=y)函数获取对应年份的图表。将每个年份的图表添加到时间轴中，并使用add_schema()方法设置自动播放和播放间隔。</w:t>
      </w:r>
    </w:p>
    <w:p>
      <w:pPr>
        <w:widowControl/>
        <w:spacing w:before="156" w:beforeLines="50" w:after="156" w:afterLines="50" w:line="400" w:lineRule="exact"/>
        <w:ind w:firstLine="480" w:firstLineChars="200"/>
        <w:jc w:val="left"/>
        <w:rPr>
          <w:rFonts w:ascii="宋体" w:hAnsi="宋体" w:cs="Arial"/>
          <w:color w:val="000000"/>
          <w:sz w:val="24"/>
          <w:szCs w:val="21"/>
        </w:rPr>
      </w:pPr>
      <w:r>
        <w:rPr>
          <w:rFonts w:hint="eastAsia" w:ascii="宋体" w:hAnsi="宋体" w:cs="Arial"/>
          <w:color w:val="000000"/>
          <w:sz w:val="24"/>
          <w:szCs w:val="21"/>
        </w:rPr>
        <w:t>最后，调用timeline3.render_notebook()方法将时间轴图表渲染为Jupyter Notebook中的可视化结果。如图4.</w:t>
      </w:r>
      <w:r>
        <w:rPr>
          <w:rFonts w:ascii="宋体" w:hAnsi="宋体" w:cs="Arial"/>
          <w:color w:val="000000"/>
          <w:sz w:val="24"/>
          <w:szCs w:val="21"/>
        </w:rPr>
        <w:t>7</w:t>
      </w:r>
      <w:r>
        <w:rPr>
          <w:rFonts w:hint="eastAsia" w:ascii="宋体" w:hAnsi="宋体" w:cs="Arial"/>
          <w:color w:val="000000"/>
          <w:sz w:val="24"/>
          <w:szCs w:val="21"/>
        </w:rPr>
        <w:t>所示：</w:t>
      </w:r>
    </w:p>
    <w:p>
      <w:pPr>
        <w:widowControl/>
        <w:jc w:val="left"/>
        <w:rPr>
          <w:rFonts w:ascii="宋体" w:hAnsi="宋体" w:cs="Arial"/>
          <w:color w:val="000000"/>
          <w:sz w:val="24"/>
          <w:szCs w:val="21"/>
        </w:rPr>
      </w:pPr>
    </w:p>
    <w:p>
      <w:pPr>
        <w:widowControl/>
        <w:jc w:val="left"/>
      </w:pPr>
      <w:r>
        <w:drawing>
          <wp:inline distT="0" distB="0" distL="0" distR="0">
            <wp:extent cx="5400040" cy="25723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400040" cy="2572385"/>
                    </a:xfrm>
                    <a:prstGeom prst="rect">
                      <a:avLst/>
                    </a:prstGeom>
                    <a:noFill/>
                    <a:ln>
                      <a:noFill/>
                    </a:ln>
                  </pic:spPr>
                </pic:pic>
              </a:graphicData>
            </a:graphic>
          </wp:inline>
        </w:drawing>
      </w:r>
    </w:p>
    <w:p>
      <w:pPr>
        <w:jc w:val="center"/>
        <w:rPr>
          <w:rFonts w:ascii="宋体" w:hAnsi="宋体"/>
          <w:bCs/>
          <w:color w:val="000000"/>
          <w:szCs w:val="21"/>
        </w:rPr>
      </w:pPr>
      <w:r>
        <w:rPr>
          <w:rFonts w:hint="eastAsia" w:ascii="宋体" w:hAnsi="宋体"/>
          <w:bCs/>
          <w:color w:val="000000"/>
          <w:szCs w:val="21"/>
        </w:rPr>
        <w:t>图4.</w:t>
      </w:r>
      <w:r>
        <w:rPr>
          <w:rFonts w:ascii="宋体" w:hAnsi="宋体"/>
          <w:bCs/>
          <w:color w:val="000000"/>
          <w:szCs w:val="21"/>
        </w:rPr>
        <w:t xml:space="preserve">7 </w:t>
      </w:r>
      <w:r>
        <w:rPr>
          <w:rFonts w:hint="eastAsia" w:ascii="宋体" w:hAnsi="宋体"/>
          <w:bCs/>
          <w:color w:val="000000"/>
          <w:szCs w:val="21"/>
        </w:rPr>
        <w:t>人均可支配收入情况一览</w:t>
      </w:r>
    </w:p>
    <w:p>
      <w:pPr>
        <w:spacing w:before="156" w:beforeLines="50" w:after="156" w:afterLines="50" w:line="400" w:lineRule="exact"/>
        <w:ind w:firstLine="480" w:firstLineChars="200"/>
        <w:rPr>
          <w:rFonts w:ascii="宋体" w:hAnsi="宋体" w:cs="Arial"/>
          <w:color w:val="000000"/>
          <w:sz w:val="24"/>
          <w:szCs w:val="21"/>
        </w:rPr>
      </w:pPr>
      <w:r>
        <w:rPr>
          <w:rFonts w:hint="eastAsia" w:ascii="宋体" w:hAnsi="宋体" w:cs="Arial"/>
          <w:color w:val="000000"/>
          <w:sz w:val="24"/>
          <w:szCs w:val="21"/>
        </w:rPr>
        <w:t>该图表的目的是展示不同年份的居民、城市和农村可支配收入情况，并通过柱状图和饼图的叠加来呈现可支配收入的占比情况。时间轴图表可以逐年观察可支配收入的变化趋势，并对不同地区和来源的收入进行比较和分析。通过观察该图表可以得出以下结论：</w:t>
      </w:r>
    </w:p>
    <w:p>
      <w:pPr>
        <w:spacing w:before="156" w:beforeLines="50" w:after="156" w:afterLines="50" w:line="400" w:lineRule="exact"/>
        <w:ind w:firstLine="480" w:firstLineChars="200"/>
        <w:rPr>
          <w:rFonts w:ascii="宋体" w:hAnsi="宋体" w:cs="Arial"/>
          <w:color w:val="000000"/>
          <w:sz w:val="24"/>
          <w:szCs w:val="21"/>
        </w:rPr>
      </w:pPr>
      <w:r>
        <w:rPr>
          <w:rFonts w:ascii="宋体" w:hAnsi="宋体" w:cs="Arial"/>
          <w:color w:val="000000"/>
          <w:sz w:val="24"/>
          <w:szCs w:val="21"/>
        </w:rPr>
        <w:t>上海、山东和内蒙古地区的可支配收入较大，表明这些地区的居民、城市和农村收入水平相对较高。</w:t>
      </w:r>
    </w:p>
    <w:p>
      <w:pPr>
        <w:spacing w:before="156" w:beforeLines="50" w:after="156" w:afterLines="50" w:line="400" w:lineRule="exact"/>
        <w:ind w:firstLine="480" w:firstLineChars="200"/>
        <w:rPr>
          <w:rFonts w:ascii="宋体" w:hAnsi="宋体" w:cs="Arial"/>
          <w:color w:val="000000"/>
          <w:sz w:val="24"/>
          <w:szCs w:val="21"/>
        </w:rPr>
      </w:pPr>
      <w:r>
        <w:rPr>
          <w:rFonts w:ascii="宋体" w:hAnsi="宋体" w:cs="Arial"/>
          <w:color w:val="000000"/>
          <w:sz w:val="24"/>
          <w:szCs w:val="21"/>
        </w:rPr>
        <w:t>随着时间的推移，全国的可支配收入总体呈现增长趋势，但不同地区和来源的收入增长速度可能存在差异。</w:t>
      </w:r>
    </w:p>
    <w:p>
      <w:pPr>
        <w:spacing w:before="156" w:beforeLines="50" w:after="156" w:afterLines="50" w:line="400" w:lineRule="exact"/>
        <w:ind w:firstLine="480" w:firstLineChars="200"/>
        <w:rPr>
          <w:rFonts w:ascii="宋体" w:hAnsi="宋体" w:cs="Arial"/>
          <w:color w:val="000000"/>
          <w:sz w:val="24"/>
          <w:szCs w:val="21"/>
        </w:rPr>
      </w:pPr>
      <w:r>
        <w:rPr>
          <w:rFonts w:ascii="宋体" w:hAnsi="宋体" w:cs="Arial"/>
          <w:color w:val="000000"/>
          <w:sz w:val="24"/>
          <w:szCs w:val="21"/>
        </w:rPr>
        <w:t>饼图显示了城市和农村可支配收入的占比情况。根据图表显示的数据，可以比较城市和农村的收入占比变化，观察城乡收入差距的演变趋势。</w:t>
      </w:r>
    </w:p>
    <w:p>
      <w:pPr>
        <w:spacing w:before="156" w:beforeLines="50" w:after="156" w:afterLines="50" w:line="400" w:lineRule="exact"/>
        <w:ind w:firstLine="480" w:firstLineChars="200"/>
        <w:rPr>
          <w:rFonts w:ascii="宋体" w:hAnsi="宋体" w:cs="Arial"/>
          <w:color w:val="000000"/>
          <w:sz w:val="24"/>
          <w:szCs w:val="21"/>
        </w:rPr>
      </w:pPr>
      <w:r>
        <w:rPr>
          <w:rFonts w:ascii="宋体" w:hAnsi="宋体" w:cs="Arial"/>
          <w:color w:val="000000"/>
          <w:sz w:val="24"/>
          <w:szCs w:val="21"/>
        </w:rPr>
        <w:t>通过时间轴的功能，可以逐年观察可支配收入的变化趋势，了解不同地区和来源的收入情况，并进行比较和分析。</w:t>
      </w:r>
    </w:p>
    <w:p>
      <w:pPr>
        <w:spacing w:line="400" w:lineRule="exact"/>
        <w:rPr>
          <w:rFonts w:ascii="宋体" w:hAnsi="宋体" w:cs="Arial"/>
          <w:color w:val="000000"/>
          <w:sz w:val="24"/>
          <w:szCs w:val="21"/>
        </w:rPr>
      </w:pPr>
    </w:p>
    <w:p>
      <w:pPr>
        <w:pStyle w:val="3"/>
        <w:spacing w:before="156" w:after="156"/>
      </w:pPr>
      <w:bookmarkStart w:id="35" w:name="_Toc136533381"/>
      <w:r>
        <w:rPr>
          <w:rFonts w:hint="eastAsia"/>
        </w:rPr>
        <w:t>4.6全国人口组成情况一览</w:t>
      </w:r>
      <w:bookmarkEnd w:id="35"/>
    </w:p>
    <w:p>
      <w:pPr>
        <w:widowControl/>
        <w:spacing w:before="156" w:beforeLines="50" w:after="156" w:afterLines="50" w:line="400" w:lineRule="exact"/>
        <w:ind w:firstLine="480" w:firstLineChars="200"/>
        <w:jc w:val="left"/>
        <w:rPr>
          <w:rFonts w:ascii="宋体" w:hAnsi="宋体" w:cs="Arial"/>
          <w:color w:val="000000"/>
          <w:sz w:val="24"/>
          <w:szCs w:val="21"/>
        </w:rPr>
      </w:pPr>
      <w:r>
        <w:rPr>
          <w:rFonts w:hint="eastAsia" w:ascii="宋体" w:hAnsi="宋体" w:cs="Arial"/>
          <w:color w:val="000000"/>
          <w:sz w:val="24"/>
          <w:szCs w:val="21"/>
        </w:rPr>
        <w:t>这段代码使用了Python的数据可视化库，主要利用了Bar（柱状图）和Pie（饼图）两个图表类型来绘制全国人口组成情况一览图。具体绘图过程如下：</w:t>
      </w:r>
    </w:p>
    <w:p>
      <w:pPr>
        <w:widowControl/>
        <w:spacing w:before="156" w:beforeLines="50" w:after="156" w:afterLines="50" w:line="400" w:lineRule="exact"/>
        <w:ind w:firstLine="480" w:firstLineChars="200"/>
        <w:jc w:val="left"/>
        <w:rPr>
          <w:rFonts w:ascii="宋体" w:hAnsi="宋体" w:cs="Arial"/>
          <w:color w:val="000000"/>
          <w:sz w:val="24"/>
          <w:szCs w:val="21"/>
        </w:rPr>
      </w:pPr>
      <w:r>
        <w:rPr>
          <w:rFonts w:hint="eastAsia" w:ascii="宋体" w:hAnsi="宋体" w:cs="Arial"/>
          <w:color w:val="000000"/>
          <w:sz w:val="24"/>
          <w:szCs w:val="21"/>
        </w:rPr>
        <w:t>创建Bar（柱状图）对象，并设置x轴数据为地区名称，分别添加总人口、城镇人口和农村人口的数据作为三个系列。通过设置series_name和y_axis来指定系列名称和对应的数据。设置图表的全局选项，包括标题、提示框和x轴标签等。</w:t>
      </w:r>
    </w:p>
    <w:p>
      <w:pPr>
        <w:widowControl/>
        <w:spacing w:before="156" w:beforeLines="50" w:after="156" w:afterLines="50" w:line="400" w:lineRule="exact"/>
        <w:ind w:firstLine="480" w:firstLineChars="200"/>
        <w:jc w:val="left"/>
        <w:rPr>
          <w:rFonts w:ascii="宋体" w:hAnsi="宋体" w:cs="Arial"/>
          <w:color w:val="000000"/>
          <w:sz w:val="24"/>
          <w:szCs w:val="21"/>
        </w:rPr>
      </w:pPr>
      <w:r>
        <w:rPr>
          <w:rFonts w:hint="eastAsia" w:ascii="宋体" w:hAnsi="宋体" w:cs="Arial"/>
          <w:color w:val="000000"/>
          <w:sz w:val="24"/>
          <w:szCs w:val="21"/>
        </w:rPr>
        <w:t>创建Pie（饼图）对象，并设置系列名称为人口组成，添加城镇人口和农村人口的数据作为两个饼图的数据项。通过设置center和radius来调整饼图的位置和大小。设置饼图的提示框选项，通过tooltip_opts指定是否显示提示框和触发方式。</w:t>
      </w:r>
    </w:p>
    <w:p>
      <w:pPr>
        <w:widowControl/>
        <w:spacing w:before="156" w:beforeLines="50" w:after="156" w:afterLines="50" w:line="400" w:lineRule="exact"/>
        <w:ind w:firstLine="480" w:firstLineChars="200"/>
        <w:jc w:val="left"/>
        <w:rPr>
          <w:rFonts w:ascii="宋体" w:hAnsi="宋体" w:cs="Arial"/>
          <w:color w:val="000000"/>
          <w:sz w:val="24"/>
          <w:szCs w:val="21"/>
        </w:rPr>
      </w:pPr>
      <w:r>
        <w:rPr>
          <w:rFonts w:hint="eastAsia" w:ascii="宋体" w:hAnsi="宋体" w:cs="Arial"/>
          <w:color w:val="000000"/>
          <w:sz w:val="24"/>
          <w:szCs w:val="21"/>
        </w:rPr>
        <w:t>使用bar.overlap(pie)将柱状图和饼图叠加在一起，形成最终的图表。创建Timeline（时间轴）对象，并循环添加每个年份的图表，使用get_year_overlap_chart函数生成图表对象。设置时间轴的全局选项，包括自动播放、播放间隔等。最后，使用render_notebook()将图表渲染并在Notebook中显示。如图4.</w:t>
      </w:r>
      <w:r>
        <w:rPr>
          <w:rFonts w:ascii="宋体" w:hAnsi="宋体" w:cs="Arial"/>
          <w:color w:val="000000"/>
          <w:sz w:val="24"/>
          <w:szCs w:val="21"/>
        </w:rPr>
        <w:t>8</w:t>
      </w:r>
      <w:r>
        <w:rPr>
          <w:rFonts w:hint="eastAsia" w:ascii="宋体" w:hAnsi="宋体" w:cs="Arial"/>
          <w:color w:val="000000"/>
          <w:sz w:val="24"/>
          <w:szCs w:val="21"/>
        </w:rPr>
        <w:t>所示：</w:t>
      </w:r>
    </w:p>
    <w:p>
      <w:pPr>
        <w:widowControl/>
        <w:jc w:val="center"/>
      </w:pPr>
      <w:r>
        <w:drawing>
          <wp:inline distT="0" distB="0" distL="0" distR="0">
            <wp:extent cx="5400040" cy="262128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400040" cy="2621280"/>
                    </a:xfrm>
                    <a:prstGeom prst="rect">
                      <a:avLst/>
                    </a:prstGeom>
                    <a:noFill/>
                    <a:ln>
                      <a:noFill/>
                    </a:ln>
                  </pic:spPr>
                </pic:pic>
              </a:graphicData>
            </a:graphic>
          </wp:inline>
        </w:drawing>
      </w:r>
    </w:p>
    <w:p>
      <w:pPr>
        <w:jc w:val="center"/>
        <w:rPr>
          <w:rFonts w:ascii="宋体" w:hAnsi="宋体"/>
          <w:bCs/>
          <w:color w:val="000000"/>
          <w:szCs w:val="21"/>
        </w:rPr>
      </w:pPr>
      <w:r>
        <w:rPr>
          <w:rFonts w:hint="eastAsia" w:ascii="宋体" w:hAnsi="宋体"/>
          <w:bCs/>
          <w:color w:val="000000"/>
          <w:szCs w:val="21"/>
        </w:rPr>
        <w:t>图4.</w:t>
      </w:r>
      <w:r>
        <w:rPr>
          <w:rFonts w:ascii="宋体" w:hAnsi="宋体"/>
          <w:bCs/>
          <w:color w:val="000000"/>
          <w:szCs w:val="21"/>
        </w:rPr>
        <w:t xml:space="preserve">8 </w:t>
      </w:r>
      <w:r>
        <w:rPr>
          <w:rFonts w:hint="eastAsia" w:ascii="宋体" w:hAnsi="宋体"/>
          <w:bCs/>
          <w:color w:val="000000"/>
          <w:szCs w:val="21"/>
        </w:rPr>
        <w:t>全国人口组成情况一览</w:t>
      </w:r>
    </w:p>
    <w:p>
      <w:pPr>
        <w:widowControl/>
        <w:spacing w:before="156" w:beforeLines="50" w:after="156" w:afterLines="50" w:line="400" w:lineRule="exact"/>
        <w:ind w:firstLine="480" w:firstLineChars="200"/>
        <w:jc w:val="left"/>
        <w:rPr>
          <w:rFonts w:ascii="宋体" w:hAnsi="宋体" w:cs="Arial"/>
          <w:color w:val="000000"/>
          <w:sz w:val="24"/>
          <w:szCs w:val="21"/>
        </w:rPr>
      </w:pPr>
      <w:r>
        <w:rPr>
          <w:rFonts w:ascii="宋体" w:hAnsi="宋体" w:cs="Arial"/>
          <w:color w:val="000000"/>
          <w:sz w:val="24"/>
          <w:szCs w:val="21"/>
        </w:rPr>
        <w:t>该图表的目的是同时展示不同年份的全国人口组成情况，通过柱状图和饼图的叠加来呈现人口的数量和比例关系。时间轴的使用使得可以逐年观察人口组成的变化趋势，并进行比较和分析。通过观察该图表可以得出以下结论：</w:t>
      </w:r>
    </w:p>
    <w:p>
      <w:pPr>
        <w:widowControl/>
        <w:spacing w:before="156" w:beforeLines="50" w:after="156" w:afterLines="50" w:line="400" w:lineRule="exact"/>
        <w:ind w:firstLine="480" w:firstLineChars="200"/>
        <w:jc w:val="left"/>
        <w:rPr>
          <w:rFonts w:ascii="宋体" w:hAnsi="宋体" w:cs="Arial"/>
          <w:color w:val="000000"/>
          <w:sz w:val="24"/>
          <w:szCs w:val="21"/>
        </w:rPr>
      </w:pPr>
      <w:r>
        <w:rPr>
          <w:rFonts w:ascii="宋体" w:hAnsi="宋体" w:cs="Arial"/>
          <w:color w:val="000000"/>
          <w:sz w:val="24"/>
          <w:szCs w:val="21"/>
        </w:rPr>
        <w:t>全国的总人口在2000年至2019年期间呈现增长趋势，表示人口总量逐渐增加。随着时间的推移，城镇人口和农村人口的比例可能发生变化。通过饼图可以比较不同年份城镇和农村人口的占比情况，观察城乡人口结构的演变趋势。</w:t>
      </w:r>
    </w:p>
    <w:p>
      <w:pPr>
        <w:widowControl/>
        <w:spacing w:before="156" w:beforeLines="50" w:after="156" w:afterLines="50" w:line="400" w:lineRule="exact"/>
        <w:ind w:firstLine="480" w:firstLineChars="200"/>
        <w:jc w:val="left"/>
        <w:rPr>
          <w:rFonts w:ascii="宋体" w:hAnsi="宋体" w:cs="Arial"/>
          <w:color w:val="000000"/>
          <w:sz w:val="24"/>
          <w:szCs w:val="21"/>
        </w:rPr>
      </w:pPr>
      <w:r>
        <w:rPr>
          <w:rFonts w:ascii="宋体" w:hAnsi="宋体" w:cs="Arial"/>
          <w:color w:val="000000"/>
          <w:sz w:val="24"/>
          <w:szCs w:val="21"/>
        </w:rPr>
        <w:t>柱状图显示了每个年份的总人口、城镇人口和农村人口的数量，可以通过柱状图的高度比较不同年份之间人口的变化情况。</w:t>
      </w:r>
      <w:r>
        <w:rPr>
          <w:rFonts w:hint="eastAsia" w:ascii="宋体" w:hAnsi="宋体" w:cs="Arial"/>
          <w:color w:val="000000"/>
          <w:sz w:val="24"/>
          <w:szCs w:val="21"/>
        </w:rPr>
        <w:t>可以看出安徽，河北的总居住人口一直居高不下，而新疆，吉林等地区的总居住人口则相对较少且变化较大。</w:t>
      </w:r>
    </w:p>
    <w:p>
      <w:pPr>
        <w:pStyle w:val="2"/>
        <w:spacing w:before="156" w:after="156"/>
        <w:jc w:val="center"/>
        <w:rPr>
          <w:rFonts w:ascii="黑体" w:hAnsi="黑体"/>
          <w:b w:val="0"/>
        </w:rPr>
        <w:sectPr>
          <w:pgSz w:w="11906" w:h="16838"/>
          <w:pgMar w:top="1701" w:right="1701" w:bottom="1418" w:left="1701" w:header="1247" w:footer="1020" w:gutter="0"/>
          <w:cols w:space="720" w:num="1"/>
          <w:docGrid w:type="linesAndChars" w:linePitch="312" w:charSpace="0"/>
        </w:sectPr>
      </w:pPr>
    </w:p>
    <w:p>
      <w:pPr>
        <w:pStyle w:val="2"/>
        <w:spacing w:before="156" w:after="156"/>
        <w:jc w:val="center"/>
        <w:rPr>
          <w:rFonts w:ascii="黑体" w:hAnsi="黑体"/>
          <w:b w:val="0"/>
        </w:rPr>
      </w:pPr>
      <w:bookmarkStart w:id="36" w:name="_Toc136533382"/>
      <w:r>
        <w:rPr>
          <w:rFonts w:hint="eastAsia" w:ascii="黑体" w:hAnsi="黑体"/>
          <w:b w:val="0"/>
        </w:rPr>
        <w:t>5 可视化大屏</w:t>
      </w:r>
      <w:bookmarkEnd w:id="36"/>
    </w:p>
    <w:p>
      <w:pPr>
        <w:pStyle w:val="3"/>
        <w:spacing w:before="156" w:after="156"/>
        <w:rPr>
          <w:rFonts w:ascii="黑体" w:hAnsi="黑体"/>
        </w:rPr>
      </w:pPr>
      <w:bookmarkStart w:id="37" w:name="_Toc136533383"/>
      <w:r>
        <w:rPr>
          <w:rFonts w:ascii="黑体" w:hAnsi="黑体"/>
        </w:rPr>
        <w:t>5</w:t>
      </w:r>
      <w:r>
        <w:rPr>
          <w:rFonts w:hint="eastAsia" w:ascii="黑体" w:hAnsi="黑体"/>
        </w:rPr>
        <w:t>.1 生成可视化大屏</w:t>
      </w:r>
      <w:bookmarkEnd w:id="37"/>
    </w:p>
    <w:p>
      <w:pPr>
        <w:spacing w:line="400" w:lineRule="exact"/>
        <w:ind w:firstLine="480" w:firstLineChars="200"/>
        <w:rPr>
          <w:rFonts w:ascii="宋体" w:hAnsi="宋体" w:cs="Arial"/>
          <w:color w:val="000000"/>
          <w:sz w:val="24"/>
          <w:szCs w:val="21"/>
        </w:rPr>
      </w:pPr>
      <w:r>
        <w:rPr>
          <w:rFonts w:hint="eastAsia" w:ascii="宋体" w:hAnsi="宋体" w:cs="Arial"/>
          <w:color w:val="000000"/>
          <w:sz w:val="24"/>
          <w:szCs w:val="21"/>
        </w:rPr>
        <w:t>使用Pyecharts制作可视化大屏，可以分为三步：</w:t>
      </w:r>
    </w:p>
    <w:p>
      <w:pPr>
        <w:spacing w:line="400" w:lineRule="exact"/>
        <w:ind w:firstLine="480" w:firstLineChars="200"/>
        <w:rPr>
          <w:rFonts w:ascii="宋体" w:hAnsi="宋体" w:cs="Arial"/>
          <w:color w:val="000000"/>
          <w:sz w:val="24"/>
          <w:szCs w:val="21"/>
        </w:rPr>
      </w:pPr>
      <w:r>
        <w:rPr>
          <w:rFonts w:hint="eastAsia" w:ascii="宋体" w:hAnsi="宋体" w:cs="Arial"/>
          <w:color w:val="000000"/>
          <w:sz w:val="24"/>
          <w:szCs w:val="21"/>
        </w:rPr>
        <w:t>第一步：利用Pyecharts的Page组件将已经绘制完成的图表整合到一个html文件中；</w:t>
      </w:r>
    </w:p>
    <w:p>
      <w:pPr>
        <w:spacing w:line="400" w:lineRule="exact"/>
        <w:ind w:firstLine="480" w:firstLineChars="200"/>
        <w:rPr>
          <w:rFonts w:ascii="宋体" w:hAnsi="宋体" w:cs="Arial"/>
          <w:color w:val="000000"/>
          <w:sz w:val="24"/>
          <w:szCs w:val="21"/>
        </w:rPr>
      </w:pPr>
      <w:r>
        <w:rPr>
          <w:rFonts w:hint="eastAsia" w:ascii="宋体" w:hAnsi="宋体" w:cs="Arial"/>
          <w:color w:val="000000"/>
          <w:sz w:val="24"/>
          <w:szCs w:val="21"/>
        </w:rPr>
        <w:t>第二步：打开上一步生成的html文件，自定义拖拽布局，完成后另存为js文件；</w:t>
      </w:r>
    </w:p>
    <w:p>
      <w:pPr>
        <w:spacing w:line="400" w:lineRule="exact"/>
        <w:ind w:firstLine="480" w:firstLineChars="200"/>
        <w:rPr>
          <w:rFonts w:ascii="宋体" w:hAnsi="宋体" w:cs="Arial"/>
          <w:color w:val="000000"/>
          <w:sz w:val="24"/>
          <w:szCs w:val="21"/>
        </w:rPr>
      </w:pPr>
      <w:r>
        <w:rPr>
          <w:rFonts w:hint="eastAsia" w:ascii="宋体" w:hAnsi="宋体" w:cs="Arial"/>
          <w:color w:val="000000"/>
          <w:sz w:val="24"/>
          <w:szCs w:val="21"/>
        </w:rPr>
        <w:t>第三步：再次利用Page组件通过上述两步所生成的html文件和js文件生成存放最终可视化大屏的html文件。</w:t>
      </w:r>
    </w:p>
    <w:p>
      <w:pPr>
        <w:spacing w:line="400" w:lineRule="exact"/>
        <w:ind w:firstLine="480" w:firstLineChars="200"/>
        <w:rPr>
          <w:rFonts w:ascii="宋体" w:hAnsi="宋体" w:cs="Arial"/>
          <w:color w:val="000000"/>
          <w:sz w:val="24"/>
          <w:szCs w:val="21"/>
        </w:rPr>
      </w:pPr>
    </w:p>
    <w:p>
      <w:pPr>
        <w:pStyle w:val="3"/>
        <w:spacing w:before="156" w:after="156"/>
        <w:rPr>
          <w:rFonts w:ascii="黑体" w:hAnsi="黑体"/>
        </w:rPr>
      </w:pPr>
      <w:bookmarkStart w:id="38" w:name="_Toc136533384"/>
      <w:r>
        <w:rPr>
          <w:rFonts w:ascii="黑体" w:hAnsi="黑体"/>
        </w:rPr>
        <w:t>5</w:t>
      </w:r>
      <w:r>
        <w:rPr>
          <w:rFonts w:hint="eastAsia" w:ascii="黑体" w:hAnsi="黑体"/>
        </w:rPr>
        <w:t>.2 可视化大屏展示</w:t>
      </w:r>
      <w:bookmarkEnd w:id="38"/>
    </w:p>
    <w:p>
      <w:pPr>
        <w:spacing w:line="400" w:lineRule="exact"/>
        <w:ind w:firstLine="420"/>
        <w:rPr>
          <w:rFonts w:ascii="宋体" w:hAnsi="宋体"/>
          <w:sz w:val="24"/>
          <w:szCs w:val="24"/>
        </w:rPr>
      </w:pPr>
      <w:r>
        <w:rPr>
          <w:rFonts w:hint="eastAsia" w:ascii="宋体" w:hAnsi="宋体"/>
          <w:sz w:val="24"/>
          <w:szCs w:val="24"/>
        </w:rPr>
        <w:t>基于Pyecharts的居民收入和消费支出情况分析的可视化大屏如下图5</w:t>
      </w:r>
      <w:r>
        <w:rPr>
          <w:rFonts w:ascii="宋体" w:hAnsi="宋体"/>
          <w:sz w:val="24"/>
          <w:szCs w:val="24"/>
        </w:rPr>
        <w:t>.1</w:t>
      </w:r>
      <w:r>
        <w:rPr>
          <w:rFonts w:hint="eastAsia" w:ascii="宋体" w:hAnsi="宋体"/>
          <w:sz w:val="24"/>
          <w:szCs w:val="24"/>
        </w:rPr>
        <w:t>所示:</w:t>
      </w:r>
    </w:p>
    <w:p>
      <w:pPr>
        <w:spacing w:line="360" w:lineRule="auto"/>
        <w:ind w:firstLine="420" w:firstLineChars="200"/>
        <w:rPr>
          <w:rFonts w:ascii="宋体" w:hAnsi="宋体" w:cs="Arial"/>
          <w:b/>
          <w:color w:val="000000"/>
          <w:sz w:val="24"/>
          <w:szCs w:val="21"/>
        </w:rPr>
      </w:pPr>
      <w:r>
        <w:drawing>
          <wp:inline distT="0" distB="0" distL="0" distR="0">
            <wp:extent cx="5400040" cy="4701540"/>
            <wp:effectExtent l="0" t="0" r="0" b="3810"/>
            <wp:docPr id="15582595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259568" name="图片 1"/>
                    <pic:cNvPicPr>
                      <a:picLocks noChangeAspect="1"/>
                    </pic:cNvPicPr>
                  </pic:nvPicPr>
                  <pic:blipFill>
                    <a:blip r:embed="rId34"/>
                    <a:stretch>
                      <a:fillRect/>
                    </a:stretch>
                  </pic:blipFill>
                  <pic:spPr>
                    <a:xfrm>
                      <a:off x="0" y="0"/>
                      <a:ext cx="5400040" cy="4701540"/>
                    </a:xfrm>
                    <a:prstGeom prst="rect">
                      <a:avLst/>
                    </a:prstGeom>
                  </pic:spPr>
                </pic:pic>
              </a:graphicData>
            </a:graphic>
          </wp:inline>
        </w:drawing>
      </w:r>
    </w:p>
    <w:p>
      <w:pPr>
        <w:jc w:val="center"/>
        <w:rPr>
          <w:rFonts w:ascii="宋体" w:hAnsi="宋体" w:cs="Arial"/>
          <w:bCs/>
          <w:color w:val="000000"/>
          <w:szCs w:val="21"/>
        </w:rPr>
      </w:pPr>
      <w:r>
        <w:rPr>
          <w:rFonts w:hint="eastAsia" w:ascii="宋体" w:hAnsi="宋体" w:cs="Arial"/>
          <w:bCs/>
          <w:color w:val="000000"/>
          <w:szCs w:val="21"/>
        </w:rPr>
        <w:t>图5</w:t>
      </w:r>
      <w:r>
        <w:rPr>
          <w:rFonts w:ascii="宋体" w:hAnsi="宋体" w:cs="Arial"/>
          <w:bCs/>
          <w:color w:val="000000"/>
          <w:szCs w:val="21"/>
        </w:rPr>
        <w:t xml:space="preserve">.1 </w:t>
      </w:r>
      <w:r>
        <w:rPr>
          <w:rFonts w:hint="eastAsia" w:ascii="宋体" w:hAnsi="宋体" w:cs="Arial"/>
          <w:bCs/>
          <w:color w:val="000000"/>
          <w:szCs w:val="21"/>
        </w:rPr>
        <w:t>可视化大屏展示</w:t>
      </w:r>
    </w:p>
    <w:p>
      <w:pPr>
        <w:pStyle w:val="2"/>
        <w:spacing w:before="156" w:after="156"/>
        <w:jc w:val="center"/>
        <w:sectPr>
          <w:headerReference r:id="rId13" w:type="default"/>
          <w:pgSz w:w="11906" w:h="16838"/>
          <w:pgMar w:top="1701" w:right="1701" w:bottom="1418" w:left="1701" w:header="1247" w:footer="1020" w:gutter="0"/>
          <w:cols w:space="720" w:num="1"/>
          <w:docGrid w:type="linesAndChars" w:linePitch="312" w:charSpace="0"/>
        </w:sectPr>
      </w:pPr>
    </w:p>
    <w:p>
      <w:pPr>
        <w:pStyle w:val="2"/>
        <w:spacing w:before="156" w:after="156"/>
        <w:jc w:val="center"/>
      </w:pPr>
      <w:bookmarkStart w:id="39" w:name="_Toc136533385"/>
      <w:r>
        <w:t xml:space="preserve">6 </w:t>
      </w:r>
      <w:r>
        <w:rPr>
          <w:rFonts w:hint="eastAsia"/>
        </w:rPr>
        <w:t>结论及建议</w:t>
      </w:r>
      <w:bookmarkEnd w:id="39"/>
    </w:p>
    <w:p>
      <w:pPr>
        <w:spacing w:line="400" w:lineRule="exact"/>
        <w:ind w:firstLine="480" w:firstLineChars="200"/>
        <w:rPr>
          <w:rFonts w:ascii="宋体" w:hAnsi="宋体" w:cs="Arial"/>
          <w:color w:val="000000"/>
          <w:sz w:val="24"/>
          <w:szCs w:val="21"/>
        </w:rPr>
      </w:pPr>
      <w:r>
        <w:rPr>
          <w:rFonts w:hint="eastAsia" w:ascii="宋体" w:hAnsi="宋体" w:cs="Arial"/>
          <w:color w:val="000000"/>
          <w:sz w:val="24"/>
          <w:szCs w:val="21"/>
        </w:rPr>
        <w:t>在整个可视化分析及实现过程中，我们可以清晰的了解到随着时间的推进，全国整体及各地区的收入、消费水平都有明显的提高，这也进一步说明我国近年所实施的政策是切实可行且有效的。</w:t>
      </w:r>
    </w:p>
    <w:p>
      <w:pPr>
        <w:spacing w:line="400" w:lineRule="exact"/>
        <w:ind w:firstLine="480" w:firstLineChars="200"/>
        <w:rPr>
          <w:rFonts w:ascii="宋体" w:hAnsi="宋体" w:cs="Arial"/>
          <w:color w:val="000000"/>
          <w:sz w:val="24"/>
          <w:szCs w:val="21"/>
        </w:rPr>
      </w:pPr>
      <w:r>
        <w:rPr>
          <w:rFonts w:hint="eastAsia" w:ascii="宋体" w:hAnsi="宋体" w:cs="Arial"/>
          <w:color w:val="000000"/>
          <w:sz w:val="24"/>
          <w:szCs w:val="21"/>
        </w:rPr>
        <w:t>但是不同地区的收入与支出是有着较大差异的，这是由于不同地区的消费结构存在较大差异，不同地区收入消费支出都有着各自的偏重点。</w:t>
      </w:r>
    </w:p>
    <w:p>
      <w:pPr>
        <w:spacing w:line="400" w:lineRule="exact"/>
        <w:ind w:firstLine="480" w:firstLineChars="200"/>
        <w:rPr>
          <w:rFonts w:ascii="宋体" w:hAnsi="宋体" w:cs="Arial"/>
          <w:color w:val="000000"/>
          <w:sz w:val="24"/>
          <w:szCs w:val="21"/>
        </w:rPr>
      </w:pPr>
      <w:r>
        <w:rPr>
          <w:rFonts w:hint="eastAsia" w:ascii="宋体" w:hAnsi="宋体" w:cs="Arial"/>
          <w:color w:val="000000"/>
          <w:sz w:val="24"/>
          <w:szCs w:val="21"/>
        </w:rPr>
        <w:t>为了响应国家号召，更快且更稳定的实现“共同富裕”这一目的，我们提出了一下建议：</w:t>
      </w:r>
    </w:p>
    <w:p>
      <w:pPr>
        <w:spacing w:before="156" w:beforeLines="50" w:after="156" w:afterLines="50" w:line="400" w:lineRule="exact"/>
        <w:ind w:firstLine="480" w:firstLineChars="200"/>
        <w:rPr>
          <w:rFonts w:ascii="宋体" w:hAnsi="宋体" w:cs="Arial"/>
          <w:bCs/>
          <w:color w:val="000000"/>
          <w:sz w:val="24"/>
          <w:szCs w:val="24"/>
        </w:rPr>
      </w:pPr>
      <w:r>
        <w:rPr>
          <w:rFonts w:hint="eastAsia" w:ascii="宋体" w:hAnsi="宋体" w:cs="Arial"/>
          <w:bCs/>
          <w:color w:val="000000"/>
          <w:sz w:val="24"/>
          <w:szCs w:val="24"/>
        </w:rPr>
        <w:t>第一,通过多种方式提高城镇居民收入，促进居民消费。</w:t>
      </w:r>
    </w:p>
    <w:p>
      <w:pPr>
        <w:spacing w:before="156" w:beforeLines="50" w:after="156" w:afterLines="50" w:line="400" w:lineRule="exact"/>
        <w:ind w:firstLine="480" w:firstLineChars="200"/>
        <w:rPr>
          <w:rFonts w:ascii="宋体" w:hAnsi="宋体" w:cs="Arial"/>
          <w:bCs/>
          <w:color w:val="000000"/>
          <w:sz w:val="24"/>
          <w:szCs w:val="24"/>
        </w:rPr>
      </w:pPr>
      <w:r>
        <w:rPr>
          <w:rFonts w:hint="eastAsia" w:ascii="宋体" w:hAnsi="宋体" w:cs="Arial"/>
          <w:bCs/>
          <w:color w:val="000000"/>
          <w:sz w:val="24"/>
          <w:szCs w:val="24"/>
        </w:rPr>
        <w:t>收入水平的提高可以促使消费水平进一步提高，因此需通过各种途径提高城镇居民的收入。首先，完善收入分配制度。目前我国居民的收入在GDP中的占比还比较小，其增长速度仍低于经济增长的速度。应该提高居民的劳动工资在收入分配中的比例，企业提高城镇职工的最低工资，政府部门提高个人税收起点，增加可支配收入，进而为消费需求提供信心；其次，完善劳动力市场建设，拓展劳动力就业渠道。政府应加强劳动力市场建设，提供公平的就业机会，改善就业环境，争取更多更好的就业机会，增加居民的收入；最后加强经济宏观调控，调节物价，避免因通货膨胀物价上涨导致居民的可支配收入下降而减少消费指出。</w:t>
      </w:r>
    </w:p>
    <w:p>
      <w:pPr>
        <w:spacing w:before="156" w:beforeLines="50" w:after="156" w:afterLines="50" w:line="400" w:lineRule="exact"/>
        <w:ind w:firstLine="480" w:firstLineChars="200"/>
        <w:rPr>
          <w:rFonts w:ascii="宋体" w:hAnsi="宋体" w:cs="Arial"/>
          <w:bCs/>
          <w:color w:val="000000"/>
          <w:sz w:val="24"/>
          <w:szCs w:val="24"/>
        </w:rPr>
      </w:pPr>
      <w:r>
        <w:rPr>
          <w:rFonts w:hint="eastAsia" w:ascii="宋体" w:hAnsi="宋体" w:cs="Arial"/>
          <w:bCs/>
          <w:color w:val="000000"/>
          <w:sz w:val="24"/>
          <w:szCs w:val="24"/>
        </w:rPr>
        <w:t>第二，完善城镇居民生活保障，增强居民消费能力。</w:t>
      </w:r>
    </w:p>
    <w:p>
      <w:pPr>
        <w:spacing w:before="156" w:beforeLines="50" w:after="156" w:afterLines="50" w:line="400" w:lineRule="exact"/>
        <w:ind w:firstLine="480" w:firstLineChars="200"/>
        <w:rPr>
          <w:rFonts w:ascii="宋体" w:hAnsi="宋体" w:cs="Arial"/>
          <w:bCs/>
          <w:color w:val="000000"/>
          <w:sz w:val="24"/>
          <w:szCs w:val="24"/>
        </w:rPr>
      </w:pPr>
      <w:r>
        <w:rPr>
          <w:rFonts w:hint="eastAsia" w:ascii="宋体" w:hAnsi="宋体" w:cs="Arial"/>
          <w:bCs/>
          <w:color w:val="000000"/>
          <w:sz w:val="24"/>
          <w:szCs w:val="24"/>
        </w:rPr>
        <w:t>政府应加大对人民的财政支出，减少人民生活负担，这样就相当于增加了人民的收入，使其消费的能力得到保障，消费质量得到提高。首先，完善财政转移支付制度，提高离退休人员的退休工资，使其消费需求得到满足；其次，加大社会保障力度，提高福利待遇，扩大居民最低生活保障覆盖面，准时足额发放养老金等，增强居民的消费能力；再次，健全医疗保障制度改革，免除居民后顾之忧；最后，增加财政教育投入，这不仅能够增加居民的受教育程度，提高文化知识，提升人力资本，而且减轻了家庭用于子女教育方面的负担，提高了居民家庭的消费信心和消费能力。</w:t>
      </w:r>
    </w:p>
    <w:sectPr>
      <w:headerReference r:id="rId14" w:type="default"/>
      <w:pgSz w:w="11906" w:h="16838"/>
      <w:pgMar w:top="1701" w:right="1701" w:bottom="1418" w:left="1701" w:header="1247" w:footer="1020" w:gutter="0"/>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隶书">
    <w:panose1 w:val="02010509060101010101"/>
    <w:charset w:val="86"/>
    <w:family w:val="modern"/>
    <w:pitch w:val="default"/>
    <w:sig w:usb0="00000001" w:usb1="080E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Arial">
    <w:panose1 w:val="020B0604020202020204"/>
    <w:charset w:val="00"/>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jc w:val="center"/>
    </w:pPr>
    <w:r>
      <w:rPr>
        <w:kern w:val="0"/>
        <w:szCs w:val="21"/>
      </w:rPr>
      <w:fldChar w:fldCharType="begin"/>
    </w:r>
    <w:r>
      <w:rPr>
        <w:kern w:val="0"/>
        <w:szCs w:val="21"/>
      </w:rPr>
      <w:instrText xml:space="preserve"> PAGE </w:instrText>
    </w:r>
    <w:r>
      <w:rPr>
        <w:kern w:val="0"/>
        <w:szCs w:val="21"/>
      </w:rPr>
      <w:fldChar w:fldCharType="separate"/>
    </w:r>
    <w:r>
      <w:rPr>
        <w:kern w:val="0"/>
        <w:szCs w:val="21"/>
      </w:rPr>
      <w:t>4</w:t>
    </w:r>
    <w:r>
      <w:rPr>
        <w:kern w:val="0"/>
        <w:szCs w:val="2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ascii="Times New Roman" w:hAnsi="Times New Roman"/>
        <w:sz w:val="21"/>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ascii="宋体" w:hAnsi="宋体"/>
        <w:sz w:val="21"/>
      </w:rPr>
    </w:pPr>
    <w:r>
      <w:rPr>
        <w:rFonts w:ascii="宋体" w:hAnsi="宋体"/>
        <w:sz w:val="21"/>
      </w:rPr>
      <w:fldChar w:fldCharType="begin"/>
    </w:r>
    <w:r>
      <w:rPr>
        <w:rFonts w:ascii="宋体" w:hAnsi="宋体"/>
        <w:sz w:val="21"/>
      </w:rPr>
      <w:instrText xml:space="preserve">PAGE   \* MERGEFORMAT</w:instrText>
    </w:r>
    <w:r>
      <w:rPr>
        <w:rFonts w:ascii="宋体" w:hAnsi="宋体"/>
        <w:sz w:val="21"/>
      </w:rPr>
      <w:fldChar w:fldCharType="separate"/>
    </w:r>
    <w:r>
      <w:rPr>
        <w:rFonts w:ascii="宋体" w:hAnsi="宋体"/>
        <w:sz w:val="21"/>
        <w:lang w:val="zh-CN"/>
      </w:rPr>
      <w:t>1</w:t>
    </w:r>
    <w:r>
      <w:rPr>
        <w:rFonts w:ascii="宋体" w:hAnsi="宋体"/>
        <w:sz w:val="21"/>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rPr>
        <w:u w:val="single"/>
      </w:rPr>
    </w:pPr>
    <w:r>
      <w:rPr>
        <w:rFonts w:hint="eastAsia"/>
        <w:u w:val="single"/>
      </w:rPr>
      <w:t>《数据可视化》课程设计报告</w:t>
    </w:r>
    <w:r>
      <w:rPr>
        <w:rFonts w:hint="eastAsia" w:ascii="宋体" w:hAnsi="宋体" w:cs="Arial"/>
        <w:color w:val="000000"/>
        <w:szCs w:val="21"/>
        <w:u w:val="single"/>
      </w:rPr>
      <w:t xml:space="preserve">                                       </w:t>
    </w:r>
    <w:r>
      <w:rPr>
        <w:rFonts w:ascii="宋体" w:hAnsi="宋体" w:cs="Arial"/>
        <w:color w:val="000000"/>
        <w:szCs w:val="21"/>
        <w:u w:val="single"/>
      </w:rPr>
      <w:t xml:space="preserve"> </w:t>
    </w:r>
    <w:r>
      <w:rPr>
        <w:rFonts w:hint="eastAsia" w:ascii="宋体" w:hAnsi="宋体" w:cs="Arial"/>
        <w:color w:val="000000"/>
        <w:szCs w:val="21"/>
        <w:u w:val="single"/>
      </w:rPr>
      <w:t xml:space="preserve">       评价量表</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tabs>
        <w:tab w:val="center" w:pos="4153"/>
        <w:tab w:val="right" w:pos="8306"/>
      </w:tabs>
      <w:rPr>
        <w:rFonts w:ascii="宋体" w:hAnsi="宋体"/>
      </w:rPr>
    </w:pPr>
    <w:r>
      <w:rPr>
        <w:rFonts w:hint="eastAsia" w:ascii="宋体" w:hAnsi="宋体"/>
      </w:rPr>
      <w:t>网上书店的设计与实现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both"/>
      <w:rPr>
        <w:sz w:val="21"/>
        <w:szCs w:val="21"/>
      </w:rPr>
    </w:pPr>
    <w:r>
      <w:rPr>
        <w:rFonts w:hint="eastAsia"/>
        <w:sz w:val="21"/>
        <w:szCs w:val="21"/>
      </w:rPr>
      <w:t xml:space="preserve">《数据可视化》课程设计报告 </w:t>
    </w:r>
    <w:r>
      <w:rPr>
        <w:sz w:val="21"/>
        <w:szCs w:val="21"/>
      </w:rPr>
      <w:t xml:space="preserve">                                                  </w:t>
    </w:r>
    <w:r>
      <w:rPr>
        <w:rFonts w:hint="eastAsia"/>
        <w:sz w:val="21"/>
        <w:szCs w:val="21"/>
      </w:rP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rPr>
        <w:u w:val="single"/>
      </w:rPr>
    </w:pPr>
    <w:r>
      <w:rPr>
        <w:rFonts w:hint="eastAsia"/>
        <w:u w:val="single"/>
      </w:rPr>
      <w:t xml:space="preserve">《数据可视化》课程设计 </w:t>
    </w:r>
    <w:r>
      <w:rPr>
        <w:rFonts w:hint="eastAsia" w:ascii="宋体" w:hAnsi="宋体" w:cs="Arial"/>
        <w:color w:val="000000"/>
        <w:szCs w:val="21"/>
        <w:u w:val="single"/>
      </w:rPr>
      <w:t xml:space="preserve"> </w:t>
    </w:r>
    <w:r>
      <w:rPr>
        <w:rFonts w:hint="eastAsia"/>
        <w:u w:val="single"/>
      </w:rPr>
      <w:t xml:space="preserve">          </w:t>
    </w:r>
    <w:r>
      <w:rPr>
        <w:rFonts w:hint="eastAsia" w:ascii="宋体" w:hAnsi="宋体" w:cs="Arial"/>
        <w:color w:val="000000"/>
        <w:szCs w:val="21"/>
        <w:u w:val="single"/>
      </w:rPr>
      <w:t xml:space="preserve">                          第一章 开发环境及技术</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1"/>
      </w:pBdr>
      <w:tabs>
        <w:tab w:val="center" w:pos="4153"/>
        <w:tab w:val="right" w:pos="8306"/>
      </w:tabs>
    </w:pPr>
    <w:r>
      <w:rPr>
        <w:rFonts w:hint="eastAsia"/>
        <w:u w:val="single"/>
      </w:rPr>
      <w:t xml:space="preserve">《数据可视化》课程设计 </w:t>
    </w:r>
    <w:r>
      <w:rPr>
        <w:rFonts w:hint="eastAsia" w:ascii="宋体" w:hAnsi="宋体" w:cs="Arial"/>
        <w:color w:val="000000"/>
        <w:szCs w:val="21"/>
        <w:u w:val="single"/>
      </w:rPr>
      <w:t xml:space="preserve">                                              </w:t>
    </w:r>
    <w:r>
      <w:rPr>
        <w:rFonts w:ascii="宋体" w:hAnsi="宋体" w:cs="Arial"/>
        <w:color w:val="000000"/>
        <w:szCs w:val="21"/>
        <w:u w:val="single"/>
      </w:rPr>
      <w:t xml:space="preserve"> </w:t>
    </w:r>
    <w:r>
      <w:rPr>
        <w:rFonts w:hint="eastAsia" w:ascii="宋体" w:hAnsi="宋体" w:cs="Arial"/>
        <w:color w:val="000000"/>
        <w:szCs w:val="21"/>
        <w:u w:val="single"/>
      </w:rPr>
      <w:t>第二章 数据</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1"/>
      </w:pBdr>
      <w:tabs>
        <w:tab w:val="center" w:pos="4153"/>
        <w:tab w:val="right" w:pos="8306"/>
      </w:tabs>
    </w:pPr>
    <w:r>
      <w:rPr>
        <w:rFonts w:hint="eastAsia"/>
        <w:u w:val="single"/>
      </w:rPr>
      <w:t xml:space="preserve">《数据可视化》课程设计 </w:t>
    </w:r>
    <w:r>
      <w:rPr>
        <w:rFonts w:hint="eastAsia" w:ascii="宋体" w:hAnsi="宋体" w:cs="Arial"/>
        <w:color w:val="000000"/>
        <w:szCs w:val="21"/>
        <w:u w:val="single"/>
      </w:rPr>
      <w:t xml:space="preserve">                                      </w:t>
    </w:r>
    <w:r>
      <w:rPr>
        <w:rFonts w:ascii="宋体" w:hAnsi="宋体" w:cs="Arial"/>
        <w:color w:val="000000"/>
        <w:szCs w:val="21"/>
        <w:u w:val="single"/>
      </w:rPr>
      <w:t xml:space="preserve">  </w:t>
    </w:r>
    <w:r>
      <w:rPr>
        <w:rFonts w:hint="eastAsia" w:ascii="宋体" w:hAnsi="宋体" w:cs="Arial"/>
        <w:color w:val="000000"/>
        <w:szCs w:val="21"/>
        <w:u w:val="single"/>
      </w:rPr>
      <w:t xml:space="preserve"> 第三章 数据预处理</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1"/>
      </w:pBdr>
      <w:tabs>
        <w:tab w:val="center" w:pos="4153"/>
        <w:tab w:val="right" w:pos="8306"/>
      </w:tabs>
    </w:pPr>
    <w:r>
      <w:rPr>
        <w:rFonts w:hint="eastAsia"/>
        <w:u w:val="single"/>
      </w:rPr>
      <w:t xml:space="preserve">《数据可视化》课程设计 </w:t>
    </w:r>
    <w:r>
      <w:rPr>
        <w:rFonts w:hint="eastAsia" w:ascii="宋体" w:hAnsi="宋体" w:cs="Arial"/>
        <w:color w:val="000000"/>
        <w:szCs w:val="21"/>
        <w:u w:val="single"/>
      </w:rPr>
      <w:t xml:space="preserve">                                         第五章 可视化大屏</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1"/>
      </w:pBdr>
      <w:tabs>
        <w:tab w:val="center" w:pos="4153"/>
        <w:tab w:val="right" w:pos="8306"/>
      </w:tabs>
    </w:pPr>
    <w:r>
      <w:rPr>
        <w:rFonts w:hint="eastAsia"/>
        <w:u w:val="single"/>
      </w:rPr>
      <w:t xml:space="preserve">《数据可视化》课程设计 </w:t>
    </w:r>
    <w:r>
      <w:rPr>
        <w:rFonts w:hint="eastAsia" w:ascii="宋体" w:hAnsi="宋体" w:cs="Arial"/>
        <w:color w:val="000000"/>
        <w:szCs w:val="21"/>
        <w:u w:val="single"/>
      </w:rPr>
      <w:t xml:space="preserve">                                         第六章 结论及建议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D7D2FE9"/>
    <w:multiLevelType w:val="multilevel"/>
    <w:tmpl w:val="0D7D2FE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7A030A59"/>
    <w:multiLevelType w:val="multilevel"/>
    <w:tmpl w:val="7A030A5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MzNDhiYzg2N2Y2NzU4YjlkMmYzNjQ0NWQ3MmZjYzAifQ=="/>
  </w:docVars>
  <w:rsids>
    <w:rsidRoot w:val="00F23CAA"/>
    <w:rsid w:val="0002272E"/>
    <w:rsid w:val="00033E5A"/>
    <w:rsid w:val="00045C24"/>
    <w:rsid w:val="00053E96"/>
    <w:rsid w:val="000E49FF"/>
    <w:rsid w:val="001329BC"/>
    <w:rsid w:val="001745AA"/>
    <w:rsid w:val="00180069"/>
    <w:rsid w:val="0020301F"/>
    <w:rsid w:val="002576EE"/>
    <w:rsid w:val="00281058"/>
    <w:rsid w:val="002C37D7"/>
    <w:rsid w:val="00333A00"/>
    <w:rsid w:val="00366DDE"/>
    <w:rsid w:val="003B71A1"/>
    <w:rsid w:val="003D31F6"/>
    <w:rsid w:val="003E4BB9"/>
    <w:rsid w:val="003E599C"/>
    <w:rsid w:val="003E683B"/>
    <w:rsid w:val="00421C82"/>
    <w:rsid w:val="00444B92"/>
    <w:rsid w:val="004C1BDE"/>
    <w:rsid w:val="00633BE2"/>
    <w:rsid w:val="00653726"/>
    <w:rsid w:val="006A0C13"/>
    <w:rsid w:val="006F3136"/>
    <w:rsid w:val="00760CDC"/>
    <w:rsid w:val="00791F7D"/>
    <w:rsid w:val="00846AA0"/>
    <w:rsid w:val="00854261"/>
    <w:rsid w:val="00872D44"/>
    <w:rsid w:val="008C0F4C"/>
    <w:rsid w:val="009161A3"/>
    <w:rsid w:val="00920F37"/>
    <w:rsid w:val="009A6F15"/>
    <w:rsid w:val="009D1E3B"/>
    <w:rsid w:val="00A167D4"/>
    <w:rsid w:val="00A92392"/>
    <w:rsid w:val="00A93696"/>
    <w:rsid w:val="00A945B1"/>
    <w:rsid w:val="00AC5F6F"/>
    <w:rsid w:val="00AE6135"/>
    <w:rsid w:val="00B0687C"/>
    <w:rsid w:val="00BE7208"/>
    <w:rsid w:val="00C66A69"/>
    <w:rsid w:val="00C94035"/>
    <w:rsid w:val="00D02E08"/>
    <w:rsid w:val="00DB003A"/>
    <w:rsid w:val="00DE17C2"/>
    <w:rsid w:val="00E434F8"/>
    <w:rsid w:val="00E9276E"/>
    <w:rsid w:val="00E96664"/>
    <w:rsid w:val="00F2097E"/>
    <w:rsid w:val="00F23CAA"/>
    <w:rsid w:val="00F43389"/>
    <w:rsid w:val="00FA0D1E"/>
    <w:rsid w:val="00FB7586"/>
    <w:rsid w:val="00FE171D"/>
    <w:rsid w:val="422563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0"/>
      <w:lang w:val="en-US" w:eastAsia="zh-CN" w:bidi="ar-SA"/>
    </w:rPr>
  </w:style>
  <w:style w:type="paragraph" w:styleId="2">
    <w:name w:val="heading 1"/>
    <w:basedOn w:val="1"/>
    <w:next w:val="1"/>
    <w:link w:val="13"/>
    <w:qFormat/>
    <w:uiPriority w:val="9"/>
    <w:pPr>
      <w:keepNext/>
      <w:keepLines/>
      <w:spacing w:before="50" w:beforeLines="50" w:after="50" w:afterLines="50" w:line="400" w:lineRule="exact"/>
      <w:outlineLvl w:val="0"/>
    </w:pPr>
    <w:rPr>
      <w:rFonts w:eastAsia="黑体"/>
      <w:b/>
      <w:bCs/>
      <w:kern w:val="44"/>
      <w:sz w:val="32"/>
      <w:szCs w:val="44"/>
    </w:rPr>
  </w:style>
  <w:style w:type="paragraph" w:styleId="3">
    <w:name w:val="heading 2"/>
    <w:basedOn w:val="1"/>
    <w:next w:val="1"/>
    <w:link w:val="14"/>
    <w:qFormat/>
    <w:uiPriority w:val="9"/>
    <w:pPr>
      <w:keepNext/>
      <w:keepLines/>
      <w:spacing w:before="50" w:beforeLines="50" w:after="50" w:afterLines="50" w:line="400" w:lineRule="exact"/>
      <w:outlineLvl w:val="1"/>
    </w:pPr>
    <w:rPr>
      <w:rFonts w:ascii="Cambria" w:hAnsi="Cambria" w:eastAsia="黑体"/>
      <w:bCs/>
      <w:sz w:val="30"/>
      <w:szCs w:val="32"/>
    </w:rPr>
  </w:style>
  <w:style w:type="paragraph" w:styleId="4">
    <w:name w:val="heading 3"/>
    <w:basedOn w:val="1"/>
    <w:next w:val="1"/>
    <w:link w:val="15"/>
    <w:qFormat/>
    <w:uiPriority w:val="9"/>
    <w:pPr>
      <w:keepNext/>
      <w:keepLines/>
      <w:spacing w:before="50" w:beforeLines="50" w:after="50" w:afterLines="50" w:line="400" w:lineRule="exact"/>
      <w:outlineLvl w:val="2"/>
    </w:pPr>
    <w:rPr>
      <w:rFonts w:eastAsia="黑体"/>
      <w:bCs/>
      <w:sz w:val="28"/>
      <w:szCs w:val="32"/>
    </w:rPr>
  </w:style>
  <w:style w:type="character" w:default="1" w:styleId="11">
    <w:name w:val="Default Paragraph Font"/>
    <w:semiHidden/>
    <w:unhideWhenUsed/>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unhideWhenUsed/>
    <w:qFormat/>
    <w:uiPriority w:val="39"/>
    <w:pPr>
      <w:ind w:left="840" w:leftChars="400"/>
    </w:pPr>
  </w:style>
  <w:style w:type="paragraph" w:styleId="6">
    <w:name w:val="footer"/>
    <w:basedOn w:val="1"/>
    <w:link w:val="17"/>
    <w:unhideWhenUsed/>
    <w:qFormat/>
    <w:uiPriority w:val="99"/>
    <w:pPr>
      <w:tabs>
        <w:tab w:val="center" w:pos="4153"/>
        <w:tab w:val="right" w:pos="8306"/>
      </w:tabs>
      <w:snapToGrid w:val="0"/>
      <w:jc w:val="left"/>
    </w:pPr>
    <w:rPr>
      <w:rFonts w:ascii="Calibri" w:hAnsi="Calibri"/>
      <w:kern w:val="0"/>
      <w:sz w:val="18"/>
      <w:szCs w:val="18"/>
    </w:rPr>
  </w:style>
  <w:style w:type="paragraph" w:styleId="7">
    <w:name w:val="header"/>
    <w:basedOn w:val="1"/>
    <w:link w:val="18"/>
    <w:unhideWhenUsed/>
    <w:qFormat/>
    <w:uiPriority w:val="99"/>
    <w:pPr>
      <w:pBdr>
        <w:bottom w:val="single" w:color="auto" w:sz="6" w:space="1"/>
      </w:pBdr>
      <w:tabs>
        <w:tab w:val="center" w:pos="4153"/>
        <w:tab w:val="right" w:pos="8306"/>
      </w:tabs>
      <w:snapToGrid w:val="0"/>
      <w:jc w:val="center"/>
    </w:pPr>
    <w:rPr>
      <w:rFonts w:ascii="Calibri" w:hAnsi="Calibri"/>
      <w:kern w:val="0"/>
      <w:sz w:val="18"/>
      <w:szCs w:val="18"/>
    </w:rPr>
  </w:style>
  <w:style w:type="paragraph" w:styleId="8">
    <w:name w:val="toc 1"/>
    <w:basedOn w:val="1"/>
    <w:next w:val="1"/>
    <w:unhideWhenUsed/>
    <w:qFormat/>
    <w:uiPriority w:val="39"/>
  </w:style>
  <w:style w:type="paragraph" w:styleId="9">
    <w:name w:val="toc 2"/>
    <w:basedOn w:val="1"/>
    <w:next w:val="1"/>
    <w:unhideWhenUsed/>
    <w:qFormat/>
    <w:uiPriority w:val="39"/>
    <w:pPr>
      <w:ind w:left="420" w:leftChars="200"/>
    </w:pPr>
  </w:style>
  <w:style w:type="character" w:styleId="12">
    <w:name w:val="Hyperlink"/>
    <w:basedOn w:val="11"/>
    <w:unhideWhenUsed/>
    <w:qFormat/>
    <w:uiPriority w:val="99"/>
    <w:rPr>
      <w:color w:val="0563C1" w:themeColor="hyperlink"/>
      <w:u w:val="single"/>
      <w14:textFill>
        <w14:solidFill>
          <w14:schemeClr w14:val="hlink"/>
        </w14:solidFill>
      </w14:textFill>
    </w:rPr>
  </w:style>
  <w:style w:type="character" w:customStyle="1" w:styleId="13">
    <w:name w:val="标题 1 字符"/>
    <w:basedOn w:val="11"/>
    <w:link w:val="2"/>
    <w:qFormat/>
    <w:uiPriority w:val="9"/>
    <w:rPr>
      <w:rFonts w:ascii="Times New Roman" w:hAnsi="Times New Roman" w:eastAsia="黑体" w:cs="Times New Roman"/>
      <w:b/>
      <w:bCs/>
      <w:kern w:val="44"/>
      <w:sz w:val="32"/>
      <w:szCs w:val="44"/>
    </w:rPr>
  </w:style>
  <w:style w:type="character" w:customStyle="1" w:styleId="14">
    <w:name w:val="标题 2 字符"/>
    <w:basedOn w:val="11"/>
    <w:link w:val="3"/>
    <w:qFormat/>
    <w:uiPriority w:val="9"/>
    <w:rPr>
      <w:rFonts w:ascii="Cambria" w:hAnsi="Cambria" w:eastAsia="黑体" w:cs="Times New Roman"/>
      <w:bCs/>
      <w:sz w:val="30"/>
      <w:szCs w:val="32"/>
    </w:rPr>
  </w:style>
  <w:style w:type="character" w:customStyle="1" w:styleId="15">
    <w:name w:val="标题 3 字符"/>
    <w:basedOn w:val="11"/>
    <w:link w:val="4"/>
    <w:qFormat/>
    <w:uiPriority w:val="9"/>
    <w:rPr>
      <w:rFonts w:ascii="Times New Roman" w:hAnsi="Times New Roman" w:eastAsia="黑体" w:cs="Times New Roman"/>
      <w:bCs/>
      <w:sz w:val="28"/>
      <w:szCs w:val="32"/>
    </w:rPr>
  </w:style>
  <w:style w:type="character" w:customStyle="1" w:styleId="16">
    <w:name w:val="页脚 字符"/>
    <w:basedOn w:val="11"/>
    <w:semiHidden/>
    <w:qFormat/>
    <w:uiPriority w:val="99"/>
    <w:rPr>
      <w:rFonts w:ascii="Times New Roman" w:hAnsi="Times New Roman" w:eastAsia="宋体" w:cs="Times New Roman"/>
      <w:sz w:val="18"/>
      <w:szCs w:val="18"/>
    </w:rPr>
  </w:style>
  <w:style w:type="character" w:customStyle="1" w:styleId="17">
    <w:name w:val="页脚 字符1"/>
    <w:link w:val="6"/>
    <w:qFormat/>
    <w:uiPriority w:val="99"/>
    <w:rPr>
      <w:rFonts w:ascii="Calibri" w:hAnsi="Calibri" w:eastAsia="宋体" w:cs="Times New Roman"/>
      <w:kern w:val="0"/>
      <w:sz w:val="18"/>
      <w:szCs w:val="18"/>
    </w:rPr>
  </w:style>
  <w:style w:type="character" w:customStyle="1" w:styleId="18">
    <w:name w:val="页眉 字符"/>
    <w:basedOn w:val="11"/>
    <w:link w:val="7"/>
    <w:qFormat/>
    <w:uiPriority w:val="99"/>
    <w:rPr>
      <w:rFonts w:ascii="Calibri" w:hAnsi="Calibri" w:eastAsia="宋体" w:cs="Times New Roman"/>
      <w:kern w:val="0"/>
      <w:sz w:val="18"/>
      <w:szCs w:val="18"/>
    </w:rPr>
  </w:style>
  <w:style w:type="paragraph" w:styleId="19">
    <w:name w:val="List Paragraph"/>
    <w:basedOn w:val="1"/>
    <w:qFormat/>
    <w:uiPriority w:val="34"/>
    <w:pPr>
      <w:ind w:firstLine="420" w:firstLineChars="200"/>
    </w:pPr>
  </w:style>
  <w:style w:type="paragraph" w:customStyle="1" w:styleId="20">
    <w:name w:val="底纹"/>
    <w:basedOn w:val="1"/>
    <w:qFormat/>
    <w:uiPriority w:val="0"/>
    <w:pPr>
      <w:spacing w:before="156" w:beforeLines="50" w:after="156" w:afterLines="50" w:line="400" w:lineRule="exact"/>
      <w:ind w:firstLine="480" w:firstLineChars="200"/>
    </w:pPr>
    <w:rPr>
      <w:rFonts w:ascii="宋体" w:hAnsi="宋体"/>
      <w:sz w:val="24"/>
      <w:szCs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7" Type="http://schemas.openxmlformats.org/officeDocument/2006/relationships/fontTable" Target="fontTable.xml"/><Relationship Id="rId36" Type="http://schemas.openxmlformats.org/officeDocument/2006/relationships/customXml" Target="../customXml/item1.xml"/><Relationship Id="rId35" Type="http://schemas.openxmlformats.org/officeDocument/2006/relationships/numbering" Target="numbering.xml"/><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header" Target="head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jpeg"/><Relationship Id="rId16" Type="http://schemas.openxmlformats.org/officeDocument/2006/relationships/image" Target="media/image1.jpeg"/><Relationship Id="rId15" Type="http://schemas.openxmlformats.org/officeDocument/2006/relationships/theme" Target="theme/theme1.xml"/><Relationship Id="rId14" Type="http://schemas.openxmlformats.org/officeDocument/2006/relationships/header" Target="header8.xml"/><Relationship Id="rId13" Type="http://schemas.openxmlformats.org/officeDocument/2006/relationships/header" Target="header7.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36E7F2-D551-44B3-B2A3-EAE9EB323F1C}">
  <ds:schemaRefs/>
</ds:datastoreItem>
</file>

<file path=docProps/app.xml><?xml version="1.0" encoding="utf-8"?>
<Properties xmlns="http://schemas.openxmlformats.org/officeDocument/2006/extended-properties" xmlns:vt="http://schemas.openxmlformats.org/officeDocument/2006/docPropsVTypes">
  <Template>Normal.dotm</Template>
  <Pages>22</Pages>
  <Words>7786</Words>
  <Characters>9453</Characters>
  <Lines>81</Lines>
  <Paragraphs>22</Paragraphs>
  <TotalTime>0</TotalTime>
  <ScaleCrop>false</ScaleCrop>
  <LinksUpToDate>false</LinksUpToDate>
  <CharactersWithSpaces>9642</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2023-06-01T02:16:00Z</dcterms:created>
  <dc:creator>Prince of Tao</dc:creator>
  <cp:lastModifiedBy>        </cp:lastModifiedBy>
  <dcterms:modified xsi:type="dcterms:W3CDTF">2023-06-01T09:46:19Z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218D311DB6124891B78589438F8BB238_12</vt:lpwstr>
  </property>
</Properties>
</file>