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EB21C" w14:textId="5523AAB2" w:rsidR="00AD3B58" w:rsidRDefault="00AD3B58" w:rsidP="00AD3B58">
      <w:pPr>
        <w:jc w:val="center"/>
        <w:rPr>
          <w:rFonts w:ascii="Arial" w:hAnsi="Arial" w:cs="Arial"/>
          <w:b/>
          <w:bCs/>
          <w:sz w:val="32"/>
          <w:szCs w:val="32"/>
        </w:rPr>
      </w:pPr>
      <w:r w:rsidRPr="00AD3B58">
        <w:rPr>
          <w:rFonts w:ascii="Arial" w:hAnsi="Arial" w:cs="Arial"/>
          <w:b/>
          <w:bCs/>
          <w:sz w:val="32"/>
          <w:szCs w:val="32"/>
        </w:rPr>
        <w:t>Data Collection and Preprocessing Phase</w:t>
      </w:r>
    </w:p>
    <w:p w14:paraId="73B647E7" w14:textId="77777777" w:rsidR="00AD3B58" w:rsidRPr="00AD3B58" w:rsidRDefault="00AD3B58" w:rsidP="00AD3B58">
      <w:pPr>
        <w:jc w:val="center"/>
        <w:rPr>
          <w:rFonts w:ascii="Arial" w:hAnsi="Arial" w:cs="Arial"/>
          <w:b/>
          <w:bCs/>
          <w:sz w:val="32"/>
          <w:szCs w:val="32"/>
        </w:rPr>
      </w:pPr>
    </w:p>
    <w:tbl>
      <w:tblPr>
        <w:tblW w:w="7938" w:type="dxa"/>
        <w:tblInd w:w="276" w:type="dxa"/>
        <w:tblCellMar>
          <w:top w:w="15" w:type="dxa"/>
          <w:left w:w="15" w:type="dxa"/>
          <w:bottom w:w="15" w:type="dxa"/>
          <w:right w:w="15" w:type="dxa"/>
        </w:tblCellMar>
        <w:tblLook w:val="04A0" w:firstRow="1" w:lastRow="0" w:firstColumn="1" w:lastColumn="0" w:noHBand="0" w:noVBand="1"/>
      </w:tblPr>
      <w:tblGrid>
        <w:gridCol w:w="1896"/>
        <w:gridCol w:w="6042"/>
      </w:tblGrid>
      <w:tr w:rsidR="00AD3B58" w:rsidRPr="0086703E" w14:paraId="736C01EA" w14:textId="77777777" w:rsidTr="00AD3B58">
        <w:tc>
          <w:tcPr>
            <w:tcW w:w="1896" w:type="dxa"/>
            <w:tcBorders>
              <w:top w:val="single" w:sz="6" w:space="0" w:color="000000"/>
              <w:left w:val="single" w:sz="6" w:space="0" w:color="000000"/>
              <w:bottom w:val="single" w:sz="6" w:space="0" w:color="000000"/>
              <w:right w:val="single" w:sz="6" w:space="0" w:color="000000"/>
            </w:tcBorders>
            <w:shd w:val="clear" w:color="auto" w:fill="F8F8F8"/>
            <w:tcMar>
              <w:top w:w="120" w:type="dxa"/>
              <w:left w:w="120" w:type="dxa"/>
              <w:bottom w:w="120" w:type="dxa"/>
              <w:right w:w="120" w:type="dxa"/>
            </w:tcMar>
            <w:hideMark/>
          </w:tcPr>
          <w:p w14:paraId="1EC52C46" w14:textId="77777777" w:rsidR="00AD3B58" w:rsidRPr="0086703E" w:rsidRDefault="00AD3B58" w:rsidP="00AD3B58">
            <w:pPr>
              <w:rPr>
                <w:rFonts w:ascii="Arial" w:hAnsi="Arial" w:cs="Arial"/>
                <w:b/>
                <w:bCs/>
                <w:sz w:val="24"/>
                <w:szCs w:val="24"/>
              </w:rPr>
            </w:pPr>
            <w:r w:rsidRPr="0086703E">
              <w:rPr>
                <w:rFonts w:ascii="Arial" w:hAnsi="Arial" w:cs="Arial"/>
                <w:b/>
                <w:bCs/>
                <w:sz w:val="24"/>
                <w:szCs w:val="24"/>
              </w:rPr>
              <w:t>Date</w:t>
            </w:r>
          </w:p>
        </w:tc>
        <w:tc>
          <w:tcPr>
            <w:tcW w:w="6042"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D403633" w14:textId="0048F5AA" w:rsidR="00AD3B58" w:rsidRPr="0086703E" w:rsidRDefault="00AD3B58" w:rsidP="00AD3B58">
            <w:pPr>
              <w:rPr>
                <w:rFonts w:ascii="Arial" w:hAnsi="Arial" w:cs="Arial"/>
                <w:sz w:val="24"/>
                <w:szCs w:val="24"/>
              </w:rPr>
            </w:pPr>
            <w:r w:rsidRPr="0086703E">
              <w:rPr>
                <w:rFonts w:ascii="Arial" w:hAnsi="Arial" w:cs="Arial"/>
                <w:sz w:val="24"/>
                <w:szCs w:val="24"/>
              </w:rPr>
              <w:t>14 June 2025</w:t>
            </w:r>
          </w:p>
        </w:tc>
      </w:tr>
      <w:tr w:rsidR="00AD3B58" w:rsidRPr="0086703E" w14:paraId="4AB581BB" w14:textId="77777777" w:rsidTr="00AD3B58">
        <w:tc>
          <w:tcPr>
            <w:tcW w:w="1896" w:type="dxa"/>
            <w:tcBorders>
              <w:top w:val="single" w:sz="6" w:space="0" w:color="000000"/>
              <w:left w:val="single" w:sz="6" w:space="0" w:color="000000"/>
              <w:bottom w:val="single" w:sz="6" w:space="0" w:color="000000"/>
              <w:right w:val="single" w:sz="6" w:space="0" w:color="000000"/>
            </w:tcBorders>
            <w:shd w:val="clear" w:color="auto" w:fill="F8F8F8"/>
            <w:tcMar>
              <w:top w:w="120" w:type="dxa"/>
              <w:left w:w="120" w:type="dxa"/>
              <w:bottom w:w="120" w:type="dxa"/>
              <w:right w:w="120" w:type="dxa"/>
            </w:tcMar>
            <w:hideMark/>
          </w:tcPr>
          <w:p w14:paraId="1192617A" w14:textId="77777777" w:rsidR="00AD3B58" w:rsidRPr="0086703E" w:rsidRDefault="00AD3B58" w:rsidP="00AD3B58">
            <w:pPr>
              <w:rPr>
                <w:rFonts w:ascii="Arial" w:hAnsi="Arial" w:cs="Arial"/>
                <w:b/>
                <w:bCs/>
                <w:sz w:val="24"/>
                <w:szCs w:val="24"/>
              </w:rPr>
            </w:pPr>
            <w:r w:rsidRPr="0086703E">
              <w:rPr>
                <w:rFonts w:ascii="Arial" w:hAnsi="Arial" w:cs="Arial"/>
                <w:b/>
                <w:bCs/>
                <w:sz w:val="24"/>
                <w:szCs w:val="24"/>
              </w:rPr>
              <w:t>Team ID</w:t>
            </w:r>
          </w:p>
        </w:tc>
        <w:tc>
          <w:tcPr>
            <w:tcW w:w="6042"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7B2355A" w14:textId="64F2F584" w:rsidR="00AD3B58" w:rsidRPr="0086703E" w:rsidRDefault="00AD3B58" w:rsidP="00AD3B58">
            <w:pPr>
              <w:rPr>
                <w:rFonts w:ascii="Arial" w:hAnsi="Arial" w:cs="Arial"/>
                <w:sz w:val="24"/>
                <w:szCs w:val="24"/>
              </w:rPr>
            </w:pPr>
            <w:r w:rsidRPr="0086703E">
              <w:rPr>
                <w:rFonts w:ascii="Arial" w:hAnsi="Arial" w:cs="Arial"/>
                <w:sz w:val="24"/>
                <w:szCs w:val="24"/>
              </w:rPr>
              <w:t>SWTID1749876754</w:t>
            </w:r>
          </w:p>
        </w:tc>
      </w:tr>
      <w:tr w:rsidR="00AD3B58" w:rsidRPr="0086703E" w14:paraId="3C480E45" w14:textId="77777777" w:rsidTr="00AD3B58">
        <w:tc>
          <w:tcPr>
            <w:tcW w:w="1896" w:type="dxa"/>
            <w:tcBorders>
              <w:top w:val="single" w:sz="6" w:space="0" w:color="000000"/>
              <w:left w:val="single" w:sz="6" w:space="0" w:color="000000"/>
              <w:bottom w:val="single" w:sz="6" w:space="0" w:color="000000"/>
              <w:right w:val="single" w:sz="6" w:space="0" w:color="000000"/>
            </w:tcBorders>
            <w:shd w:val="clear" w:color="auto" w:fill="F8F8F8"/>
            <w:tcMar>
              <w:top w:w="120" w:type="dxa"/>
              <w:left w:w="120" w:type="dxa"/>
              <w:bottom w:w="120" w:type="dxa"/>
              <w:right w:w="120" w:type="dxa"/>
            </w:tcMar>
            <w:hideMark/>
          </w:tcPr>
          <w:p w14:paraId="303EBA14" w14:textId="77777777" w:rsidR="00AD3B58" w:rsidRPr="0086703E" w:rsidRDefault="00AD3B58" w:rsidP="00AD3B58">
            <w:pPr>
              <w:rPr>
                <w:rFonts w:ascii="Arial" w:hAnsi="Arial" w:cs="Arial"/>
                <w:b/>
                <w:bCs/>
                <w:sz w:val="24"/>
                <w:szCs w:val="24"/>
              </w:rPr>
            </w:pPr>
            <w:r w:rsidRPr="0086703E">
              <w:rPr>
                <w:rFonts w:ascii="Arial" w:hAnsi="Arial" w:cs="Arial"/>
                <w:b/>
                <w:bCs/>
                <w:sz w:val="24"/>
                <w:szCs w:val="24"/>
              </w:rPr>
              <w:t>Project Title</w:t>
            </w:r>
          </w:p>
        </w:tc>
        <w:tc>
          <w:tcPr>
            <w:tcW w:w="6042"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1754E41" w14:textId="77777777" w:rsidR="00AD3B58" w:rsidRPr="0086703E" w:rsidRDefault="00AD3B58" w:rsidP="00AD3B58">
            <w:pPr>
              <w:rPr>
                <w:rFonts w:ascii="Arial" w:hAnsi="Arial" w:cs="Arial"/>
                <w:sz w:val="24"/>
                <w:szCs w:val="24"/>
              </w:rPr>
            </w:pPr>
            <w:proofErr w:type="spellStart"/>
            <w:r w:rsidRPr="0086703E">
              <w:rPr>
                <w:rFonts w:ascii="Arial" w:hAnsi="Arial" w:cs="Arial"/>
                <w:sz w:val="24"/>
                <w:szCs w:val="24"/>
              </w:rPr>
              <w:t>SynapseScan</w:t>
            </w:r>
            <w:proofErr w:type="spellEnd"/>
            <w:r w:rsidRPr="0086703E">
              <w:rPr>
                <w:rFonts w:ascii="Arial" w:hAnsi="Arial" w:cs="Arial"/>
                <w:sz w:val="24"/>
                <w:szCs w:val="24"/>
              </w:rPr>
              <w:t>: AI Driven Classification of Ovarian Cancer Variants</w:t>
            </w:r>
          </w:p>
        </w:tc>
      </w:tr>
      <w:tr w:rsidR="00AD3B58" w:rsidRPr="0086703E" w14:paraId="6E8B2191" w14:textId="77777777" w:rsidTr="00AD3B58">
        <w:tc>
          <w:tcPr>
            <w:tcW w:w="1896" w:type="dxa"/>
            <w:tcBorders>
              <w:top w:val="single" w:sz="6" w:space="0" w:color="000000"/>
              <w:left w:val="single" w:sz="6" w:space="0" w:color="000000"/>
              <w:bottom w:val="single" w:sz="6" w:space="0" w:color="000000"/>
              <w:right w:val="single" w:sz="6" w:space="0" w:color="000000"/>
            </w:tcBorders>
            <w:shd w:val="clear" w:color="auto" w:fill="F8F8F8"/>
            <w:tcMar>
              <w:top w:w="120" w:type="dxa"/>
              <w:left w:w="120" w:type="dxa"/>
              <w:bottom w:w="120" w:type="dxa"/>
              <w:right w:w="120" w:type="dxa"/>
            </w:tcMar>
            <w:hideMark/>
          </w:tcPr>
          <w:p w14:paraId="3358543E" w14:textId="77777777" w:rsidR="00AD3B58" w:rsidRPr="0086703E" w:rsidRDefault="00AD3B58" w:rsidP="00AD3B58">
            <w:pPr>
              <w:rPr>
                <w:rFonts w:ascii="Arial" w:hAnsi="Arial" w:cs="Arial"/>
                <w:b/>
                <w:bCs/>
                <w:sz w:val="24"/>
                <w:szCs w:val="24"/>
              </w:rPr>
            </w:pPr>
            <w:r w:rsidRPr="0086703E">
              <w:rPr>
                <w:rFonts w:ascii="Arial" w:hAnsi="Arial" w:cs="Arial"/>
                <w:b/>
                <w:bCs/>
                <w:sz w:val="24"/>
                <w:szCs w:val="24"/>
              </w:rPr>
              <w:t>Maximum Marks</w:t>
            </w:r>
          </w:p>
        </w:tc>
        <w:tc>
          <w:tcPr>
            <w:tcW w:w="6042"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EA4ACEE" w14:textId="77777777" w:rsidR="00AD3B58" w:rsidRPr="0086703E" w:rsidRDefault="00AD3B58" w:rsidP="00AD3B58">
            <w:pPr>
              <w:rPr>
                <w:rFonts w:ascii="Arial" w:hAnsi="Arial" w:cs="Arial"/>
                <w:sz w:val="24"/>
                <w:szCs w:val="24"/>
              </w:rPr>
            </w:pPr>
            <w:r w:rsidRPr="0086703E">
              <w:rPr>
                <w:rFonts w:ascii="Arial" w:hAnsi="Arial" w:cs="Arial"/>
                <w:sz w:val="24"/>
                <w:szCs w:val="24"/>
              </w:rPr>
              <w:t>2 Marks</w:t>
            </w:r>
          </w:p>
        </w:tc>
      </w:tr>
    </w:tbl>
    <w:p w14:paraId="42EC56F1" w14:textId="77777777" w:rsidR="00AD3B58" w:rsidRPr="0086703E" w:rsidRDefault="00AD3B58" w:rsidP="00AD3B58">
      <w:pPr>
        <w:rPr>
          <w:rFonts w:ascii="Arial" w:hAnsi="Arial" w:cs="Arial"/>
          <w:b/>
          <w:bCs/>
        </w:rPr>
      </w:pPr>
    </w:p>
    <w:p w14:paraId="736BDA2D" w14:textId="77777777" w:rsidR="00AD3B58" w:rsidRPr="0086703E" w:rsidRDefault="00AD3B58" w:rsidP="00AD3B58">
      <w:pPr>
        <w:rPr>
          <w:rFonts w:ascii="Arial" w:hAnsi="Arial" w:cs="Arial"/>
          <w:b/>
          <w:bCs/>
        </w:rPr>
      </w:pPr>
    </w:p>
    <w:p w14:paraId="6A93A239" w14:textId="0B9DE4DD" w:rsidR="00AD3B58" w:rsidRPr="0086703E" w:rsidRDefault="00AD3B58" w:rsidP="00AD3B58">
      <w:pPr>
        <w:rPr>
          <w:rFonts w:ascii="Arial" w:hAnsi="Arial" w:cs="Arial"/>
          <w:b/>
          <w:bCs/>
          <w:sz w:val="28"/>
          <w:szCs w:val="28"/>
        </w:rPr>
      </w:pPr>
      <w:r w:rsidRPr="0086703E">
        <w:rPr>
          <w:rFonts w:ascii="Arial" w:hAnsi="Arial" w:cs="Arial"/>
          <w:b/>
          <w:bCs/>
          <w:sz w:val="28"/>
          <w:szCs w:val="28"/>
        </w:rPr>
        <w:t>Data Collection Plan &amp; Raw Data Sources Identification Report</w:t>
      </w:r>
    </w:p>
    <w:p w14:paraId="3CC349F0" w14:textId="77777777" w:rsidR="00AD3B58" w:rsidRPr="0086703E" w:rsidRDefault="00AD3B58" w:rsidP="00AD3B58">
      <w:pPr>
        <w:rPr>
          <w:rFonts w:ascii="Arial" w:hAnsi="Arial" w:cs="Arial"/>
          <w:sz w:val="24"/>
          <w:szCs w:val="24"/>
        </w:rPr>
      </w:pPr>
      <w:r w:rsidRPr="0086703E">
        <w:rPr>
          <w:rFonts w:ascii="Arial" w:hAnsi="Arial" w:cs="Arial"/>
          <w:sz w:val="24"/>
          <w:szCs w:val="24"/>
        </w:rPr>
        <w:t xml:space="preserve">Elevate your data strategy with the Data Collection plan and the Raw Data Sources report, ensuring meticulous data curation and integrity for informed decision-making in every analysis and decision-making </w:t>
      </w:r>
      <w:proofErr w:type="spellStart"/>
      <w:r w:rsidRPr="0086703E">
        <w:rPr>
          <w:rFonts w:ascii="Arial" w:hAnsi="Arial" w:cs="Arial"/>
          <w:sz w:val="24"/>
          <w:szCs w:val="24"/>
        </w:rPr>
        <w:t>endeavor</w:t>
      </w:r>
      <w:proofErr w:type="spellEnd"/>
      <w:r w:rsidRPr="0086703E">
        <w:rPr>
          <w:rFonts w:ascii="Arial" w:hAnsi="Arial" w:cs="Arial"/>
          <w:sz w:val="24"/>
          <w:szCs w:val="24"/>
        </w:rPr>
        <w:t>.</w:t>
      </w:r>
    </w:p>
    <w:p w14:paraId="31777F74" w14:textId="77777777" w:rsidR="00AD3B58" w:rsidRPr="0086703E" w:rsidRDefault="00AD3B58" w:rsidP="00AD3B58">
      <w:pPr>
        <w:rPr>
          <w:rFonts w:ascii="Arial" w:hAnsi="Arial" w:cs="Arial"/>
        </w:rPr>
      </w:pPr>
    </w:p>
    <w:p w14:paraId="3EB440D4" w14:textId="77777777" w:rsidR="00AD3B58" w:rsidRPr="0086703E" w:rsidRDefault="00AD3B58" w:rsidP="00AD3B58">
      <w:pPr>
        <w:rPr>
          <w:rFonts w:ascii="Arial" w:hAnsi="Arial" w:cs="Arial"/>
          <w:sz w:val="28"/>
          <w:szCs w:val="28"/>
        </w:rPr>
      </w:pPr>
    </w:p>
    <w:p w14:paraId="2AF83EE0" w14:textId="2167D0F4" w:rsidR="00AD3B58" w:rsidRPr="0086703E" w:rsidRDefault="00AD3B58" w:rsidP="00AD3B58">
      <w:pPr>
        <w:rPr>
          <w:rFonts w:ascii="Arial" w:hAnsi="Arial" w:cs="Arial"/>
          <w:b/>
          <w:bCs/>
          <w:sz w:val="28"/>
          <w:szCs w:val="28"/>
        </w:rPr>
      </w:pPr>
      <w:r w:rsidRPr="0086703E">
        <w:rPr>
          <w:rFonts w:ascii="Arial" w:hAnsi="Arial" w:cs="Arial"/>
          <w:b/>
          <w:bCs/>
          <w:sz w:val="28"/>
          <w:szCs w:val="28"/>
        </w:rPr>
        <w:t>Data Collection Plan</w:t>
      </w:r>
    </w:p>
    <w:tbl>
      <w:tblPr>
        <w:tblW w:w="9708" w:type="dxa"/>
        <w:tblCellMar>
          <w:top w:w="15" w:type="dxa"/>
          <w:left w:w="15" w:type="dxa"/>
          <w:bottom w:w="15" w:type="dxa"/>
          <w:right w:w="15" w:type="dxa"/>
        </w:tblCellMar>
        <w:tblLook w:val="04A0" w:firstRow="1" w:lastRow="0" w:firstColumn="1" w:lastColumn="0" w:noHBand="0" w:noVBand="1"/>
      </w:tblPr>
      <w:tblGrid>
        <w:gridCol w:w="2052"/>
        <w:gridCol w:w="7656"/>
      </w:tblGrid>
      <w:tr w:rsidR="00AD3B58" w:rsidRPr="0086703E" w14:paraId="324FF4E4" w14:textId="77777777" w:rsidTr="00AD3B58">
        <w:tc>
          <w:tcPr>
            <w:tcW w:w="2052" w:type="dxa"/>
            <w:tcBorders>
              <w:top w:val="single" w:sz="6" w:space="0" w:color="000000"/>
              <w:left w:val="single" w:sz="6" w:space="0" w:color="000000"/>
              <w:bottom w:val="single" w:sz="6" w:space="0" w:color="000000"/>
              <w:right w:val="single" w:sz="6" w:space="0" w:color="000000"/>
            </w:tcBorders>
            <w:shd w:val="clear" w:color="auto" w:fill="F8F8F8"/>
            <w:tcMar>
              <w:top w:w="180" w:type="dxa"/>
              <w:left w:w="180" w:type="dxa"/>
              <w:bottom w:w="180" w:type="dxa"/>
              <w:right w:w="180" w:type="dxa"/>
            </w:tcMar>
          </w:tcPr>
          <w:p w14:paraId="07590A3F" w14:textId="26F86C96" w:rsidR="00AD3B58" w:rsidRPr="0086703E" w:rsidRDefault="00AD3B58" w:rsidP="00AD3B58">
            <w:pPr>
              <w:jc w:val="center"/>
              <w:rPr>
                <w:rFonts w:ascii="Arial" w:hAnsi="Arial" w:cs="Arial"/>
                <w:b/>
                <w:bCs/>
              </w:rPr>
            </w:pPr>
            <w:r w:rsidRPr="0086703E">
              <w:rPr>
                <w:rFonts w:ascii="Arial" w:hAnsi="Arial" w:cs="Arial"/>
                <w:b/>
                <w:bCs/>
                <w:sz w:val="24"/>
                <w:szCs w:val="24"/>
              </w:rPr>
              <w:t>Section</w:t>
            </w:r>
          </w:p>
        </w:tc>
        <w:tc>
          <w:tcPr>
            <w:tcW w:w="0" w:type="auto"/>
            <w:tcBorders>
              <w:top w:val="single" w:sz="6" w:space="0" w:color="000000"/>
              <w:left w:val="single" w:sz="6" w:space="0" w:color="000000"/>
              <w:bottom w:val="single" w:sz="6" w:space="0" w:color="000000"/>
              <w:right w:val="single" w:sz="6" w:space="0" w:color="000000"/>
            </w:tcBorders>
            <w:tcMar>
              <w:top w:w="180" w:type="dxa"/>
              <w:left w:w="180" w:type="dxa"/>
              <w:bottom w:w="180" w:type="dxa"/>
              <w:right w:w="180" w:type="dxa"/>
            </w:tcMar>
          </w:tcPr>
          <w:p w14:paraId="7DEAC336" w14:textId="0D237727" w:rsidR="00AD3B58" w:rsidRPr="0086703E" w:rsidRDefault="00AD3B58" w:rsidP="00AD3B58">
            <w:pPr>
              <w:jc w:val="center"/>
              <w:rPr>
                <w:rFonts w:ascii="Arial" w:hAnsi="Arial" w:cs="Arial"/>
                <w:b/>
                <w:bCs/>
              </w:rPr>
            </w:pPr>
            <w:r w:rsidRPr="0086703E">
              <w:rPr>
                <w:rFonts w:ascii="Arial" w:hAnsi="Arial" w:cs="Arial"/>
                <w:b/>
                <w:bCs/>
                <w:sz w:val="24"/>
                <w:szCs w:val="24"/>
              </w:rPr>
              <w:t>Description</w:t>
            </w:r>
          </w:p>
        </w:tc>
      </w:tr>
      <w:tr w:rsidR="00AD3B58" w:rsidRPr="0086703E" w14:paraId="70E49314" w14:textId="77777777" w:rsidTr="00AD3B58">
        <w:tc>
          <w:tcPr>
            <w:tcW w:w="2052" w:type="dxa"/>
            <w:tcBorders>
              <w:top w:val="single" w:sz="6" w:space="0" w:color="000000"/>
              <w:left w:val="single" w:sz="6" w:space="0" w:color="000000"/>
              <w:bottom w:val="single" w:sz="6" w:space="0" w:color="000000"/>
              <w:right w:val="single" w:sz="6" w:space="0" w:color="000000"/>
            </w:tcBorders>
            <w:shd w:val="clear" w:color="auto" w:fill="F8F8F8"/>
            <w:tcMar>
              <w:top w:w="180" w:type="dxa"/>
              <w:left w:w="180" w:type="dxa"/>
              <w:bottom w:w="180" w:type="dxa"/>
              <w:right w:w="180" w:type="dxa"/>
            </w:tcMar>
            <w:hideMark/>
          </w:tcPr>
          <w:p w14:paraId="1090E42E" w14:textId="77777777" w:rsidR="00AD3B58" w:rsidRPr="0086703E" w:rsidRDefault="00AD3B58" w:rsidP="00AD3B58">
            <w:pPr>
              <w:rPr>
                <w:rFonts w:ascii="Arial" w:hAnsi="Arial" w:cs="Arial"/>
                <w:sz w:val="24"/>
                <w:szCs w:val="24"/>
              </w:rPr>
            </w:pPr>
            <w:r w:rsidRPr="0086703E">
              <w:rPr>
                <w:rFonts w:ascii="Arial" w:hAnsi="Arial" w:cs="Arial"/>
                <w:sz w:val="24"/>
                <w:szCs w:val="24"/>
              </w:rPr>
              <w:t>Project Overview</w:t>
            </w:r>
          </w:p>
        </w:tc>
        <w:tc>
          <w:tcPr>
            <w:tcW w:w="0" w:type="auto"/>
            <w:tcBorders>
              <w:top w:val="single" w:sz="6" w:space="0" w:color="000000"/>
              <w:left w:val="single" w:sz="6" w:space="0" w:color="000000"/>
              <w:bottom w:val="single" w:sz="6" w:space="0" w:color="000000"/>
              <w:right w:val="single" w:sz="6" w:space="0" w:color="000000"/>
            </w:tcBorders>
            <w:tcMar>
              <w:top w:w="180" w:type="dxa"/>
              <w:left w:w="180" w:type="dxa"/>
              <w:bottom w:w="180" w:type="dxa"/>
              <w:right w:w="180" w:type="dxa"/>
            </w:tcMar>
            <w:hideMark/>
          </w:tcPr>
          <w:p w14:paraId="218E7328" w14:textId="77777777" w:rsidR="00AD3B58" w:rsidRPr="0086703E" w:rsidRDefault="00AD3B58" w:rsidP="00AD3B58">
            <w:pPr>
              <w:rPr>
                <w:rFonts w:ascii="Arial" w:hAnsi="Arial" w:cs="Arial"/>
                <w:sz w:val="24"/>
                <w:szCs w:val="24"/>
              </w:rPr>
            </w:pPr>
            <w:proofErr w:type="spellStart"/>
            <w:r w:rsidRPr="0086703E">
              <w:rPr>
                <w:rFonts w:ascii="Arial" w:hAnsi="Arial" w:cs="Arial"/>
                <w:sz w:val="24"/>
                <w:szCs w:val="24"/>
              </w:rPr>
              <w:t>SynapseScan</w:t>
            </w:r>
            <w:proofErr w:type="spellEnd"/>
            <w:r w:rsidRPr="0086703E">
              <w:rPr>
                <w:rFonts w:ascii="Arial" w:hAnsi="Arial" w:cs="Arial"/>
                <w:sz w:val="24"/>
                <w:szCs w:val="24"/>
              </w:rPr>
              <w:t xml:space="preserve"> represents a groundbreaking initiative focused on the AI-driven classification of ovarian cancer variants, utilizing the power of transfer learning. This project aims to enhance the accuracy and efficiency of ovarian cancer diagnosis by leveraging pre-trained models and transfer learning techniques to </w:t>
            </w:r>
            <w:proofErr w:type="spellStart"/>
            <w:r w:rsidRPr="0086703E">
              <w:rPr>
                <w:rFonts w:ascii="Arial" w:hAnsi="Arial" w:cs="Arial"/>
                <w:sz w:val="24"/>
                <w:szCs w:val="24"/>
              </w:rPr>
              <w:t>analyze</w:t>
            </w:r>
            <w:proofErr w:type="spellEnd"/>
            <w:r w:rsidRPr="0086703E">
              <w:rPr>
                <w:rFonts w:ascii="Arial" w:hAnsi="Arial" w:cs="Arial"/>
                <w:sz w:val="24"/>
                <w:szCs w:val="24"/>
              </w:rPr>
              <w:t xml:space="preserve"> medical imaging data, such as histopathological images or radiological scans, facilitating early detection, personalized treatment plans, and accelerated research in ovarian cancer.</w:t>
            </w:r>
          </w:p>
        </w:tc>
      </w:tr>
      <w:tr w:rsidR="00AD3B58" w:rsidRPr="0086703E" w14:paraId="0B214FA0" w14:textId="77777777" w:rsidTr="00AD3B58">
        <w:tc>
          <w:tcPr>
            <w:tcW w:w="2052" w:type="dxa"/>
            <w:tcBorders>
              <w:top w:val="single" w:sz="6" w:space="0" w:color="000000"/>
              <w:left w:val="single" w:sz="6" w:space="0" w:color="000000"/>
              <w:bottom w:val="single" w:sz="6" w:space="0" w:color="000000"/>
              <w:right w:val="single" w:sz="6" w:space="0" w:color="000000"/>
            </w:tcBorders>
            <w:shd w:val="clear" w:color="auto" w:fill="F8F8F8"/>
            <w:tcMar>
              <w:top w:w="180" w:type="dxa"/>
              <w:left w:w="180" w:type="dxa"/>
              <w:bottom w:w="180" w:type="dxa"/>
              <w:right w:w="180" w:type="dxa"/>
            </w:tcMar>
            <w:hideMark/>
          </w:tcPr>
          <w:p w14:paraId="0BEB6666" w14:textId="77777777" w:rsidR="00AD3B58" w:rsidRPr="0086703E" w:rsidRDefault="00AD3B58" w:rsidP="00AD3B58">
            <w:pPr>
              <w:rPr>
                <w:rFonts w:ascii="Arial" w:hAnsi="Arial" w:cs="Arial"/>
                <w:sz w:val="24"/>
                <w:szCs w:val="24"/>
              </w:rPr>
            </w:pPr>
            <w:r w:rsidRPr="0086703E">
              <w:rPr>
                <w:rFonts w:ascii="Arial" w:hAnsi="Arial" w:cs="Arial"/>
                <w:sz w:val="24"/>
                <w:szCs w:val="24"/>
              </w:rPr>
              <w:t>Data Collection Plan</w:t>
            </w:r>
          </w:p>
        </w:tc>
        <w:tc>
          <w:tcPr>
            <w:tcW w:w="0" w:type="auto"/>
            <w:tcBorders>
              <w:top w:val="single" w:sz="6" w:space="0" w:color="000000"/>
              <w:left w:val="single" w:sz="6" w:space="0" w:color="000000"/>
              <w:bottom w:val="single" w:sz="6" w:space="0" w:color="000000"/>
              <w:right w:val="single" w:sz="6" w:space="0" w:color="000000"/>
            </w:tcBorders>
            <w:tcMar>
              <w:top w:w="180" w:type="dxa"/>
              <w:left w:w="180" w:type="dxa"/>
              <w:bottom w:w="180" w:type="dxa"/>
              <w:right w:w="180" w:type="dxa"/>
            </w:tcMar>
            <w:hideMark/>
          </w:tcPr>
          <w:p w14:paraId="60C3FB8B" w14:textId="77777777" w:rsidR="00AD3B58" w:rsidRPr="0086703E" w:rsidRDefault="00AD3B58" w:rsidP="00AD3B58">
            <w:pPr>
              <w:numPr>
                <w:ilvl w:val="0"/>
                <w:numId w:val="1"/>
              </w:numPr>
              <w:rPr>
                <w:rFonts w:ascii="Arial" w:hAnsi="Arial" w:cs="Arial"/>
                <w:sz w:val="24"/>
                <w:szCs w:val="24"/>
              </w:rPr>
            </w:pPr>
            <w:r w:rsidRPr="0086703E">
              <w:rPr>
                <w:rFonts w:ascii="Arial" w:hAnsi="Arial" w:cs="Arial"/>
                <w:sz w:val="24"/>
                <w:szCs w:val="24"/>
              </w:rPr>
              <w:t>Search for datasets containing histopathological images of ovarian cancer tissues and variants.</w:t>
            </w:r>
          </w:p>
          <w:p w14:paraId="5995EEF1" w14:textId="77777777" w:rsidR="00AD3B58" w:rsidRPr="0086703E" w:rsidRDefault="00AD3B58" w:rsidP="00AD3B58">
            <w:pPr>
              <w:numPr>
                <w:ilvl w:val="0"/>
                <w:numId w:val="1"/>
              </w:numPr>
              <w:rPr>
                <w:rFonts w:ascii="Arial" w:hAnsi="Arial" w:cs="Arial"/>
                <w:sz w:val="24"/>
                <w:szCs w:val="24"/>
              </w:rPr>
            </w:pPr>
            <w:r w:rsidRPr="0086703E">
              <w:rPr>
                <w:rFonts w:ascii="Arial" w:hAnsi="Arial" w:cs="Arial"/>
                <w:sz w:val="24"/>
                <w:szCs w:val="24"/>
              </w:rPr>
              <w:lastRenderedPageBreak/>
              <w:t>Prioritize datasets with diverse ovarian cancer types and staging information.</w:t>
            </w:r>
          </w:p>
          <w:p w14:paraId="67FC7F85" w14:textId="77777777" w:rsidR="00AD3B58" w:rsidRPr="0086703E" w:rsidRDefault="00AD3B58" w:rsidP="00AD3B58">
            <w:pPr>
              <w:numPr>
                <w:ilvl w:val="0"/>
                <w:numId w:val="1"/>
              </w:numPr>
              <w:rPr>
                <w:rFonts w:ascii="Arial" w:hAnsi="Arial" w:cs="Arial"/>
                <w:sz w:val="24"/>
                <w:szCs w:val="24"/>
              </w:rPr>
            </w:pPr>
            <w:r w:rsidRPr="0086703E">
              <w:rPr>
                <w:rFonts w:ascii="Arial" w:hAnsi="Arial" w:cs="Arial"/>
                <w:sz w:val="24"/>
                <w:szCs w:val="24"/>
              </w:rPr>
              <w:t>Collect radiological imaging data (CT scans, MRI, ultrasound) related to ovarian cancer.</w:t>
            </w:r>
          </w:p>
          <w:p w14:paraId="5CB507B4" w14:textId="77777777" w:rsidR="00AD3B58" w:rsidRPr="0086703E" w:rsidRDefault="00AD3B58" w:rsidP="00AD3B58">
            <w:pPr>
              <w:numPr>
                <w:ilvl w:val="0"/>
                <w:numId w:val="1"/>
              </w:numPr>
              <w:rPr>
                <w:rFonts w:ascii="Arial" w:hAnsi="Arial" w:cs="Arial"/>
                <w:sz w:val="24"/>
                <w:szCs w:val="24"/>
              </w:rPr>
            </w:pPr>
            <w:r w:rsidRPr="0086703E">
              <w:rPr>
                <w:rFonts w:ascii="Arial" w:hAnsi="Arial" w:cs="Arial"/>
                <w:sz w:val="24"/>
                <w:szCs w:val="24"/>
              </w:rPr>
              <w:t>Gather datasets with molecular and genetic profiling information for ovarian cancer variants.</w:t>
            </w:r>
          </w:p>
          <w:p w14:paraId="27F55DEF" w14:textId="77777777" w:rsidR="00AD3B58" w:rsidRPr="0086703E" w:rsidRDefault="00AD3B58" w:rsidP="00AD3B58">
            <w:pPr>
              <w:numPr>
                <w:ilvl w:val="0"/>
                <w:numId w:val="1"/>
              </w:numPr>
              <w:rPr>
                <w:rFonts w:ascii="Arial" w:hAnsi="Arial" w:cs="Arial"/>
                <w:sz w:val="24"/>
                <w:szCs w:val="24"/>
              </w:rPr>
            </w:pPr>
            <w:r w:rsidRPr="0086703E">
              <w:rPr>
                <w:rFonts w:ascii="Arial" w:hAnsi="Arial" w:cs="Arial"/>
                <w:sz w:val="24"/>
                <w:szCs w:val="24"/>
              </w:rPr>
              <w:t>Ensure datasets include proper medical annotations and expert classifications.</w:t>
            </w:r>
          </w:p>
        </w:tc>
      </w:tr>
      <w:tr w:rsidR="00AD3B58" w:rsidRPr="0086703E" w14:paraId="4AEC9C64" w14:textId="77777777" w:rsidTr="00AD3B58">
        <w:tc>
          <w:tcPr>
            <w:tcW w:w="2052" w:type="dxa"/>
            <w:tcBorders>
              <w:top w:val="single" w:sz="6" w:space="0" w:color="000000"/>
              <w:left w:val="single" w:sz="6" w:space="0" w:color="000000"/>
              <w:bottom w:val="single" w:sz="6" w:space="0" w:color="000000"/>
              <w:right w:val="single" w:sz="6" w:space="0" w:color="000000"/>
            </w:tcBorders>
            <w:shd w:val="clear" w:color="auto" w:fill="F8F8F8"/>
            <w:tcMar>
              <w:top w:w="180" w:type="dxa"/>
              <w:left w:w="180" w:type="dxa"/>
              <w:bottom w:w="180" w:type="dxa"/>
              <w:right w:w="180" w:type="dxa"/>
            </w:tcMar>
            <w:hideMark/>
          </w:tcPr>
          <w:p w14:paraId="17F870A3" w14:textId="77777777" w:rsidR="00AD3B58" w:rsidRPr="0086703E" w:rsidRDefault="00AD3B58" w:rsidP="00AD3B58">
            <w:pPr>
              <w:rPr>
                <w:rFonts w:ascii="Arial" w:hAnsi="Arial" w:cs="Arial"/>
                <w:sz w:val="24"/>
                <w:szCs w:val="24"/>
              </w:rPr>
            </w:pPr>
            <w:r w:rsidRPr="0086703E">
              <w:rPr>
                <w:rFonts w:ascii="Arial" w:hAnsi="Arial" w:cs="Arial"/>
                <w:sz w:val="24"/>
                <w:szCs w:val="24"/>
              </w:rPr>
              <w:lastRenderedPageBreak/>
              <w:t>Raw Data Sources Identified</w:t>
            </w:r>
          </w:p>
        </w:tc>
        <w:tc>
          <w:tcPr>
            <w:tcW w:w="0" w:type="auto"/>
            <w:tcBorders>
              <w:top w:val="single" w:sz="6" w:space="0" w:color="000000"/>
              <w:left w:val="single" w:sz="6" w:space="0" w:color="000000"/>
              <w:bottom w:val="single" w:sz="6" w:space="0" w:color="000000"/>
              <w:right w:val="single" w:sz="6" w:space="0" w:color="000000"/>
            </w:tcBorders>
            <w:tcMar>
              <w:top w:w="180" w:type="dxa"/>
              <w:left w:w="180" w:type="dxa"/>
              <w:bottom w:w="180" w:type="dxa"/>
              <w:right w:w="180" w:type="dxa"/>
            </w:tcMar>
            <w:hideMark/>
          </w:tcPr>
          <w:p w14:paraId="3105E9F1" w14:textId="5108EA11" w:rsidR="00AD3B58" w:rsidRPr="0086703E" w:rsidRDefault="00AD3B58" w:rsidP="00AD3B58">
            <w:pPr>
              <w:rPr>
                <w:rFonts w:ascii="Arial" w:hAnsi="Arial" w:cs="Arial"/>
                <w:sz w:val="24"/>
                <w:szCs w:val="24"/>
              </w:rPr>
            </w:pPr>
            <w:r w:rsidRPr="0086703E">
              <w:rPr>
                <w:rFonts w:ascii="Arial" w:hAnsi="Arial" w:cs="Arial"/>
                <w:sz w:val="24"/>
                <w:szCs w:val="24"/>
              </w:rPr>
              <w:t>The raw data sources for this project include medical imaging datasets obtained from Kaggle and specialized medical databases. The datasets encompass histopathological images, radiological scans, and clinical data related to ovarian cancer variants. These sources provide comprehensive information including tissue morphology, imaging characteristics, patient demographics, and cancer staging details essential for AI-driven classification and transfer learning implementation.</w:t>
            </w:r>
          </w:p>
        </w:tc>
      </w:tr>
    </w:tbl>
    <w:p w14:paraId="05912F8D" w14:textId="77777777" w:rsidR="00570259" w:rsidRPr="0086703E" w:rsidRDefault="00AD3B58" w:rsidP="00AD3B58">
      <w:pPr>
        <w:rPr>
          <w:rFonts w:ascii="Arial" w:hAnsi="Arial" w:cs="Arial"/>
          <w:b/>
          <w:bCs/>
        </w:rPr>
      </w:pPr>
      <w:r w:rsidRPr="0086703E">
        <w:rPr>
          <w:rFonts w:ascii="Arial" w:hAnsi="Arial" w:cs="Arial"/>
        </w:rPr>
        <w:br/>
      </w:r>
      <w:r w:rsidRPr="0086703E">
        <w:rPr>
          <w:rFonts w:ascii="Arial" w:hAnsi="Arial" w:cs="Arial"/>
        </w:rPr>
        <w:br/>
      </w:r>
    </w:p>
    <w:tbl>
      <w:tblPr>
        <w:tblpPr w:leftFromText="180" w:rightFromText="180" w:vertAnchor="text" w:horzAnchor="margin" w:tblpXSpec="center" w:tblpY="852"/>
        <w:tblW w:w="10632" w:type="dxa"/>
        <w:tblLayout w:type="fixed"/>
        <w:tblCellMar>
          <w:top w:w="15" w:type="dxa"/>
          <w:left w:w="15" w:type="dxa"/>
          <w:bottom w:w="15" w:type="dxa"/>
          <w:right w:w="15" w:type="dxa"/>
        </w:tblCellMar>
        <w:tblLook w:val="04A0" w:firstRow="1" w:lastRow="0" w:firstColumn="1" w:lastColumn="0" w:noHBand="0" w:noVBand="1"/>
      </w:tblPr>
      <w:tblGrid>
        <w:gridCol w:w="1479"/>
        <w:gridCol w:w="1790"/>
        <w:gridCol w:w="4836"/>
        <w:gridCol w:w="708"/>
        <w:gridCol w:w="701"/>
        <w:gridCol w:w="1118"/>
      </w:tblGrid>
      <w:tr w:rsidR="0086703E" w:rsidRPr="0086703E" w14:paraId="05CA10B9" w14:textId="77777777" w:rsidTr="0086703E">
        <w:tc>
          <w:tcPr>
            <w:tcW w:w="1479" w:type="dxa"/>
            <w:tcBorders>
              <w:top w:val="single" w:sz="6" w:space="0" w:color="000000"/>
              <w:left w:val="single" w:sz="6" w:space="0" w:color="000000"/>
              <w:bottom w:val="single" w:sz="6" w:space="0" w:color="000000"/>
              <w:right w:val="single" w:sz="6" w:space="0" w:color="000000"/>
            </w:tcBorders>
            <w:shd w:val="clear" w:color="auto" w:fill="E8E8E8"/>
            <w:tcMar>
              <w:top w:w="150" w:type="dxa"/>
              <w:left w:w="150" w:type="dxa"/>
              <w:bottom w:w="150" w:type="dxa"/>
              <w:right w:w="150" w:type="dxa"/>
            </w:tcMar>
            <w:hideMark/>
          </w:tcPr>
          <w:p w14:paraId="03B9A4A8" w14:textId="77777777" w:rsidR="0086703E" w:rsidRPr="0086703E" w:rsidRDefault="0086703E" w:rsidP="0086703E">
            <w:pPr>
              <w:rPr>
                <w:rFonts w:ascii="Arial" w:hAnsi="Arial" w:cs="Arial"/>
                <w:b/>
                <w:bCs/>
                <w:sz w:val="20"/>
                <w:szCs w:val="20"/>
              </w:rPr>
            </w:pPr>
            <w:r w:rsidRPr="0086703E">
              <w:rPr>
                <w:rFonts w:ascii="Arial" w:hAnsi="Arial" w:cs="Arial"/>
                <w:b/>
                <w:bCs/>
                <w:sz w:val="20"/>
                <w:szCs w:val="20"/>
              </w:rPr>
              <w:t>Source Name</w:t>
            </w:r>
          </w:p>
        </w:tc>
        <w:tc>
          <w:tcPr>
            <w:tcW w:w="1790" w:type="dxa"/>
            <w:tcBorders>
              <w:top w:val="single" w:sz="6" w:space="0" w:color="000000"/>
              <w:left w:val="single" w:sz="6" w:space="0" w:color="000000"/>
              <w:bottom w:val="single" w:sz="6" w:space="0" w:color="000000"/>
              <w:right w:val="single" w:sz="6" w:space="0" w:color="000000"/>
            </w:tcBorders>
            <w:shd w:val="clear" w:color="auto" w:fill="E8E8E8"/>
            <w:tcMar>
              <w:top w:w="150" w:type="dxa"/>
              <w:left w:w="150" w:type="dxa"/>
              <w:bottom w:w="150" w:type="dxa"/>
              <w:right w:w="150" w:type="dxa"/>
            </w:tcMar>
            <w:hideMark/>
          </w:tcPr>
          <w:p w14:paraId="03EE69B9" w14:textId="77777777" w:rsidR="0086703E" w:rsidRPr="0086703E" w:rsidRDefault="0086703E" w:rsidP="0086703E">
            <w:pPr>
              <w:rPr>
                <w:rFonts w:ascii="Arial" w:hAnsi="Arial" w:cs="Arial"/>
                <w:b/>
                <w:bCs/>
                <w:sz w:val="20"/>
                <w:szCs w:val="20"/>
              </w:rPr>
            </w:pPr>
            <w:r w:rsidRPr="0086703E">
              <w:rPr>
                <w:rFonts w:ascii="Arial" w:hAnsi="Arial" w:cs="Arial"/>
                <w:b/>
                <w:bCs/>
                <w:sz w:val="20"/>
                <w:szCs w:val="20"/>
              </w:rPr>
              <w:t>Description</w:t>
            </w:r>
          </w:p>
        </w:tc>
        <w:tc>
          <w:tcPr>
            <w:tcW w:w="4836" w:type="dxa"/>
            <w:tcBorders>
              <w:top w:val="single" w:sz="6" w:space="0" w:color="000000"/>
              <w:left w:val="single" w:sz="6" w:space="0" w:color="000000"/>
              <w:bottom w:val="single" w:sz="6" w:space="0" w:color="000000"/>
              <w:right w:val="single" w:sz="6" w:space="0" w:color="000000"/>
            </w:tcBorders>
            <w:shd w:val="clear" w:color="auto" w:fill="E8E8E8"/>
            <w:tcMar>
              <w:top w:w="150" w:type="dxa"/>
              <w:left w:w="150" w:type="dxa"/>
              <w:bottom w:w="150" w:type="dxa"/>
              <w:right w:w="150" w:type="dxa"/>
            </w:tcMar>
            <w:hideMark/>
          </w:tcPr>
          <w:p w14:paraId="6C5A8385" w14:textId="77777777" w:rsidR="0086703E" w:rsidRPr="0086703E" w:rsidRDefault="0086703E" w:rsidP="0086703E">
            <w:pPr>
              <w:rPr>
                <w:rFonts w:ascii="Arial" w:hAnsi="Arial" w:cs="Arial"/>
                <w:b/>
                <w:bCs/>
                <w:sz w:val="20"/>
                <w:szCs w:val="20"/>
              </w:rPr>
            </w:pPr>
            <w:r w:rsidRPr="0086703E">
              <w:rPr>
                <w:rFonts w:ascii="Arial" w:hAnsi="Arial" w:cs="Arial"/>
                <w:b/>
                <w:bCs/>
                <w:sz w:val="20"/>
                <w:szCs w:val="20"/>
              </w:rPr>
              <w:t>Location/URL</w:t>
            </w:r>
          </w:p>
        </w:tc>
        <w:tc>
          <w:tcPr>
            <w:tcW w:w="708" w:type="dxa"/>
            <w:tcBorders>
              <w:top w:val="single" w:sz="6" w:space="0" w:color="000000"/>
              <w:left w:val="single" w:sz="6" w:space="0" w:color="000000"/>
              <w:bottom w:val="single" w:sz="6" w:space="0" w:color="000000"/>
              <w:right w:val="single" w:sz="6" w:space="0" w:color="000000"/>
            </w:tcBorders>
            <w:shd w:val="clear" w:color="auto" w:fill="E8E8E8"/>
          </w:tcPr>
          <w:p w14:paraId="677470B0" w14:textId="77777777" w:rsidR="0086703E" w:rsidRPr="0086703E" w:rsidRDefault="0086703E" w:rsidP="0086703E">
            <w:pPr>
              <w:rPr>
                <w:rFonts w:ascii="Arial" w:hAnsi="Arial" w:cs="Arial"/>
                <w:b/>
                <w:bCs/>
                <w:sz w:val="20"/>
                <w:szCs w:val="20"/>
              </w:rPr>
            </w:pPr>
            <w:r w:rsidRPr="0086703E">
              <w:rPr>
                <w:rFonts w:ascii="Arial" w:hAnsi="Arial" w:cs="Arial"/>
                <w:b/>
                <w:bCs/>
                <w:sz w:val="20"/>
                <w:szCs w:val="20"/>
              </w:rPr>
              <w:t>Format</w:t>
            </w:r>
          </w:p>
        </w:tc>
        <w:tc>
          <w:tcPr>
            <w:tcW w:w="701" w:type="dxa"/>
            <w:tcBorders>
              <w:top w:val="single" w:sz="6" w:space="0" w:color="000000"/>
              <w:left w:val="single" w:sz="6" w:space="0" w:color="000000"/>
              <w:bottom w:val="single" w:sz="6" w:space="0" w:color="000000"/>
              <w:right w:val="single" w:sz="6" w:space="0" w:color="000000"/>
            </w:tcBorders>
            <w:shd w:val="clear" w:color="auto" w:fill="E8E8E8"/>
            <w:tcMar>
              <w:top w:w="150" w:type="dxa"/>
              <w:left w:w="150" w:type="dxa"/>
              <w:bottom w:w="150" w:type="dxa"/>
              <w:right w:w="150" w:type="dxa"/>
            </w:tcMar>
            <w:hideMark/>
          </w:tcPr>
          <w:p w14:paraId="7913F503" w14:textId="77777777" w:rsidR="0086703E" w:rsidRPr="0086703E" w:rsidRDefault="0086703E" w:rsidP="0086703E">
            <w:pPr>
              <w:rPr>
                <w:rFonts w:ascii="Arial" w:hAnsi="Arial" w:cs="Arial"/>
                <w:b/>
                <w:bCs/>
                <w:sz w:val="20"/>
                <w:szCs w:val="20"/>
              </w:rPr>
            </w:pPr>
            <w:r w:rsidRPr="0086703E">
              <w:rPr>
                <w:rFonts w:ascii="Arial" w:hAnsi="Arial" w:cs="Arial"/>
                <w:b/>
                <w:bCs/>
                <w:sz w:val="20"/>
                <w:szCs w:val="20"/>
              </w:rPr>
              <w:t>Size</w:t>
            </w:r>
          </w:p>
        </w:tc>
        <w:tc>
          <w:tcPr>
            <w:tcW w:w="1118" w:type="dxa"/>
            <w:tcBorders>
              <w:top w:val="single" w:sz="6" w:space="0" w:color="000000"/>
              <w:left w:val="single" w:sz="6" w:space="0" w:color="000000"/>
              <w:bottom w:val="single" w:sz="6" w:space="0" w:color="000000"/>
              <w:right w:val="single" w:sz="6" w:space="0" w:color="000000"/>
            </w:tcBorders>
            <w:shd w:val="clear" w:color="auto" w:fill="E8E8E8"/>
            <w:tcMar>
              <w:top w:w="150" w:type="dxa"/>
              <w:left w:w="150" w:type="dxa"/>
              <w:bottom w:w="150" w:type="dxa"/>
              <w:right w:w="150" w:type="dxa"/>
            </w:tcMar>
            <w:hideMark/>
          </w:tcPr>
          <w:p w14:paraId="0DAB7592" w14:textId="77777777" w:rsidR="0086703E" w:rsidRPr="0086703E" w:rsidRDefault="0086703E" w:rsidP="0086703E">
            <w:pPr>
              <w:rPr>
                <w:rFonts w:ascii="Arial" w:hAnsi="Arial" w:cs="Arial"/>
                <w:b/>
                <w:bCs/>
                <w:sz w:val="20"/>
                <w:szCs w:val="20"/>
              </w:rPr>
            </w:pPr>
            <w:r w:rsidRPr="0086703E">
              <w:rPr>
                <w:rFonts w:ascii="Arial" w:hAnsi="Arial" w:cs="Arial"/>
                <w:b/>
                <w:bCs/>
                <w:sz w:val="20"/>
                <w:szCs w:val="20"/>
              </w:rPr>
              <w:t>Access Permissions</w:t>
            </w:r>
          </w:p>
        </w:tc>
      </w:tr>
      <w:tr w:rsidR="0086703E" w:rsidRPr="0086703E" w14:paraId="77408994" w14:textId="77777777" w:rsidTr="0086703E">
        <w:tc>
          <w:tcPr>
            <w:tcW w:w="1479"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33F042E7" w14:textId="77777777" w:rsidR="0086703E" w:rsidRPr="0086703E" w:rsidRDefault="0086703E" w:rsidP="0086703E">
            <w:pPr>
              <w:rPr>
                <w:rFonts w:ascii="Arial" w:hAnsi="Arial" w:cs="Arial"/>
                <w:sz w:val="20"/>
                <w:szCs w:val="20"/>
              </w:rPr>
            </w:pPr>
            <w:r w:rsidRPr="0086703E">
              <w:rPr>
                <w:rFonts w:ascii="Arial" w:hAnsi="Arial" w:cs="Arial"/>
                <w:sz w:val="20"/>
                <w:szCs w:val="20"/>
              </w:rPr>
              <w:t>Ovarian Cancer Subtype Classification</w:t>
            </w:r>
          </w:p>
          <w:p w14:paraId="23436C84" w14:textId="77777777" w:rsidR="0086703E" w:rsidRPr="0086703E" w:rsidRDefault="0086703E" w:rsidP="0086703E">
            <w:pPr>
              <w:rPr>
                <w:rFonts w:ascii="Arial" w:hAnsi="Arial" w:cs="Arial"/>
                <w:sz w:val="20"/>
                <w:szCs w:val="20"/>
              </w:rPr>
            </w:pPr>
          </w:p>
        </w:tc>
        <w:tc>
          <w:tcPr>
            <w:tcW w:w="17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6CA6BA33" w14:textId="77777777" w:rsidR="0086703E" w:rsidRPr="0086703E" w:rsidRDefault="0086703E" w:rsidP="0086703E">
            <w:pPr>
              <w:rPr>
                <w:rFonts w:ascii="Arial" w:hAnsi="Arial" w:cs="Arial"/>
                <w:sz w:val="20"/>
                <w:szCs w:val="20"/>
              </w:rPr>
            </w:pPr>
            <w:r w:rsidRPr="0086703E">
              <w:rPr>
                <w:rFonts w:ascii="Arial" w:hAnsi="Arial" w:cs="Arial"/>
                <w:sz w:val="20"/>
                <w:szCs w:val="20"/>
              </w:rPr>
              <w:t>The dataset comprises histopathological images of ovarian cancer tissue samples with different cancer variants.</w:t>
            </w:r>
          </w:p>
        </w:tc>
        <w:tc>
          <w:tcPr>
            <w:tcW w:w="483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534223D9" w14:textId="77777777" w:rsidR="0086703E" w:rsidRPr="0086703E" w:rsidRDefault="0086703E" w:rsidP="0086703E">
            <w:pPr>
              <w:rPr>
                <w:rFonts w:ascii="Arial" w:hAnsi="Arial" w:cs="Arial"/>
                <w:sz w:val="20"/>
                <w:szCs w:val="20"/>
              </w:rPr>
            </w:pPr>
            <w:hyperlink r:id="rId5" w:history="1">
              <w:r w:rsidRPr="0086703E">
                <w:rPr>
                  <w:rStyle w:val="Hyperlink"/>
                  <w:rFonts w:ascii="Arial" w:hAnsi="Arial" w:cs="Arial"/>
                  <w:sz w:val="20"/>
                  <w:szCs w:val="20"/>
                </w:rPr>
                <w:t>https://www.kaggle.com/datasets/sunilthite/ovarian-cancer-classification-dataset</w:t>
              </w:r>
            </w:hyperlink>
          </w:p>
        </w:tc>
        <w:tc>
          <w:tcPr>
            <w:tcW w:w="708" w:type="dxa"/>
            <w:tcBorders>
              <w:top w:val="single" w:sz="6" w:space="0" w:color="000000"/>
              <w:left w:val="single" w:sz="6" w:space="0" w:color="000000"/>
              <w:bottom w:val="single" w:sz="6" w:space="0" w:color="000000"/>
              <w:right w:val="single" w:sz="6" w:space="0" w:color="000000"/>
            </w:tcBorders>
          </w:tcPr>
          <w:p w14:paraId="2B661646" w14:textId="77777777" w:rsidR="0086703E" w:rsidRPr="0086703E" w:rsidRDefault="0086703E" w:rsidP="0086703E">
            <w:pPr>
              <w:rPr>
                <w:rFonts w:ascii="Arial" w:hAnsi="Arial" w:cs="Arial"/>
                <w:sz w:val="20"/>
                <w:szCs w:val="20"/>
              </w:rPr>
            </w:pPr>
            <w:r w:rsidRPr="0086703E">
              <w:rPr>
                <w:rFonts w:ascii="Arial" w:hAnsi="Arial" w:cs="Arial"/>
                <w:sz w:val="20"/>
                <w:szCs w:val="20"/>
              </w:rPr>
              <w:t xml:space="preserve"> PNG</w:t>
            </w:r>
          </w:p>
        </w:tc>
        <w:tc>
          <w:tcPr>
            <w:tcW w:w="701"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06713820" w14:textId="77777777" w:rsidR="0086703E" w:rsidRPr="0086703E" w:rsidRDefault="0086703E" w:rsidP="0086703E">
            <w:pPr>
              <w:rPr>
                <w:rFonts w:ascii="Arial" w:hAnsi="Arial" w:cs="Arial"/>
                <w:sz w:val="20"/>
                <w:szCs w:val="20"/>
              </w:rPr>
            </w:pPr>
            <w:r w:rsidRPr="0086703E">
              <w:rPr>
                <w:rFonts w:ascii="Arial" w:hAnsi="Arial" w:cs="Arial"/>
                <w:sz w:val="20"/>
                <w:szCs w:val="20"/>
              </w:rPr>
              <w:t>4.04 GB</w:t>
            </w:r>
          </w:p>
        </w:tc>
        <w:tc>
          <w:tcPr>
            <w:tcW w:w="1118"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14:paraId="4082DC0C" w14:textId="77777777" w:rsidR="0086703E" w:rsidRPr="0086703E" w:rsidRDefault="0086703E" w:rsidP="0086703E">
            <w:pPr>
              <w:rPr>
                <w:rFonts w:ascii="Arial" w:hAnsi="Arial" w:cs="Arial"/>
                <w:sz w:val="20"/>
                <w:szCs w:val="20"/>
              </w:rPr>
            </w:pPr>
            <w:r w:rsidRPr="0086703E">
              <w:rPr>
                <w:rFonts w:ascii="Arial" w:hAnsi="Arial" w:cs="Arial"/>
                <w:sz w:val="20"/>
                <w:szCs w:val="20"/>
              </w:rPr>
              <w:t>Public</w:t>
            </w:r>
          </w:p>
        </w:tc>
      </w:tr>
    </w:tbl>
    <w:p w14:paraId="1CAD894C" w14:textId="73551086" w:rsidR="00570259" w:rsidRPr="0086703E" w:rsidRDefault="00570259" w:rsidP="00AD3B58">
      <w:pPr>
        <w:rPr>
          <w:rFonts w:ascii="Arial" w:hAnsi="Arial" w:cs="Arial"/>
          <w:b/>
          <w:bCs/>
          <w:sz w:val="28"/>
          <w:szCs w:val="28"/>
        </w:rPr>
      </w:pPr>
      <w:r w:rsidRPr="0086703E">
        <w:rPr>
          <w:rFonts w:ascii="Arial" w:hAnsi="Arial" w:cs="Arial"/>
          <w:b/>
          <w:bCs/>
        </w:rPr>
        <w:br/>
      </w:r>
      <w:r w:rsidR="00AD3B58" w:rsidRPr="0086703E">
        <w:rPr>
          <w:rFonts w:ascii="Arial" w:hAnsi="Arial" w:cs="Arial"/>
          <w:b/>
          <w:bCs/>
          <w:sz w:val="28"/>
          <w:szCs w:val="28"/>
        </w:rPr>
        <w:t>Raw Data Sources Report</w:t>
      </w:r>
    </w:p>
    <w:p w14:paraId="5412D71E" w14:textId="135331F4" w:rsidR="00DF6DCF" w:rsidRPr="0086703E" w:rsidRDefault="00DF6DCF" w:rsidP="00AD3B58">
      <w:pPr>
        <w:rPr>
          <w:rFonts w:ascii="Arial" w:hAnsi="Arial" w:cs="Arial"/>
          <w:sz w:val="20"/>
          <w:szCs w:val="20"/>
        </w:rPr>
      </w:pPr>
    </w:p>
    <w:sectPr w:rsidR="00DF6DCF" w:rsidRPr="00867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733F57"/>
    <w:multiLevelType w:val="multilevel"/>
    <w:tmpl w:val="5C0E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233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58"/>
    <w:rsid w:val="00007D92"/>
    <w:rsid w:val="00260225"/>
    <w:rsid w:val="00570259"/>
    <w:rsid w:val="0086703E"/>
    <w:rsid w:val="009F29FE"/>
    <w:rsid w:val="00AD3B58"/>
    <w:rsid w:val="00AE029E"/>
    <w:rsid w:val="00C911D2"/>
    <w:rsid w:val="00D711E7"/>
    <w:rsid w:val="00DF6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B1737"/>
  <w15:chartTrackingRefBased/>
  <w15:docId w15:val="{83ABAB99-2300-4096-B7F7-2F53CD47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B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D3B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3B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3B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3B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3B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B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B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B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B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D3B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3B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3B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3B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3B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B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B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B58"/>
    <w:rPr>
      <w:rFonts w:eastAsiaTheme="majorEastAsia" w:cstheme="majorBidi"/>
      <w:color w:val="272727" w:themeColor="text1" w:themeTint="D8"/>
    </w:rPr>
  </w:style>
  <w:style w:type="paragraph" w:styleId="Title">
    <w:name w:val="Title"/>
    <w:basedOn w:val="Normal"/>
    <w:next w:val="Normal"/>
    <w:link w:val="TitleChar"/>
    <w:uiPriority w:val="10"/>
    <w:qFormat/>
    <w:rsid w:val="00AD3B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B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B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B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B58"/>
    <w:pPr>
      <w:spacing w:before="160"/>
      <w:jc w:val="center"/>
    </w:pPr>
    <w:rPr>
      <w:i/>
      <w:iCs/>
      <w:color w:val="404040" w:themeColor="text1" w:themeTint="BF"/>
    </w:rPr>
  </w:style>
  <w:style w:type="character" w:customStyle="1" w:styleId="QuoteChar">
    <w:name w:val="Quote Char"/>
    <w:basedOn w:val="DefaultParagraphFont"/>
    <w:link w:val="Quote"/>
    <w:uiPriority w:val="29"/>
    <w:rsid w:val="00AD3B58"/>
    <w:rPr>
      <w:i/>
      <w:iCs/>
      <w:color w:val="404040" w:themeColor="text1" w:themeTint="BF"/>
    </w:rPr>
  </w:style>
  <w:style w:type="paragraph" w:styleId="ListParagraph">
    <w:name w:val="List Paragraph"/>
    <w:basedOn w:val="Normal"/>
    <w:uiPriority w:val="34"/>
    <w:qFormat/>
    <w:rsid w:val="00AD3B58"/>
    <w:pPr>
      <w:ind w:left="720"/>
      <w:contextualSpacing/>
    </w:pPr>
  </w:style>
  <w:style w:type="character" w:styleId="IntenseEmphasis">
    <w:name w:val="Intense Emphasis"/>
    <w:basedOn w:val="DefaultParagraphFont"/>
    <w:uiPriority w:val="21"/>
    <w:qFormat/>
    <w:rsid w:val="00AD3B58"/>
    <w:rPr>
      <w:i/>
      <w:iCs/>
      <w:color w:val="2F5496" w:themeColor="accent1" w:themeShade="BF"/>
    </w:rPr>
  </w:style>
  <w:style w:type="paragraph" w:styleId="IntenseQuote">
    <w:name w:val="Intense Quote"/>
    <w:basedOn w:val="Normal"/>
    <w:next w:val="Normal"/>
    <w:link w:val="IntenseQuoteChar"/>
    <w:uiPriority w:val="30"/>
    <w:qFormat/>
    <w:rsid w:val="00AD3B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3B58"/>
    <w:rPr>
      <w:i/>
      <w:iCs/>
      <w:color w:val="2F5496" w:themeColor="accent1" w:themeShade="BF"/>
    </w:rPr>
  </w:style>
  <w:style w:type="character" w:styleId="IntenseReference">
    <w:name w:val="Intense Reference"/>
    <w:basedOn w:val="DefaultParagraphFont"/>
    <w:uiPriority w:val="32"/>
    <w:qFormat/>
    <w:rsid w:val="00AD3B58"/>
    <w:rPr>
      <w:b/>
      <w:bCs/>
      <w:smallCaps/>
      <w:color w:val="2F5496" w:themeColor="accent1" w:themeShade="BF"/>
      <w:spacing w:val="5"/>
    </w:rPr>
  </w:style>
  <w:style w:type="character" w:styleId="Hyperlink">
    <w:name w:val="Hyperlink"/>
    <w:basedOn w:val="DefaultParagraphFont"/>
    <w:uiPriority w:val="99"/>
    <w:unhideWhenUsed/>
    <w:rsid w:val="00AE029E"/>
    <w:rPr>
      <w:color w:val="0563C1" w:themeColor="hyperlink"/>
      <w:u w:val="single"/>
    </w:rPr>
  </w:style>
  <w:style w:type="character" w:styleId="UnresolvedMention">
    <w:name w:val="Unresolved Mention"/>
    <w:basedOn w:val="DefaultParagraphFont"/>
    <w:uiPriority w:val="99"/>
    <w:semiHidden/>
    <w:unhideWhenUsed/>
    <w:rsid w:val="00AE02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618473">
      <w:bodyDiv w:val="1"/>
      <w:marLeft w:val="0"/>
      <w:marRight w:val="0"/>
      <w:marTop w:val="0"/>
      <w:marBottom w:val="0"/>
      <w:divBdr>
        <w:top w:val="none" w:sz="0" w:space="0" w:color="auto"/>
        <w:left w:val="none" w:sz="0" w:space="0" w:color="auto"/>
        <w:bottom w:val="none" w:sz="0" w:space="0" w:color="auto"/>
        <w:right w:val="none" w:sz="0" w:space="0" w:color="auto"/>
      </w:divBdr>
    </w:div>
    <w:div w:id="559170667">
      <w:bodyDiv w:val="1"/>
      <w:marLeft w:val="0"/>
      <w:marRight w:val="0"/>
      <w:marTop w:val="0"/>
      <w:marBottom w:val="0"/>
      <w:divBdr>
        <w:top w:val="none" w:sz="0" w:space="0" w:color="auto"/>
        <w:left w:val="none" w:sz="0" w:space="0" w:color="auto"/>
        <w:bottom w:val="none" w:sz="0" w:space="0" w:color="auto"/>
        <w:right w:val="none" w:sz="0" w:space="0" w:color="auto"/>
      </w:divBdr>
    </w:div>
    <w:div w:id="860166674">
      <w:bodyDiv w:val="1"/>
      <w:marLeft w:val="0"/>
      <w:marRight w:val="0"/>
      <w:marTop w:val="0"/>
      <w:marBottom w:val="0"/>
      <w:divBdr>
        <w:top w:val="none" w:sz="0" w:space="0" w:color="auto"/>
        <w:left w:val="none" w:sz="0" w:space="0" w:color="auto"/>
        <w:bottom w:val="none" w:sz="0" w:space="0" w:color="auto"/>
        <w:right w:val="none" w:sz="0" w:space="0" w:color="auto"/>
      </w:divBdr>
    </w:div>
    <w:div w:id="893588828">
      <w:bodyDiv w:val="1"/>
      <w:marLeft w:val="0"/>
      <w:marRight w:val="0"/>
      <w:marTop w:val="0"/>
      <w:marBottom w:val="0"/>
      <w:divBdr>
        <w:top w:val="none" w:sz="0" w:space="0" w:color="auto"/>
        <w:left w:val="none" w:sz="0" w:space="0" w:color="auto"/>
        <w:bottom w:val="none" w:sz="0" w:space="0" w:color="auto"/>
        <w:right w:val="none" w:sz="0" w:space="0" w:color="auto"/>
      </w:divBdr>
    </w:div>
    <w:div w:id="1470244770">
      <w:bodyDiv w:val="1"/>
      <w:marLeft w:val="0"/>
      <w:marRight w:val="0"/>
      <w:marTop w:val="0"/>
      <w:marBottom w:val="0"/>
      <w:divBdr>
        <w:top w:val="none" w:sz="0" w:space="0" w:color="auto"/>
        <w:left w:val="none" w:sz="0" w:space="0" w:color="auto"/>
        <w:bottom w:val="none" w:sz="0" w:space="0" w:color="auto"/>
        <w:right w:val="none" w:sz="0" w:space="0" w:color="auto"/>
      </w:divBdr>
    </w:div>
    <w:div w:id="210733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unilthite/ovarian-cancer-classifica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Bera</dc:creator>
  <cp:keywords/>
  <dc:description/>
  <cp:lastModifiedBy>Pritam Bera</cp:lastModifiedBy>
  <cp:revision>3</cp:revision>
  <dcterms:created xsi:type="dcterms:W3CDTF">2025-07-02T11:08:00Z</dcterms:created>
  <dcterms:modified xsi:type="dcterms:W3CDTF">2025-07-02T20:47:00Z</dcterms:modified>
</cp:coreProperties>
</file>