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Researcher Designated AI Direct Analytical Work Contract</w:t>
      </w:r>
    </w:p>
    <w:p>
      <w:pPr>
        <w:pStyle w:val="Subtitle"/>
        <w:jc w:val="center"/>
      </w:pPr>
      <w:r>
        <w:t>Consolidated Contract R1 through R2.7</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232"/>
            <w:shd w:fill="EAF2F8"/>
            <w:tcMar>
              <w:top w:w="100" w:type="dxa"/>
              <w:start w:w="120" w:type="dxa"/>
              <w:bottom w:w="100" w:type="dxa"/>
              <w:end w:w="120" w:type="dxa"/>
            </w:tcMar>
            <w:vAlign w:val="center"/>
          </w:tcPr>
          <w:p>
            <w:pPr>
              <w:spacing w:after="0"/>
            </w:pPr>
            <w:r>
              <w:rPr>
                <w:b/>
              </w:rPr>
              <w:t>Status</w:t>
            </w:r>
          </w:p>
        </w:tc>
        <w:tc>
          <w:tcPr>
            <w:tcW w:type="dxa" w:w="7128"/>
            <w:tcMar>
              <w:top w:w="100" w:type="dxa"/>
              <w:start w:w="120" w:type="dxa"/>
              <w:bottom w:w="100" w:type="dxa"/>
              <w:end w:w="120" w:type="dxa"/>
            </w:tcMar>
            <w:vAlign w:val="center"/>
          </w:tcPr>
          <w:p>
            <w:pPr>
              <w:spacing w:after="0"/>
            </w:pPr>
            <w:r>
              <w:t>Consolidated researcher contract</w:t>
            </w:r>
          </w:p>
        </w:tc>
      </w:tr>
      <w:tr>
        <w:tc>
          <w:tcPr>
            <w:tcW w:type="dxa" w:w="2232"/>
            <w:shd w:fill="EAF2F8"/>
            <w:tcMar>
              <w:top w:w="100" w:type="dxa"/>
              <w:start w:w="120" w:type="dxa"/>
              <w:bottom w:w="100" w:type="dxa"/>
              <w:end w:w="120" w:type="dxa"/>
            </w:tcMar>
            <w:vAlign w:val="center"/>
          </w:tcPr>
          <w:p>
            <w:pPr>
              <w:spacing w:after="0"/>
            </w:pPr>
            <w:r>
              <w:rPr>
                <w:b/>
              </w:rPr>
              <w:t>Scope</w:t>
            </w:r>
          </w:p>
        </w:tc>
        <w:tc>
          <w:tcPr>
            <w:tcW w:type="dxa" w:w="7128"/>
            <w:tcMar>
              <w:top w:w="100" w:type="dxa"/>
              <w:start w:w="120" w:type="dxa"/>
              <w:bottom w:w="100" w:type="dxa"/>
              <w:end w:w="120" w:type="dxa"/>
            </w:tcMar>
            <w:vAlign w:val="center"/>
          </w:tcPr>
          <w:p>
            <w:pPr>
              <w:spacing w:after="0"/>
            </w:pPr>
            <w:r>
              <w:t>Every PLI analytical stage and every separately authorized analytical run</w:t>
            </w:r>
          </w:p>
        </w:tc>
      </w:tr>
      <w:tr>
        <w:tc>
          <w:tcPr>
            <w:tcW w:type="dxa" w:w="2232"/>
            <w:shd w:fill="EAF2F8"/>
            <w:tcMar>
              <w:top w:w="100" w:type="dxa"/>
              <w:start w:w="120" w:type="dxa"/>
              <w:bottom w:w="100" w:type="dxa"/>
              <w:end w:w="120" w:type="dxa"/>
            </w:tcMar>
            <w:vAlign w:val="center"/>
          </w:tcPr>
          <w:p>
            <w:pPr>
              <w:spacing w:after="0"/>
            </w:pPr>
            <w:r>
              <w:rPr>
                <w:b/>
              </w:rPr>
              <w:t>Analytical parties</w:t>
            </w:r>
          </w:p>
        </w:tc>
        <w:tc>
          <w:tcPr>
            <w:tcW w:type="dxa" w:w="7128"/>
            <w:tcMar>
              <w:top w:w="100" w:type="dxa"/>
              <w:start w:w="120" w:type="dxa"/>
              <w:bottom w:w="100" w:type="dxa"/>
              <w:end w:w="120" w:type="dxa"/>
            </w:tcMar>
            <w:vAlign w:val="center"/>
          </w:tcPr>
          <w:p>
            <w:pPr>
              <w:spacing w:after="0"/>
            </w:pPr>
            <w:r>
              <w:t>The researcher and the researcher selected designated AI</w:t>
            </w:r>
          </w:p>
        </w:tc>
      </w:tr>
      <w:tr>
        <w:tc>
          <w:tcPr>
            <w:tcW w:type="dxa" w:w="2232"/>
            <w:shd w:fill="EAF2F8"/>
            <w:tcMar>
              <w:top w:w="100" w:type="dxa"/>
              <w:start w:w="120" w:type="dxa"/>
              <w:bottom w:w="100" w:type="dxa"/>
              <w:end w:w="120" w:type="dxa"/>
            </w:tcMar>
            <w:vAlign w:val="center"/>
          </w:tcPr>
          <w:p>
            <w:pPr>
              <w:spacing w:after="0"/>
            </w:pPr>
            <w:r>
              <w:rPr>
                <w:b/>
              </w:rPr>
              <w:t>Infrastructure role</w:t>
            </w:r>
          </w:p>
        </w:tc>
        <w:tc>
          <w:tcPr>
            <w:tcW w:type="dxa" w:w="7128"/>
            <w:tcMar>
              <w:top w:w="100" w:type="dxa"/>
              <w:start w:w="120" w:type="dxa"/>
              <w:bottom w:w="100" w:type="dxa"/>
              <w:end w:w="120" w:type="dxa"/>
            </w:tcMar>
            <w:vAlign w:val="center"/>
          </w:tcPr>
          <w:p>
            <w:pPr>
              <w:spacing w:after="0"/>
            </w:pPr>
            <w:r>
              <w:t>Content neutral transport preservation provenance privacy and workflow mechanics only</w:t>
            </w:r>
          </w:p>
        </w:tc>
      </w:tr>
    </w:tbl>
    <w:p/>
    <w:p>
      <w:pPr>
        <w:pStyle w:val="Heading1"/>
        <w:keepNext/>
      </w:pPr>
      <w:r>
        <w:t>Purpose and Governing Relationship</w:t>
      </w:r>
    </w:p>
    <w:p>
      <w:pPr>
        <w:pStyle w:val="BodyText"/>
      </w:pPr>
      <w:r>
        <w:t>This contract defines the direct analytical relationship between the researcher and the AI explicitly selected for an analytical run. The designated AI receives the complete frozen analytical contract and the authorized frozen source. Its exact provider response reaches the researcher without any external AI or application level analytical intermediary.</w:t>
      </w:r>
    </w:p>
    <w:p>
      <w:pPr>
        <w:spacing w:before="160" w:after="200"/>
        <w:jc w:val="center"/>
      </w:pPr>
      <w:r>
        <w:rPr>
          <w:b/>
          <w:sz w:val="20"/>
        </w:rPr>
        <w:t>RESEARCHER   →   FROZEN CONTRACT AND SOURCE   →   DESIGNATED AI   →   EXACT RESPONSE   →   RESEARCHER</w:t>
      </w:r>
    </w:p>
    <w:p>
      <w:pPr>
        <w:pStyle w:val="Heading1"/>
        <w:keepNext/>
      </w:pPr>
      <w:r>
        <w:t>Universal Direct Analytical Relationship</w:t>
      </w:r>
    </w:p>
    <w:p>
      <w:pPr>
        <w:pStyle w:val="Clause"/>
        <w:keepNext/>
      </w:pPr>
      <w:r>
        <w:rPr>
          <w:b/>
        </w:rPr>
        <w:t>U1  Exclusive Analytical Relationship</w:t>
      </w:r>
    </w:p>
    <w:p>
      <w:pPr>
        <w:pStyle w:val="BodyText"/>
      </w:pPr>
      <w:r>
        <w:t>For each analytical run, the only analytical parties are the researcher and the exact provider and model selected by the researcher. The provider delivered AI system is accepted as the designated AI in its complete API form.</w:t>
      </w:r>
    </w:p>
    <w:p>
      <w:pPr>
        <w:pStyle w:val="Clause"/>
        <w:keepNext/>
      </w:pPr>
      <w:r>
        <w:rPr>
          <w:b/>
        </w:rPr>
        <w:t>U2  One Designated AI Recipient</w:t>
      </w:r>
    </w:p>
    <w:p>
      <w:pPr>
        <w:pStyle w:val="BodyText"/>
      </w:pPr>
      <w:r>
        <w:t>PLI sends the analytical contract and authorized source only to the designated AI for that run. No second AI receives the request or response for validation, verification, review, scoring, criticism, repair, rewriting, parsing, comparison, approval, rejection, retry selection, or replacement.</w:t>
      </w:r>
    </w:p>
    <w:p>
      <w:pPr>
        <w:pStyle w:val="Clause"/>
        <w:keepNext/>
      </w:pPr>
      <w:r>
        <w:rPr>
          <w:b/>
        </w:rPr>
        <w:t>U3  No Analytical Intermediary</w:t>
      </w:r>
    </w:p>
    <w:p>
      <w:pPr>
        <w:pStyle w:val="BodyText"/>
      </w:pPr>
      <w:r>
        <w:t>No application rule, deterministic analytical quality test, secondary model, validator, reviewer, monitor, repairer, gatekeeper, projection agent, or substitute model may judge or alter the designated AI's analytical work before or after the researcher receives it.</w:t>
      </w:r>
    </w:p>
    <w:p>
      <w:pPr>
        <w:pStyle w:val="Clause"/>
        <w:keepNext/>
      </w:pPr>
      <w:r>
        <w:rPr>
          <w:b/>
        </w:rPr>
        <w:t>U4  Complete Contract Delivery</w:t>
      </w:r>
    </w:p>
    <w:p>
      <w:pPr>
        <w:pStyle w:val="BodyText"/>
      </w:pPr>
      <w:r>
        <w:t>Every applicable analytical term is assembled into one researcher visible request and supplied directly to the designated AI. No hidden analytical instruction, codebook, exclusion rule, prompt, or qualitative standard may be added by PLI.</w:t>
      </w:r>
    </w:p>
    <w:p>
      <w:pPr>
        <w:pStyle w:val="Clause"/>
        <w:keepNext/>
      </w:pPr>
      <w:r>
        <w:rPr>
          <w:b/>
        </w:rPr>
        <w:t>U5  Exact Output and Researcher Authority</w:t>
      </w:r>
    </w:p>
    <w:p>
      <w:pPr>
        <w:pStyle w:val="BodyText"/>
      </w:pPr>
      <w:r>
        <w:t>PLI preserves the designated AI's exact provider response, including weak, unexpected, malformed, incomplete, empty, or failed output and the provider's technical diagnostics. Only the researcher decides analytical adequacy, whether another run is warranted, or whether a different model will be selected.</w:t>
      </w:r>
    </w:p>
    <w:p>
      <w:pPr>
        <w:pStyle w:val="Clause"/>
        <w:keepNext/>
      </w:pPr>
      <w:r>
        <w:rPr>
          <w:b/>
        </w:rPr>
        <w:t>U6  Every Analytical Stage</w:t>
      </w:r>
    </w:p>
    <w:p>
      <w:pPr>
        <w:pStyle w:val="BodyText"/>
      </w:pPr>
      <w:r>
        <w:t>These universal provisions apply to Stage 1, Stage 2A, later Code Category and Theme harmonization, Stage 3 interpretation, reanalysis, and every future analytical stage. A later stage may perform only its separately defined task and may not reopen or repair an earlier stage.</w:t>
      </w:r>
    </w:p>
    <w:p>
      <w:pPr>
        <w:pStyle w:val="Clause"/>
        <w:keepNext/>
      </w:pPr>
      <w:r>
        <w:rPr>
          <w:b/>
        </w:rPr>
        <w:t>U7  Content Neutral Infrastructure</w:t>
      </w:r>
    </w:p>
    <w:p>
      <w:pPr>
        <w:pStyle w:val="BodyText"/>
      </w:pPr>
      <w:r>
        <w:t>PLI may authenticate, transport, freeze, hash, store, retrieve, display, protect privacy, record provider technical status, prevent duplicate writes, enforce cohort barriers, and execute researcher authorized workflow transitions. These operations may not evaluate analytical quality or create analytical content.</w:t>
      </w:r>
    </w:p>
    <w:p>
      <w:pPr>
        <w:pStyle w:val="Clause"/>
        <w:keepNext/>
      </w:pPr>
      <w:r>
        <w:rPr>
          <w:b/>
        </w:rPr>
        <w:t>U8  Undefined Stages Cannot Run</w:t>
      </w:r>
    </w:p>
    <w:p>
      <w:pPr>
        <w:pStyle w:val="BodyText"/>
      </w:pPr>
      <w:r>
        <w:t>No analytical stage may execute until the researcher has approved its complete model facing task, source boundary, output contract, provider, exact model, settings, and transition conditions.</w:t>
      </w:r>
    </w:p>
    <w:p>
      <w:pPr>
        <w:pStyle w:val="Heading1"/>
        <w:keepNext/>
      </w:pPr>
      <w:r>
        <w:t>Contract Delivery Manifest</w:t>
      </w:r>
    </w:p>
    <w:p>
      <w:pPr>
        <w:pStyle w:val="BodyText"/>
      </w:pPr>
      <w:r>
        <w:t>The analytical terms below reach the designated AI through one frozen request. Infrastructure obligations remain visible and enforceable around that request but are never delegated to another 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c>
          <w:tcPr>
            <w:tcW w:type="dxa" w:w="2952"/>
            <w:vAlign w:val="center"/>
            <w:tcMar>
              <w:top w:w="110" w:type="dxa"/>
              <w:start w:w="120" w:type="dxa"/>
              <w:bottom w:w="110" w:type="dxa"/>
              <w:end w:w="120" w:type="dxa"/>
            </w:tcMar>
            <w:shd w:fill="1F4E78"/>
          </w:tcPr>
          <w:p>
            <w:pPr>
              <w:spacing w:after="0" w:line="252" w:lineRule="auto"/>
            </w:pPr>
            <w:r>
              <w:rPr>
                <w:b/>
                <w:color w:val="FFFFFF"/>
                <w:sz w:val="18"/>
              </w:rPr>
              <w:t>Contract component</w:t>
            </w:r>
          </w:p>
        </w:tc>
        <w:tc>
          <w:tcPr>
            <w:tcW w:type="dxa" w:w="5112"/>
            <w:vAlign w:val="center"/>
            <w:tcMar>
              <w:top w:w="110" w:type="dxa"/>
              <w:start w:w="120" w:type="dxa"/>
              <w:bottom w:w="110" w:type="dxa"/>
              <w:end w:w="120" w:type="dxa"/>
            </w:tcMar>
            <w:shd w:fill="1F4E78"/>
          </w:tcPr>
          <w:p>
            <w:pPr>
              <w:spacing w:after="0" w:line="252" w:lineRule="auto"/>
            </w:pPr>
            <w:r>
              <w:rPr>
                <w:b/>
                <w:color w:val="FFFFFF"/>
                <w:sz w:val="18"/>
              </w:rPr>
              <w:t>How it reaches the designated AI</w:t>
            </w:r>
          </w:p>
        </w:tc>
        <w:tc>
          <w:tcPr>
            <w:tcW w:type="dxa" w:w="1296"/>
            <w:vAlign w:val="center"/>
            <w:tcMar>
              <w:top w:w="110" w:type="dxa"/>
              <w:start w:w="120" w:type="dxa"/>
              <w:bottom w:w="110" w:type="dxa"/>
              <w:end w:w="120" w:type="dxa"/>
            </w:tcMar>
            <w:shd w:fill="1F4E78"/>
          </w:tcPr>
          <w:p>
            <w:pPr>
              <w:spacing w:after="0" w:line="252" w:lineRule="auto"/>
            </w:pPr>
            <w:r>
              <w:rPr>
                <w:b/>
                <w:color w:val="FFFFFF"/>
                <w:sz w:val="18"/>
              </w:rPr>
              <w:t>Other AI recipients</w:t>
            </w:r>
          </w:p>
        </w:tc>
      </w:tr>
      <w:tr>
        <w:tc>
          <w:tcPr>
            <w:tcW w:type="dxa" w:w="2952"/>
            <w:vAlign w:val="center"/>
            <w:tcMar>
              <w:top w:w="110" w:type="dxa"/>
              <w:start w:w="120" w:type="dxa"/>
              <w:bottom w:w="110" w:type="dxa"/>
              <w:end w:w="120" w:type="dxa"/>
            </w:tcMar>
          </w:tcPr>
          <w:p>
            <w:pPr>
              <w:spacing w:after="0" w:line="252" w:lineRule="auto"/>
            </w:pPr>
            <w:r>
              <w:rPr>
                <w:sz w:val="18"/>
              </w:rPr>
              <w:t>Universal direct relationship terms</w:t>
            </w:r>
          </w:p>
        </w:tc>
        <w:tc>
          <w:tcPr>
            <w:tcW w:type="dxa" w:w="5112"/>
            <w:vAlign w:val="center"/>
            <w:tcMar>
              <w:top w:w="110" w:type="dxa"/>
              <w:start w:w="120" w:type="dxa"/>
              <w:bottom w:w="110" w:type="dxa"/>
              <w:end w:w="120" w:type="dxa"/>
            </w:tcMar>
          </w:tcPr>
          <w:p>
            <w:pPr>
              <w:spacing w:after="0" w:line="252" w:lineRule="auto"/>
            </w:pPr>
            <w:r>
              <w:rPr>
                <w:sz w:val="18"/>
              </w:rPr>
              <w:t>Included in the frozen analytical instructions for every stage</w:t>
            </w:r>
          </w:p>
        </w:tc>
        <w:tc>
          <w:tcPr>
            <w:tcW w:type="dxa" w:w="1296"/>
            <w:vAlign w:val="center"/>
            <w:tcMar>
              <w:top w:w="110" w:type="dxa"/>
              <w:start w:w="120" w:type="dxa"/>
              <w:bottom w:w="110" w:type="dxa"/>
              <w:end w:w="120" w:type="dxa"/>
            </w:tcMar>
          </w:tcPr>
          <w:p>
            <w:pPr>
              <w:spacing w:after="0" w:line="252" w:lineRule="auto"/>
            </w:pPr>
            <w:r>
              <w:rPr>
                <w:sz w:val="18"/>
              </w:rPr>
              <w:t>None</w:t>
            </w:r>
          </w:p>
        </w:tc>
      </w:tr>
      <w:tr>
        <w:tc>
          <w:tcPr>
            <w:tcW w:type="dxa" w:w="2952"/>
            <w:vAlign w:val="center"/>
            <w:tcMar>
              <w:top w:w="110" w:type="dxa"/>
              <w:start w:w="120" w:type="dxa"/>
              <w:bottom w:w="110" w:type="dxa"/>
              <w:end w:w="120" w:type="dxa"/>
            </w:tcMar>
            <w:shd w:fill="EAF2F8"/>
          </w:tcPr>
          <w:p>
            <w:pPr>
              <w:spacing w:after="0" w:line="252" w:lineRule="auto"/>
            </w:pPr>
            <w:r>
              <w:rPr>
                <w:sz w:val="18"/>
              </w:rPr>
              <w:t>R1 authoritative source terms</w:t>
            </w:r>
          </w:p>
        </w:tc>
        <w:tc>
          <w:tcPr>
            <w:tcW w:type="dxa" w:w="5112"/>
            <w:vAlign w:val="center"/>
            <w:tcMar>
              <w:top w:w="110" w:type="dxa"/>
              <w:start w:w="120" w:type="dxa"/>
              <w:bottom w:w="110" w:type="dxa"/>
              <w:end w:w="120" w:type="dxa"/>
            </w:tcMar>
            <w:shd w:fill="EAF2F8"/>
          </w:tcPr>
          <w:p>
            <w:pPr>
              <w:spacing w:after="0" w:line="252" w:lineRule="auto"/>
            </w:pPr>
            <w:r>
              <w:rPr>
                <w:sz w:val="18"/>
              </w:rPr>
              <w:t>Included in the frozen instructions and embodied in the frozen case source</w:t>
            </w:r>
          </w:p>
        </w:tc>
        <w:tc>
          <w:tcPr>
            <w:tcW w:type="dxa" w:w="1296"/>
            <w:vAlign w:val="center"/>
            <w:tcMar>
              <w:top w:w="110" w:type="dxa"/>
              <w:start w:w="120" w:type="dxa"/>
              <w:bottom w:w="110" w:type="dxa"/>
              <w:end w:w="120" w:type="dxa"/>
            </w:tcMar>
            <w:shd w:fill="EAF2F8"/>
          </w:tcPr>
          <w:p>
            <w:pPr>
              <w:spacing w:after="0" w:line="252" w:lineRule="auto"/>
            </w:pPr>
            <w:r>
              <w:rPr>
                <w:sz w:val="18"/>
              </w:rPr>
              <w:t>None</w:t>
            </w:r>
          </w:p>
        </w:tc>
      </w:tr>
      <w:tr>
        <w:tc>
          <w:tcPr>
            <w:tcW w:type="dxa" w:w="2952"/>
            <w:vAlign w:val="center"/>
            <w:tcMar>
              <w:top w:w="110" w:type="dxa"/>
              <w:start w:w="120" w:type="dxa"/>
              <w:bottom w:w="110" w:type="dxa"/>
              <w:end w:w="120" w:type="dxa"/>
            </w:tcMar>
          </w:tcPr>
          <w:p>
            <w:pPr>
              <w:spacing w:after="0" w:line="252" w:lineRule="auto"/>
            </w:pPr>
            <w:r>
              <w:rPr>
                <w:sz w:val="18"/>
              </w:rPr>
              <w:t>R2.1 provider model and settings</w:t>
            </w:r>
          </w:p>
        </w:tc>
        <w:tc>
          <w:tcPr>
            <w:tcW w:type="dxa" w:w="5112"/>
            <w:vAlign w:val="center"/>
            <w:tcMar>
              <w:top w:w="110" w:type="dxa"/>
              <w:start w:w="120" w:type="dxa"/>
              <w:bottom w:w="110" w:type="dxa"/>
              <w:end w:w="120" w:type="dxa"/>
            </w:tcMar>
          </w:tcPr>
          <w:p>
            <w:pPr>
              <w:spacing w:after="0" w:line="252" w:lineRule="auto"/>
            </w:pPr>
            <w:r>
              <w:rPr>
                <w:sz w:val="18"/>
              </w:rPr>
              <w:t>Encoded in the provider request parameters and frozen request record</w:t>
            </w:r>
          </w:p>
        </w:tc>
        <w:tc>
          <w:tcPr>
            <w:tcW w:type="dxa" w:w="1296"/>
            <w:vAlign w:val="center"/>
            <w:tcMar>
              <w:top w:w="110" w:type="dxa"/>
              <w:start w:w="120" w:type="dxa"/>
              <w:bottom w:w="110" w:type="dxa"/>
              <w:end w:w="120" w:type="dxa"/>
            </w:tcMar>
          </w:tcPr>
          <w:p>
            <w:pPr>
              <w:spacing w:after="0" w:line="252" w:lineRule="auto"/>
            </w:pPr>
            <w:r>
              <w:rPr>
                <w:sz w:val="18"/>
              </w:rPr>
              <w:t>None</w:t>
            </w:r>
          </w:p>
        </w:tc>
      </w:tr>
      <w:tr>
        <w:tc>
          <w:tcPr>
            <w:tcW w:type="dxa" w:w="2952"/>
            <w:vAlign w:val="center"/>
            <w:tcMar>
              <w:top w:w="110" w:type="dxa"/>
              <w:start w:w="120" w:type="dxa"/>
              <w:bottom w:w="110" w:type="dxa"/>
              <w:end w:w="120" w:type="dxa"/>
            </w:tcMar>
            <w:shd w:fill="EAF2F8"/>
          </w:tcPr>
          <w:p>
            <w:pPr>
              <w:spacing w:after="0" w:line="252" w:lineRule="auto"/>
            </w:pPr>
            <w:r>
              <w:rPr>
                <w:sz w:val="18"/>
              </w:rPr>
              <w:t>R2.2 Global Analysis Rules</w:t>
            </w:r>
          </w:p>
        </w:tc>
        <w:tc>
          <w:tcPr>
            <w:tcW w:type="dxa" w:w="5112"/>
            <w:vAlign w:val="center"/>
            <w:tcMar>
              <w:top w:w="110" w:type="dxa"/>
              <w:start w:w="120" w:type="dxa"/>
              <w:bottom w:w="110" w:type="dxa"/>
              <w:end w:w="120" w:type="dxa"/>
            </w:tcMar>
            <w:shd w:fill="EAF2F8"/>
          </w:tcPr>
          <w:p>
            <w:pPr>
              <w:spacing w:after="0" w:line="252" w:lineRule="auto"/>
            </w:pPr>
            <w:r>
              <w:rPr>
                <w:sz w:val="18"/>
              </w:rPr>
              <w:t>Included verbatim in the frozen Stage 1 instructions</w:t>
            </w:r>
          </w:p>
        </w:tc>
        <w:tc>
          <w:tcPr>
            <w:tcW w:type="dxa" w:w="1296"/>
            <w:vAlign w:val="center"/>
            <w:tcMar>
              <w:top w:w="110" w:type="dxa"/>
              <w:start w:w="120" w:type="dxa"/>
              <w:bottom w:w="110" w:type="dxa"/>
              <w:end w:w="120" w:type="dxa"/>
            </w:tcMar>
            <w:shd w:fill="EAF2F8"/>
          </w:tcPr>
          <w:p>
            <w:pPr>
              <w:spacing w:after="0" w:line="252" w:lineRule="auto"/>
            </w:pPr>
            <w:r>
              <w:rPr>
                <w:sz w:val="18"/>
              </w:rPr>
              <w:t>None</w:t>
            </w:r>
          </w:p>
        </w:tc>
      </w:tr>
      <w:tr>
        <w:tc>
          <w:tcPr>
            <w:tcW w:type="dxa" w:w="2952"/>
            <w:vAlign w:val="center"/>
            <w:tcMar>
              <w:top w:w="110" w:type="dxa"/>
              <w:start w:w="120" w:type="dxa"/>
              <w:bottom w:w="110" w:type="dxa"/>
              <w:end w:w="120" w:type="dxa"/>
            </w:tcMar>
          </w:tcPr>
          <w:p>
            <w:pPr>
              <w:spacing w:after="0" w:line="252" w:lineRule="auto"/>
            </w:pPr>
            <w:r>
              <w:rPr>
                <w:sz w:val="18"/>
              </w:rPr>
              <w:t>R2.3 Project Context and Analysis Specific Guidelines</w:t>
            </w:r>
          </w:p>
        </w:tc>
        <w:tc>
          <w:tcPr>
            <w:tcW w:type="dxa" w:w="5112"/>
            <w:vAlign w:val="center"/>
            <w:tcMar>
              <w:top w:w="110" w:type="dxa"/>
              <w:start w:w="120" w:type="dxa"/>
              <w:bottom w:w="110" w:type="dxa"/>
              <w:end w:w="120" w:type="dxa"/>
            </w:tcMar>
          </w:tcPr>
          <w:p>
            <w:pPr>
              <w:spacing w:after="0" w:line="252" w:lineRule="auto"/>
            </w:pPr>
            <w:r>
              <w:rPr>
                <w:sz w:val="18"/>
              </w:rPr>
              <w:t>Included as the exact researcher approved version</w:t>
            </w:r>
          </w:p>
        </w:tc>
        <w:tc>
          <w:tcPr>
            <w:tcW w:type="dxa" w:w="1296"/>
            <w:vAlign w:val="center"/>
            <w:tcMar>
              <w:top w:w="110" w:type="dxa"/>
              <w:start w:w="120" w:type="dxa"/>
              <w:bottom w:w="110" w:type="dxa"/>
              <w:end w:w="120" w:type="dxa"/>
            </w:tcMar>
          </w:tcPr>
          <w:p>
            <w:pPr>
              <w:spacing w:after="0" w:line="252" w:lineRule="auto"/>
            </w:pPr>
            <w:r>
              <w:rPr>
                <w:sz w:val="18"/>
              </w:rPr>
              <w:t>None</w:t>
            </w:r>
          </w:p>
        </w:tc>
      </w:tr>
      <w:tr>
        <w:tc>
          <w:tcPr>
            <w:tcW w:type="dxa" w:w="2952"/>
            <w:vAlign w:val="center"/>
            <w:tcMar>
              <w:top w:w="110" w:type="dxa"/>
              <w:start w:w="120" w:type="dxa"/>
              <w:bottom w:w="110" w:type="dxa"/>
              <w:end w:w="120" w:type="dxa"/>
            </w:tcMar>
            <w:shd w:fill="EAF2F8"/>
          </w:tcPr>
          <w:p>
            <w:pPr>
              <w:spacing w:after="0" w:line="252" w:lineRule="auto"/>
            </w:pPr>
            <w:r>
              <w:rPr>
                <w:sz w:val="18"/>
              </w:rPr>
              <w:t>R2.4 analytical definitions and task</w:t>
            </w:r>
          </w:p>
        </w:tc>
        <w:tc>
          <w:tcPr>
            <w:tcW w:type="dxa" w:w="5112"/>
            <w:vAlign w:val="center"/>
            <w:tcMar>
              <w:top w:w="110" w:type="dxa"/>
              <w:start w:w="120" w:type="dxa"/>
              <w:bottom w:w="110" w:type="dxa"/>
              <w:end w:w="120" w:type="dxa"/>
            </w:tcMar>
            <w:shd w:fill="EAF2F8"/>
          </w:tcPr>
          <w:p>
            <w:pPr>
              <w:spacing w:after="0" w:line="252" w:lineRule="auto"/>
            </w:pPr>
            <w:r>
              <w:rPr>
                <w:sz w:val="18"/>
              </w:rPr>
              <w:t>Included verbatim in the Stage 1 instructions</w:t>
            </w:r>
          </w:p>
        </w:tc>
        <w:tc>
          <w:tcPr>
            <w:tcW w:type="dxa" w:w="1296"/>
            <w:vAlign w:val="center"/>
            <w:tcMar>
              <w:top w:w="110" w:type="dxa"/>
              <w:start w:w="120" w:type="dxa"/>
              <w:bottom w:w="110" w:type="dxa"/>
              <w:end w:w="120" w:type="dxa"/>
            </w:tcMar>
            <w:shd w:fill="EAF2F8"/>
          </w:tcPr>
          <w:p>
            <w:pPr>
              <w:spacing w:after="0" w:line="252" w:lineRule="auto"/>
            </w:pPr>
            <w:r>
              <w:rPr>
                <w:sz w:val="18"/>
              </w:rPr>
              <w:t>None</w:t>
            </w:r>
          </w:p>
        </w:tc>
      </w:tr>
      <w:tr>
        <w:tc>
          <w:tcPr>
            <w:tcW w:type="dxa" w:w="2952"/>
            <w:vAlign w:val="center"/>
            <w:tcMar>
              <w:top w:w="110" w:type="dxa"/>
              <w:start w:w="120" w:type="dxa"/>
              <w:bottom w:w="110" w:type="dxa"/>
              <w:end w:w="120" w:type="dxa"/>
            </w:tcMar>
          </w:tcPr>
          <w:p>
            <w:pPr>
              <w:spacing w:after="0" w:line="252" w:lineRule="auto"/>
            </w:pPr>
            <w:r>
              <w:rPr>
                <w:sz w:val="18"/>
              </w:rPr>
              <w:t>R2.5 output structure</w:t>
            </w:r>
          </w:p>
        </w:tc>
        <w:tc>
          <w:tcPr>
            <w:tcW w:type="dxa" w:w="5112"/>
            <w:vAlign w:val="center"/>
            <w:tcMar>
              <w:top w:w="110" w:type="dxa"/>
              <w:start w:w="120" w:type="dxa"/>
              <w:bottom w:w="110" w:type="dxa"/>
              <w:end w:w="120" w:type="dxa"/>
            </w:tcMar>
          </w:tcPr>
          <w:p>
            <w:pPr>
              <w:spacing w:after="0" w:line="252" w:lineRule="auto"/>
            </w:pPr>
            <w:r>
              <w:rPr>
                <w:sz w:val="18"/>
              </w:rPr>
              <w:t>Included in the instructions and provider native response contract</w:t>
            </w:r>
          </w:p>
        </w:tc>
        <w:tc>
          <w:tcPr>
            <w:tcW w:type="dxa" w:w="1296"/>
            <w:vAlign w:val="center"/>
            <w:tcMar>
              <w:top w:w="110" w:type="dxa"/>
              <w:start w:w="120" w:type="dxa"/>
              <w:bottom w:w="110" w:type="dxa"/>
              <w:end w:w="120" w:type="dxa"/>
            </w:tcMar>
          </w:tcPr>
          <w:p>
            <w:pPr>
              <w:spacing w:after="0" w:line="252" w:lineRule="auto"/>
            </w:pPr>
            <w:r>
              <w:rPr>
                <w:sz w:val="18"/>
              </w:rPr>
              <w:t>None</w:t>
            </w:r>
          </w:p>
        </w:tc>
      </w:tr>
      <w:tr>
        <w:tc>
          <w:tcPr>
            <w:tcW w:type="dxa" w:w="2952"/>
            <w:vAlign w:val="center"/>
            <w:tcMar>
              <w:top w:w="110" w:type="dxa"/>
              <w:start w:w="120" w:type="dxa"/>
              <w:bottom w:w="110" w:type="dxa"/>
              <w:end w:w="120" w:type="dxa"/>
            </w:tcMar>
            <w:shd w:fill="EAF2F8"/>
          </w:tcPr>
          <w:p>
            <w:pPr>
              <w:spacing w:after="0" w:line="252" w:lineRule="auto"/>
            </w:pPr>
            <w:r>
              <w:rPr>
                <w:sz w:val="18"/>
              </w:rPr>
              <w:t>Case transcript or corpus</w:t>
            </w:r>
          </w:p>
        </w:tc>
        <w:tc>
          <w:tcPr>
            <w:tcW w:type="dxa" w:w="5112"/>
            <w:vAlign w:val="center"/>
            <w:tcMar>
              <w:top w:w="110" w:type="dxa"/>
              <w:start w:w="120" w:type="dxa"/>
              <w:bottom w:w="110" w:type="dxa"/>
              <w:end w:w="120" w:type="dxa"/>
            </w:tcMar>
            <w:shd w:fill="EAF2F8"/>
          </w:tcPr>
          <w:p>
            <w:pPr>
              <w:spacing w:after="0" w:line="252" w:lineRule="auto"/>
            </w:pPr>
            <w:r>
              <w:rPr>
                <w:sz w:val="18"/>
              </w:rPr>
              <w:t>Sent as the designated stage input after the request is frozen</w:t>
            </w:r>
          </w:p>
        </w:tc>
        <w:tc>
          <w:tcPr>
            <w:tcW w:type="dxa" w:w="1296"/>
            <w:vAlign w:val="center"/>
            <w:tcMar>
              <w:top w:w="110" w:type="dxa"/>
              <w:start w:w="120" w:type="dxa"/>
              <w:bottom w:w="110" w:type="dxa"/>
              <w:end w:w="120" w:type="dxa"/>
            </w:tcMar>
            <w:shd w:fill="EAF2F8"/>
          </w:tcPr>
          <w:p>
            <w:pPr>
              <w:spacing w:after="0" w:line="252" w:lineRule="auto"/>
            </w:pPr>
            <w:r>
              <w:rPr>
                <w:sz w:val="18"/>
              </w:rPr>
              <w:t>None</w:t>
            </w:r>
          </w:p>
        </w:tc>
      </w:tr>
      <w:tr>
        <w:tc>
          <w:tcPr>
            <w:tcW w:type="dxa" w:w="2952"/>
            <w:vAlign w:val="center"/>
            <w:tcMar>
              <w:top w:w="110" w:type="dxa"/>
              <w:start w:w="120" w:type="dxa"/>
              <w:bottom w:w="110" w:type="dxa"/>
              <w:end w:w="120" w:type="dxa"/>
            </w:tcMar>
          </w:tcPr>
          <w:p>
            <w:pPr>
              <w:spacing w:after="0" w:line="252" w:lineRule="auto"/>
            </w:pPr>
            <w:r>
              <w:rPr>
                <w:sz w:val="18"/>
              </w:rPr>
              <w:t>R2.6 and R2.7 infrastructure obligations</w:t>
            </w:r>
          </w:p>
        </w:tc>
        <w:tc>
          <w:tcPr>
            <w:tcW w:type="dxa" w:w="5112"/>
            <w:vAlign w:val="center"/>
            <w:tcMar>
              <w:top w:w="110" w:type="dxa"/>
              <w:start w:w="120" w:type="dxa"/>
              <w:bottom w:w="110" w:type="dxa"/>
              <w:end w:w="120" w:type="dxa"/>
            </w:tcMar>
          </w:tcPr>
          <w:p>
            <w:pPr>
              <w:spacing w:after="0" w:line="252" w:lineRule="auto"/>
            </w:pPr>
            <w:r>
              <w:rPr>
                <w:sz w:val="18"/>
              </w:rPr>
              <w:t>Enforced by content neutral PLI software and recorded with the request</w:t>
            </w:r>
          </w:p>
        </w:tc>
        <w:tc>
          <w:tcPr>
            <w:tcW w:type="dxa" w:w="1296"/>
            <w:vAlign w:val="center"/>
            <w:tcMar>
              <w:top w:w="110" w:type="dxa"/>
              <w:start w:w="120" w:type="dxa"/>
              <w:bottom w:w="110" w:type="dxa"/>
              <w:end w:w="120" w:type="dxa"/>
            </w:tcMar>
          </w:tcPr>
          <w:p>
            <w:pPr>
              <w:spacing w:after="0" w:line="252" w:lineRule="auto"/>
            </w:pPr>
            <w:r>
              <w:rPr>
                <w:sz w:val="18"/>
              </w:rPr>
              <w:t>None</w:t>
            </w:r>
          </w:p>
        </w:tc>
      </w:tr>
    </w:tbl>
    <w:p>
      <w:pPr>
        <w:pStyle w:val="Heading1"/>
        <w:keepNext/>
      </w:pPr>
      <w:r>
        <w:t>R1 Authoritative Case Evidence Contract</w:t>
      </w:r>
    </w:p>
    <w:p>
      <w:pPr>
        <w:pStyle w:val="Clause"/>
        <w:keepNext/>
      </w:pPr>
      <w:r>
        <w:rPr>
          <w:b/>
        </w:rPr>
        <w:t>R1.1  Formally Completed Case</w:t>
      </w:r>
    </w:p>
    <w:p>
      <w:pPr>
        <w:pStyle w:val="BodyText"/>
      </w:pPr>
      <w:r>
        <w:t>A case may enter Stage 1 only after the researcher defined interview completion condition has been satisfied and the case has been closed for analytical use. Inactivity alone does not create analytical completion unless the researcher expressly defines it as such.</w:t>
      </w:r>
    </w:p>
    <w:p>
      <w:pPr>
        <w:pStyle w:val="Clause"/>
        <w:keepNext/>
      </w:pPr>
      <w:r>
        <w:rPr>
          <w:b/>
        </w:rPr>
        <w:t>R1.2  Anonymous Case Identity and Lineage</w:t>
      </w:r>
    </w:p>
    <w:p>
      <w:pPr>
        <w:pStyle w:val="BodyText"/>
      </w:pPr>
      <w:r>
        <w:t>Every analytical source is bound to an anonymous case identifier, research project, applicable research design version, and analytical run. Real world participant identity is not supplied to the analytical model.</w:t>
      </w:r>
    </w:p>
    <w:p>
      <w:pPr>
        <w:pStyle w:val="Clause"/>
        <w:keepNext/>
      </w:pPr>
      <w:r>
        <w:rPr>
          <w:b/>
        </w:rPr>
        <w:t>R1.3  Frozen Analytical Transcript</w:t>
      </w:r>
    </w:p>
    <w:p>
      <w:pPr>
        <w:pStyle w:val="BodyText"/>
      </w:pPr>
      <w:r>
        <w:t>The analytical source for a case is the exact transcript snapshot frozen for that run. The source cannot be silently reloaded from later edited records or reconstructed from current project settings after the request is made.</w:t>
      </w:r>
    </w:p>
    <w:p>
      <w:pPr>
        <w:pStyle w:val="Clause"/>
        <w:keepNext/>
      </w:pPr>
      <w:r>
        <w:rPr>
          <w:b/>
        </w:rPr>
        <w:t>R1.4  Participant Evidence Boundary</w:t>
      </w:r>
    </w:p>
    <w:p>
      <w:pPr>
        <w:pStyle w:val="BodyText"/>
      </w:pPr>
      <w:r>
        <w:t>Stage 1 analytical evidence consists of participant authored substantive responses in the frozen analytical transcript. Interviewer turns may provide only researcher authorized contextual framing and may never become participant Meaning Units or participant claims.</w:t>
      </w:r>
    </w:p>
    <w:p>
      <w:pPr>
        <w:pStyle w:val="Clause"/>
        <w:keepNext/>
      </w:pPr>
      <w:r>
        <w:rPr>
          <w:b/>
        </w:rPr>
        <w:t>R1.5  Multilingual Source Authority</w:t>
      </w:r>
    </w:p>
    <w:p>
      <w:pPr>
        <w:pStyle w:val="BodyText"/>
      </w:pPr>
      <w:r>
        <w:t>For a non English interview, the frozen English translation is the analytical text used to generate Meaning Units Codes Categories and Themes. The exact original language transcript remains preserved and linked for verification. Missing translation is disclosed and is not silently replaced by an inferred translation.</w:t>
      </w:r>
    </w:p>
    <w:p>
      <w:pPr>
        <w:pStyle w:val="Clause"/>
        <w:keepNext/>
      </w:pPr>
      <w:r>
        <w:rPr>
          <w:b/>
        </w:rPr>
        <w:t>R1.6  Evidence Traceability</w:t>
      </w:r>
    </w:p>
    <w:p>
      <w:pPr>
        <w:pStyle w:val="BodyText"/>
      </w:pPr>
      <w:r>
        <w:t>Every analytical evidence record remains traceable to its exact frozen source turn or turns and exact source passage. PLI and later stages may not invent or substitute evidence.</w:t>
      </w:r>
    </w:p>
    <w:p>
      <w:pPr>
        <w:pStyle w:val="Clause"/>
        <w:keepNext/>
      </w:pPr>
      <w:r>
        <w:rPr>
          <w:b/>
        </w:rPr>
        <w:t>R1.7  Demographic Separation</w:t>
      </w:r>
    </w:p>
    <w:p>
      <w:pPr>
        <w:pStyle w:val="BodyText"/>
      </w:pPr>
      <w:r>
        <w:t>Participant characteristics may be stored and displayed in the factual case record but are not supplied to Stage 1 or Stage 2 analytical generation. They become analytically active only under an expressly approved later stage contract.</w:t>
      </w:r>
    </w:p>
    <w:p>
      <w:pPr>
        <w:pStyle w:val="Clause"/>
        <w:keepNext/>
      </w:pPr>
      <w:r>
        <w:rPr>
          <w:b/>
        </w:rPr>
        <w:t>R1.8  No Prior Analytical Input</w:t>
      </w:r>
    </w:p>
    <w:p>
      <w:pPr>
        <w:pStyle w:val="BodyText"/>
      </w:pPr>
      <w:r>
        <w:t>Stage 1 receives no previous analysis, legacy report, corpus vocabulary, predetermined codebook, output from another model, or materialized software reconstruction unless the researcher explicitly creates a different analytical method and approves that source in a separate run.</w:t>
      </w:r>
    </w:p>
    <w:p>
      <w:pPr>
        <w:pStyle w:val="Clause"/>
        <w:keepNext/>
      </w:pPr>
      <w:r>
        <w:rPr>
          <w:b/>
        </w:rPr>
        <w:t>R1.9  Independent Source for Every Run</w:t>
      </w:r>
    </w:p>
    <w:p>
      <w:pPr>
        <w:pStyle w:val="BodyText"/>
      </w:pPr>
      <w:r>
        <w:t>Every separately authorized analytical run records its own exact frozen source. A new run never edits, overwrites, or retroactively changes the source or output of an earlier run.</w:t>
      </w:r>
    </w:p>
    <w:p>
      <w:pPr>
        <w:pStyle w:val="Heading1"/>
        <w:keepNext/>
      </w:pPr>
      <w:r>
        <w:t>R2 Stage 1 Analysis Request Contract</w:t>
      </w:r>
    </w:p>
    <w:p>
      <w:pPr>
        <w:pStyle w:val="Heading2"/>
        <w:keepNext/>
      </w:pPr>
      <w:r>
        <w:t>R2.1 Researcher Controlled Model Configuration</w:t>
      </w:r>
    </w:p>
    <w:p>
      <w:pPr>
        <w:pStyle w:val="Clause"/>
        <w:keepNext/>
      </w:pPr>
      <w:r>
        <w:rPr>
          <w:b/>
        </w:rPr>
        <w:t>R2.1.1  Researcher Selection</w:t>
      </w:r>
    </w:p>
    <w:p>
      <w:pPr>
        <w:pStyle w:val="BodyText"/>
      </w:pPr>
      <w:r>
        <w:t>Before a run exists, the researcher explicitly selects the service provider, exact model identifier, reasoning setting, and output token allowance.</w:t>
      </w:r>
    </w:p>
    <w:p>
      <w:pPr>
        <w:pStyle w:val="Clause"/>
        <w:keepNext/>
      </w:pPr>
      <w:r>
        <w:rPr>
          <w:b/>
        </w:rPr>
        <w:t>R2.1.2  Frozen Settings</w:t>
      </w:r>
    </w:p>
    <w:p>
      <w:pPr>
        <w:pStyle w:val="BodyText"/>
      </w:pPr>
      <w:r>
        <w:t>The selected provider model and settings are frozen with the exact request before execution and remain unchanged for that run.</w:t>
      </w:r>
    </w:p>
    <w:p>
      <w:pPr>
        <w:pStyle w:val="Clause"/>
        <w:keepNext/>
      </w:pPr>
      <w:r>
        <w:rPr>
          <w:b/>
        </w:rPr>
        <w:t>R2.1.3  No Hidden Defaults</w:t>
      </w:r>
    </w:p>
    <w:p>
      <w:pPr>
        <w:pStyle w:val="BodyText"/>
      </w:pPr>
      <w:r>
        <w:t>PLI does not silently obtain an analytical model, reasoning level, output allowance, or qualitative setting from an environment default or worker decision. Any unavoidable provider controlled setting is disclosed as not specified by PLI.</w:t>
      </w:r>
    </w:p>
    <w:p>
      <w:pPr>
        <w:pStyle w:val="Clause"/>
        <w:keepNext/>
      </w:pPr>
      <w:r>
        <w:rPr>
          <w:b/>
        </w:rPr>
        <w:t>R2.1.4  No Fallback or Substitution</w:t>
      </w:r>
    </w:p>
    <w:p>
      <w:pPr>
        <w:pStyle w:val="BodyText"/>
      </w:pPr>
      <w:r>
        <w:t>If the selected provider or model cannot complete the request, the operation stops with its technical record preserved. PLI does not select another model, provider, smaller model, cheaper model, or prior model.</w:t>
      </w:r>
    </w:p>
    <w:p>
      <w:pPr>
        <w:pStyle w:val="Clause"/>
        <w:keepNext/>
      </w:pPr>
      <w:r>
        <w:rPr>
          <w:b/>
        </w:rPr>
        <w:t>R2.1.5  Separate Comparative Runs</w:t>
      </w:r>
    </w:p>
    <w:p>
      <w:pPr>
        <w:pStyle w:val="BodyText"/>
      </w:pPr>
      <w:r>
        <w:t>The researcher may deliberately authorize separate runs using the same frozen source and contract with different selected models. Their outputs remain separate immutable analyses. A comparative run is never an intermediary review of another model's output.</w:t>
      </w:r>
    </w:p>
    <w:p>
      <w:pPr>
        <w:pStyle w:val="Clause"/>
        <w:keepNext/>
      </w:pPr>
      <w:r>
        <w:rPr>
          <w:b/>
        </w:rPr>
        <w:t>R2.1.6  Project and Provider Agnosticism</w:t>
      </w:r>
    </w:p>
    <w:p>
      <w:pPr>
        <w:pStyle w:val="BodyText"/>
      </w:pPr>
      <w:r>
        <w:t>Provider and model identities are research configuration rather than PLI methodology. Project topic cohort size demographic schema and model generation are not hardcoded platform assumptions.</w:t>
      </w:r>
    </w:p>
    <w:p>
      <w:pPr>
        <w:pStyle w:val="Heading2"/>
        <w:keepNext/>
      </w:pPr>
      <w:r>
        <w:t>R2.2 Global Analysis Rules</w:t>
      </w:r>
    </w:p>
    <w:p>
      <w:pPr>
        <w:pStyle w:val="Clause"/>
        <w:keepNext/>
      </w:pPr>
      <w:r>
        <w:rPr>
          <w:b/>
        </w:rPr>
        <w:t>R2.2.1  Case Independence</w:t>
      </w:r>
    </w:p>
    <w:p>
      <w:pPr>
        <w:pStyle w:val="BodyText"/>
      </w:pPr>
      <w:r>
        <w:t>Analyze each completed case independently. Do not compare the case with another participant and do not use a cross case vocabulary during Stage 1.</w:t>
      </w:r>
    </w:p>
    <w:p>
      <w:pPr>
        <w:pStyle w:val="Clause"/>
        <w:keepNext/>
      </w:pPr>
      <w:r>
        <w:rPr>
          <w:b/>
        </w:rPr>
        <w:t>R2.2.2  Authoritative Source</w:t>
      </w:r>
    </w:p>
    <w:p>
      <w:pPr>
        <w:pStyle w:val="BodyText"/>
      </w:pPr>
      <w:r>
        <w:t>Use only the frozen analytical transcript and the approved project context supplied in this request.</w:t>
      </w:r>
    </w:p>
    <w:p>
      <w:pPr>
        <w:pStyle w:val="Clause"/>
        <w:keepNext/>
      </w:pPr>
      <w:r>
        <w:rPr>
          <w:b/>
        </w:rPr>
        <w:t>R2.2.3  Evidence Traceability</w:t>
      </w:r>
    </w:p>
    <w:p>
      <w:pPr>
        <w:pStyle w:val="BodyText"/>
      </w:pPr>
      <w:r>
        <w:t>Keep every Meaning Unit and every higher analytical claim linked through the explicit evidence chain to the exact source turn or turns.</w:t>
      </w:r>
    </w:p>
    <w:p>
      <w:pPr>
        <w:pStyle w:val="Clause"/>
        <w:keepNext/>
      </w:pPr>
      <w:r>
        <w:rPr>
          <w:b/>
        </w:rPr>
        <w:t>R2.2.4  Evidence Grounding</w:t>
      </w:r>
    </w:p>
    <w:p>
      <w:pPr>
        <w:pStyle w:val="BodyText"/>
      </w:pPr>
      <w:r>
        <w:t>Do not introduce unsupported facts motives explanations causal claims theoretical claims or participant characteristics absent from the authorized source.</w:t>
      </w:r>
    </w:p>
    <w:p>
      <w:pPr>
        <w:pStyle w:val="Clause"/>
        <w:keepNext/>
      </w:pPr>
      <w:r>
        <w:rPr>
          <w:b/>
        </w:rPr>
        <w:t>R2.2.5  Bottom Up Progression</w:t>
      </w:r>
    </w:p>
    <w:p>
      <w:pPr>
        <w:pStyle w:val="BodyText"/>
      </w:pPr>
      <w:r>
        <w:t>Develop the connected analysis in this order: Transcript to Meaning Units to Preliminary Codes to Preliminary Categories to Preliminary Tentative Themes.</w:t>
      </w:r>
    </w:p>
    <w:p>
      <w:pPr>
        <w:pStyle w:val="Clause"/>
        <w:keepNext/>
      </w:pPr>
      <w:r>
        <w:rPr>
          <w:b/>
        </w:rPr>
        <w:t>R2.2.6  No Forced Reduction</w:t>
      </w:r>
    </w:p>
    <w:p>
      <w:pPr>
        <w:pStyle w:val="BodyText"/>
      </w:pPr>
      <w:r>
        <w:t>There is no target minimum or maximum number of Meaning Units Codes Categories or Themes. Preserve the complexity supported by the case.</w:t>
      </w:r>
    </w:p>
    <w:p>
      <w:pPr>
        <w:pStyle w:val="Clause"/>
        <w:keepNext/>
      </w:pPr>
      <w:r>
        <w:rPr>
          <w:b/>
        </w:rPr>
        <w:t>R2.2.7  No Cross Case Standardization</w:t>
      </w:r>
    </w:p>
    <w:p>
      <w:pPr>
        <w:pStyle w:val="BodyText"/>
      </w:pPr>
      <w:r>
        <w:t>Use terminology appropriate to this case. Do not force agreement with another case or a corpus wide codebook during Stage 1.</w:t>
      </w:r>
    </w:p>
    <w:p>
      <w:pPr>
        <w:pStyle w:val="Clause"/>
        <w:keepNext/>
      </w:pPr>
      <w:r>
        <w:rPr>
          <w:b/>
        </w:rPr>
        <w:t>R2.2.8  English Analytical Output</w:t>
      </w:r>
    </w:p>
    <w:p>
      <w:pPr>
        <w:pStyle w:val="BodyText"/>
      </w:pPr>
      <w:r>
        <w:t>Produce the analytical objects and case summary in English while retaining exact source provenance to the frozen transcript.</w:t>
      </w:r>
    </w:p>
    <w:p>
      <w:pPr>
        <w:pStyle w:val="Clause"/>
        <w:keepNext/>
      </w:pPr>
      <w:r>
        <w:rPr>
          <w:b/>
        </w:rPr>
        <w:t>R2.2.9  No Gatekeeper</w:t>
      </w:r>
    </w:p>
    <w:p>
      <w:pPr>
        <w:pStyle w:val="BodyText"/>
      </w:pPr>
      <w:r>
        <w:t>Return the analysis directly. No second AI or application analytical quality mechanism will validate repair score approve reject or replace it.</w:t>
      </w:r>
    </w:p>
    <w:p>
      <w:pPr>
        <w:pStyle w:val="Clause"/>
        <w:keepNext/>
      </w:pPr>
      <w:r>
        <w:rPr>
          <w:b/>
        </w:rPr>
        <w:t>R2.2.10  Exact Response Preservation</w:t>
      </w:r>
    </w:p>
    <w:p>
      <w:pPr>
        <w:pStyle w:val="BodyText"/>
      </w:pPr>
      <w:r>
        <w:t>The exact provider response is the authoritative Stage 1 output for this run. Presentation may not substitute a reconstructed analytical version.</w:t>
      </w:r>
    </w:p>
    <w:p>
      <w:pPr>
        <w:pStyle w:val="Heading2"/>
        <w:keepNext/>
      </w:pPr>
      <w:r>
        <w:t>R2.3 Project Context and Analysis Specific Guidelines</w:t>
      </w:r>
    </w:p>
    <w:p>
      <w:pPr>
        <w:pStyle w:val="Clause"/>
        <w:keepNext/>
      </w:pPr>
      <w:r>
        <w:rPr>
          <w:b/>
        </w:rPr>
        <w:t>R2.3.1  Project Context Inheritance</w:t>
      </w:r>
    </w:p>
    <w:p>
      <w:pPr>
        <w:pStyle w:val="BodyText"/>
      </w:pPr>
      <w:r>
        <w:t>For PLI conducted interviews, Stage 1 inherits the relevant frozen project context from the research design version under which the cases were created. Interviewer behavior instructions remain outside the analysis request unless the researcher expressly includes them as analytical context.</w:t>
      </w:r>
    </w:p>
    <w:p>
      <w:pPr>
        <w:pStyle w:val="Clause"/>
        <w:keepNext/>
      </w:pPr>
      <w:r>
        <w:rPr>
          <w:b/>
        </w:rPr>
        <w:t>R2.3.2  External Project Context</w:t>
      </w:r>
    </w:p>
    <w:p>
      <w:pPr>
        <w:pStyle w:val="BodyText"/>
      </w:pPr>
      <w:r>
        <w:t>For externally imported datasets, the researcher supplies and approves one authoritative project context before analysis.</w:t>
      </w:r>
    </w:p>
    <w:p>
      <w:pPr>
        <w:pStyle w:val="Clause"/>
        <w:keepNext/>
      </w:pPr>
      <w:r>
        <w:rPr>
          <w:b/>
        </w:rPr>
        <w:t>R2.3.3  Project Identity</w:t>
      </w:r>
    </w:p>
    <w:p>
      <w:pPr>
        <w:pStyle w:val="BodyText"/>
      </w:pPr>
      <w:r>
        <w:t>The model receives the approved project title, research topic, project description, and study scope. PLI does not hardcode a project identity such as Sleeping Habits.</w:t>
      </w:r>
    </w:p>
    <w:p>
      <w:pPr>
        <w:pStyle w:val="Clause"/>
        <w:keepNext/>
      </w:pPr>
      <w:r>
        <w:rPr>
          <w:b/>
        </w:rPr>
        <w:t>R2.3.4  Research Questions and Objectives</w:t>
      </w:r>
    </w:p>
    <w:p>
      <w:pPr>
        <w:pStyle w:val="BodyText"/>
      </w:pPr>
      <w:r>
        <w:t>The model receives the research questions and objectives as guidance about the purpose of analysis. They do not become predetermined findings.</w:t>
      </w:r>
    </w:p>
    <w:p>
      <w:pPr>
        <w:pStyle w:val="Clause"/>
        <w:keepNext/>
      </w:pPr>
      <w:r>
        <w:rPr>
          <w:b/>
        </w:rPr>
        <w:t>R2.3.5  Analytical Scope</w:t>
      </w:r>
    </w:p>
    <w:p>
      <w:pPr>
        <w:pStyle w:val="BodyText"/>
      </w:pPr>
      <w:r>
        <w:t>The researcher defines what substantive material is relevant to the study. PLI adds no hidden relevance rule.</w:t>
      </w:r>
    </w:p>
    <w:p>
      <w:pPr>
        <w:pStyle w:val="Clause"/>
        <w:keepNext/>
      </w:pPr>
      <w:r>
        <w:rPr>
          <w:b/>
        </w:rPr>
        <w:t>R2.3.6  Researcher Definitions</w:t>
      </w:r>
    </w:p>
    <w:p>
      <w:pPr>
        <w:pStyle w:val="BodyText"/>
      </w:pPr>
      <w:r>
        <w:t>Any project specific terminology or conceptual definition is supplied by the researcher and included exactly as approved.</w:t>
      </w:r>
    </w:p>
    <w:p>
      <w:pPr>
        <w:pStyle w:val="Clause"/>
        <w:keepNext/>
      </w:pPr>
      <w:r>
        <w:rPr>
          <w:b/>
        </w:rPr>
        <w:t>R2.3.7  Analysis Specific Instructions</w:t>
      </w:r>
    </w:p>
    <w:p>
      <w:pPr>
        <w:pStyle w:val="BodyText"/>
      </w:pPr>
      <w:r>
        <w:t>The researcher may add methodological directions such as attention to change over time contradictory accounts distinctions between personal and reported experience or substantive refusal. PLI does not invent these instructions.</w:t>
      </w:r>
    </w:p>
    <w:p>
      <w:pPr>
        <w:pStyle w:val="Clause"/>
        <w:keepNext/>
      </w:pPr>
      <w:r>
        <w:rPr>
          <w:b/>
        </w:rPr>
        <w:t>R2.3.8  Explicit Inclusion and Exclusion</w:t>
      </w:r>
    </w:p>
    <w:p>
      <w:pPr>
        <w:pStyle w:val="BodyText"/>
      </w:pPr>
      <w:r>
        <w:t>Any analytical inclusion or exclusion instruction must be expressly written and approved by the researcher. No software or hidden prompt creates an exclusion rule.</w:t>
      </w:r>
    </w:p>
    <w:p>
      <w:pPr>
        <w:pStyle w:val="Clause"/>
        <w:keepNext/>
      </w:pPr>
      <w:r>
        <w:rPr>
          <w:b/>
        </w:rPr>
        <w:t>R2.3.9  Researcher Selected Method</w:t>
      </w:r>
    </w:p>
    <w:p>
      <w:pPr>
        <w:pStyle w:val="BodyText"/>
      </w:pPr>
      <w:r>
        <w:t>The default Stage 1 method is inductive and case based. A deductive or hybrid framework is used only when the researcher deliberately supplies and labels it.</w:t>
      </w:r>
    </w:p>
    <w:p>
      <w:pPr>
        <w:pStyle w:val="Clause"/>
        <w:keepNext/>
      </w:pPr>
      <w:r>
        <w:rPr>
          <w:b/>
        </w:rPr>
        <w:t>R2.3.10  Versioned Exact Text</w:t>
      </w:r>
    </w:p>
    <w:p>
      <w:pPr>
        <w:pStyle w:val="BodyText"/>
      </w:pPr>
      <w:r>
        <w:t>Edits create a new project context or guideline version. An earlier run permanently retains the exact version it received.</w:t>
      </w:r>
    </w:p>
    <w:p>
      <w:pPr>
        <w:pStyle w:val="Clause"/>
        <w:keepNext/>
      </w:pPr>
      <w:r>
        <w:rPr>
          <w:b/>
        </w:rPr>
        <w:t>R2.3.11  No Duplicate Project Truth</w:t>
      </w:r>
    </w:p>
    <w:p>
      <w:pPr>
        <w:pStyle w:val="BodyText"/>
      </w:pPr>
      <w:r>
        <w:t>Project information is inherited from its authoritative research design or external project record rather than being retyped into a second uncontrolled description.</w:t>
      </w:r>
    </w:p>
    <w:p>
      <w:pPr>
        <w:pStyle w:val="Clause"/>
        <w:keepNext/>
      </w:pPr>
      <w:r>
        <w:rPr>
          <w:b/>
        </w:rPr>
        <w:t>R2.3.12  No Hidden Expansion</w:t>
      </w:r>
    </w:p>
    <w:p>
      <w:pPr>
        <w:pStyle w:val="BodyText"/>
      </w:pPr>
      <w:r>
        <w:t>The designated AI receives exactly the project context and analysis specific guidelines shown to and approved by the researcher, without application authored additions.</w:t>
      </w:r>
    </w:p>
    <w:p>
      <w:pPr>
        <w:pStyle w:val="Heading2"/>
        <w:keepNext/>
      </w:pPr>
      <w:r>
        <w:t>R2.4 Stage 1 Analytical Task</w:t>
      </w:r>
    </w:p>
    <w:p>
      <w:pPr>
        <w:pStyle w:val="Clause"/>
        <w:keepNext/>
      </w:pPr>
      <w:r>
        <w:rPr>
          <w:b/>
        </w:rPr>
        <w:t>R2.4.1  Meaning Unit</w:t>
      </w:r>
    </w:p>
    <w:p>
      <w:pPr>
        <w:pStyle w:val="BodyText"/>
      </w:pPr>
      <w:r>
        <w:t>A Meaning Unit is a coherent participant specific piece of substantive information grounded in the participant's actual expression, analytically relevant to the approved project, and directly traceable to exact source turns. Its words or passages form an intelligible semantic whole. Unrelated fragments may not be concatenated. Pure greetings courtesies acknowledgements and empty filler are not Meaning Units, while a substantive refusal or stated lack of knowledge may be meaningful evidence.</w:t>
      </w:r>
    </w:p>
    <w:p>
      <w:pPr>
        <w:pStyle w:val="Clause"/>
        <w:keepNext/>
      </w:pPr>
      <w:r>
        <w:rPr>
          <w:b/>
        </w:rPr>
        <w:t>R2.4.2  Preliminary Code</w:t>
      </w:r>
    </w:p>
    <w:p>
      <w:pPr>
        <w:pStyle w:val="BodyText"/>
      </w:pPr>
      <w:r>
        <w:t>A Preliminary Code is a concise intelligible case specific analytical label representing the meaning of one or more explicitly linked Meaning Units. It remains grounded in those Meaning Units, introduces no unsupported interpretation, carries no corpus wide identity, and is not forced into a predetermined vocabulary or target count.</w:t>
      </w:r>
    </w:p>
    <w:p>
      <w:pPr>
        <w:pStyle w:val="Clause"/>
        <w:keepNext/>
      </w:pPr>
      <w:r>
        <w:rPr>
          <w:b/>
        </w:rPr>
        <w:t>R2.4.3  Preliminary Category</w:t>
      </w:r>
    </w:p>
    <w:p>
      <w:pPr>
        <w:pStyle w:val="BodyText"/>
      </w:pPr>
      <w:r>
        <w:t>A Preliminary Category is a coherent higher level grouping of one or more related Preliminary Codes within one case. It identifies a recognizable analytical area broader than an individual Code, remains supported by its linked Codes, and does not exceed their meaning. Categories remain preliminary and case specific and are not forced into cross case terminology or a target count.</w:t>
      </w:r>
    </w:p>
    <w:p>
      <w:pPr>
        <w:pStyle w:val="Clause"/>
        <w:keepNext/>
      </w:pPr>
      <w:r>
        <w:rPr>
          <w:b/>
        </w:rPr>
        <w:t>R2.4.4  Preliminary Tentative Theme</w:t>
      </w:r>
    </w:p>
    <w:p>
      <w:pPr>
        <w:pStyle w:val="BodyText"/>
      </w:pPr>
      <w:r>
        <w:t>A Preliminary Tentative Theme is an intelligible participant specific pattern of meaning connecting and interpreting one or more Preliminary Categories within one case. It remains grounded in those Categories and the evidence beneath them, does not introduce unsupported causal or theoretical claims, and is not forced when the case does not support a Theme.</w:t>
      </w:r>
    </w:p>
    <w:p>
      <w:pPr>
        <w:pStyle w:val="Clause"/>
        <w:keepNext/>
      </w:pPr>
      <w:r>
        <w:rPr>
          <w:b/>
        </w:rPr>
        <w:t>R2.4.5  Upward Semantic Continuity Self Check</w:t>
      </w:r>
    </w:p>
    <w:p>
      <w:pPr>
        <w:pStyle w:val="BodyText"/>
      </w:pPr>
      <w:r>
        <w:t>While producing the response, the designated AI checks its own connected analysis: each Code accurately represents its linked Meaning Units, each Category coherently groups its linked Codes, and each Theme is meaningfully grounded in its linked Categories. This is part of the designated AI's work, not an external validation step.</w:t>
      </w:r>
    </w:p>
    <w:p>
      <w:pPr>
        <w:pStyle w:val="Heading2"/>
        <w:keepNext/>
      </w:pPr>
      <w:r>
        <w:t>R2.5 Exact Stage 1 Output Structure</w:t>
      </w:r>
    </w:p>
    <w:p>
      <w:pPr>
        <w:pStyle w:val="Clause"/>
        <w:keepNext/>
      </w:pPr>
      <w:r>
        <w:rPr>
          <w:b/>
        </w:rPr>
        <w:t>R2.5.1  One Connected Case Analysis</w:t>
      </w:r>
    </w:p>
    <w:p>
      <w:pPr>
        <w:pStyle w:val="BodyText"/>
      </w:pPr>
      <w:r>
        <w:t>Return one connected model produced case analysis rather than four independent lists or separately generated analyses. All views reuse the same objects and explicit relationships.</w:t>
      </w:r>
    </w:p>
    <w:p>
      <w:pPr>
        <w:pStyle w:val="Clause"/>
        <w:keepNext/>
      </w:pPr>
      <w:r>
        <w:rPr>
          <w:b/>
        </w:rPr>
        <w:t>R2.5.2  Case Local Identifiers</w:t>
      </w:r>
    </w:p>
    <w:p>
      <w:pPr>
        <w:pStyle w:val="BodyText"/>
      </w:pPr>
      <w:r>
        <w:t>Use MU001 CO001 CA001 and TH001 style identifiers that restart at one for every case. Their unique identity is the anonymous case ID together with the case local analytical ID. The numbers have no cross case semantic meaning.</w:t>
      </w:r>
    </w:p>
    <w:p>
      <w:pPr>
        <w:pStyle w:val="Clause"/>
        <w:keepNext/>
      </w:pPr>
      <w:r>
        <w:rPr>
          <w:b/>
        </w:rPr>
        <w:t>R2.5.3  Meaning Unit Record</w:t>
      </w:r>
    </w:p>
    <w:p>
      <w:pPr>
        <w:pStyle w:val="BodyText"/>
      </w:pPr>
      <w:r>
        <w:t>Each Meaning Unit contains its case local MU identifier, exact source turn reference or references, and the exact English analytical passage from the frozen source. When several turns jointly support one Meaning Unit, preserve each passage separately. Do not add an extra paraphrase explanation or importance field.</w:t>
      </w:r>
    </w:p>
    <w:p>
      <w:pPr>
        <w:pStyle w:val="Clause"/>
        <w:keepNext/>
      </w:pPr>
      <w:r>
        <w:rPr>
          <w:b/>
        </w:rPr>
        <w:t>R2.5.4  Preliminary Code Record</w:t>
      </w:r>
    </w:p>
    <w:p>
      <w:pPr>
        <w:pStyle w:val="BodyText"/>
      </w:pPr>
      <w:r>
        <w:t>Each Preliminary Code contains its case local CO identifier, one concise intelligible analytical label, and the explicit MU identifiers that support it. Do not add software generated interpretations or inferred links.</w:t>
      </w:r>
    </w:p>
    <w:p>
      <w:pPr>
        <w:pStyle w:val="Clause"/>
        <w:keepNext/>
      </w:pPr>
      <w:r>
        <w:rPr>
          <w:b/>
        </w:rPr>
        <w:t>R2.5.5  Preliminary Category Record</w:t>
      </w:r>
    </w:p>
    <w:p>
      <w:pPr>
        <w:pStyle w:val="BodyText"/>
      </w:pPr>
      <w:r>
        <w:t>Each Preliminary Category contains its case local CA identifier, one coherent Category label, and the explicit case local CO identifiers that support it. The designated AI creates the relationship. Software may not infer repair remap or supplement it.</w:t>
      </w:r>
    </w:p>
    <w:p>
      <w:pPr>
        <w:pStyle w:val="Clause"/>
        <w:keepNext/>
      </w:pPr>
      <w:r>
        <w:rPr>
          <w:b/>
        </w:rPr>
        <w:t>R2.5.6  Preliminary Tentative Theme Record</w:t>
      </w:r>
    </w:p>
    <w:p>
      <w:pPr>
        <w:pStyle w:val="BodyText"/>
      </w:pPr>
      <w:r>
        <w:t>Each Preliminary Tentative Theme contains its case local TH identifier, one coherent patterned Theme statement, and the explicit CA identifiers that support it. The Theme may synthesize beyond Category restatement while remaining grounded in those Categories.</w:t>
      </w:r>
    </w:p>
    <w:p>
      <w:pPr>
        <w:pStyle w:val="Clause"/>
        <w:keepNext/>
      </w:pPr>
      <w:r>
        <w:rPr>
          <w:b/>
        </w:rPr>
        <w:t>R2.5.7  Case Summary</w:t>
      </w:r>
    </w:p>
    <w:p>
      <w:pPr>
        <w:pStyle w:val="BodyText"/>
      </w:pPr>
      <w:r>
        <w:t>Return one concise case summary grounded in the connected analytical hierarchy and the authorized source. It is part of the designated AI response and is not generated later by software or another AI.</w:t>
      </w:r>
    </w:p>
    <w:p>
      <w:pPr>
        <w:pStyle w:val="Clause"/>
        <w:keepNext/>
      </w:pPr>
      <w:r>
        <w:rPr>
          <w:b/>
        </w:rPr>
        <w:t>R2.5.8  Explicit Linkage</w:t>
      </w:r>
    </w:p>
    <w:p>
      <w:pPr>
        <w:pStyle w:val="BodyText"/>
      </w:pPr>
      <w:r>
        <w:t>No Code exists without Meaning Unit support, no Category exists without Code support, and no Theme exists without Category support. Material that does not support a higher level remains visible at the highest defensible level rather than being forced upward.</w:t>
      </w:r>
    </w:p>
    <w:p>
      <w:pPr>
        <w:pStyle w:val="Clause"/>
        <w:keepNext/>
      </w:pPr>
      <w:r>
        <w:rPr>
          <w:b/>
        </w:rPr>
        <w:t>R2.5.9  Participant Information View</w:t>
      </w:r>
    </w:p>
    <w:p>
      <w:pPr>
        <w:pStyle w:val="BodyText"/>
      </w:pPr>
      <w:r>
        <w:t>Participant Information is a separate non analytical view assembled mechanically from the case record. It may show anonymous case identity language sessions source lineage and project defined characteristics. The designated AI does not generate it, and its demographic content is not supplied to Stage 1 or Stage 2.</w:t>
      </w:r>
    </w:p>
    <w:p>
      <w:pPr>
        <w:pStyle w:val="Clause"/>
        <w:keepNext/>
      </w:pPr>
      <w:r>
        <w:rPr>
          <w:b/>
        </w:rPr>
        <w:t>R2.5.10  No Authoritative Projection</w:t>
      </w:r>
    </w:p>
    <w:p>
      <w:pPr>
        <w:pStyle w:val="BodyText"/>
      </w:pPr>
      <w:r>
        <w:t>The provider response remains authoritative. PLI may display verbatim fields and links from that response but may not parse normalize reconstruct or materialize a different analytical answer. A display failure exposes the exact response and a technical note rather than rejecting or replacing the analysis.</w:t>
      </w:r>
    </w:p>
    <w:p>
      <w:pPr>
        <w:pStyle w:val="Heading2"/>
        <w:keepNext/>
      </w:pPr>
      <w:r>
        <w:t>R2.6 Request Preview Freezing and Single AI Authority</w:t>
      </w:r>
    </w:p>
    <w:p>
      <w:pPr>
        <w:pStyle w:val="Clause"/>
        <w:keepNext/>
      </w:pPr>
      <w:r>
        <w:rPr>
          <w:b/>
        </w:rPr>
        <w:t>R2.6.1  Complete Request Preview</w:t>
      </w:r>
    </w:p>
    <w:p>
      <w:pPr>
        <w:pStyle w:val="BodyText"/>
      </w:pPr>
      <w:r>
        <w:t>Before execution, the researcher can inspect one assembled view containing the Global Analysis Rules, frozen Project Context, Analysis Specific Guidelines, Stage 1 task, output requirements, model settings, and authoritative source definition. No hidden analytical prompt exists outside this view.</w:t>
      </w:r>
    </w:p>
    <w:p>
      <w:pPr>
        <w:pStyle w:val="Clause"/>
        <w:keepNext/>
      </w:pPr>
      <w:r>
        <w:rPr>
          <w:b/>
        </w:rPr>
        <w:t>R2.6.2  Procedure Approval</w:t>
      </w:r>
    </w:p>
    <w:p>
      <w:pPr>
        <w:pStyle w:val="BodyText"/>
      </w:pPr>
      <w:r>
        <w:t>The researcher approves the complete analytical procedure once for the run. Every case uses the identical frozen procedure and its own separately frozen transcript. Case by case approval is not required unless the researcher defines it.</w:t>
      </w:r>
    </w:p>
    <w:p>
      <w:pPr>
        <w:pStyle w:val="Clause"/>
        <w:keepNext/>
      </w:pPr>
      <w:r>
        <w:rPr>
          <w:b/>
        </w:rPr>
        <w:t>R2.6.3  Freeze Before Paid Operation</w:t>
      </w:r>
    </w:p>
    <w:p>
      <w:pPr>
        <w:pStyle w:val="BodyText"/>
      </w:pPr>
      <w:r>
        <w:t>PLI assembles and freezes the complete provider request before submitting it. The exact request is not reconstructed later from current settings.</w:t>
      </w:r>
    </w:p>
    <w:p>
      <w:pPr>
        <w:pStyle w:val="Clause"/>
        <w:keepNext/>
      </w:pPr>
      <w:r>
        <w:rPr>
          <w:b/>
        </w:rPr>
        <w:t>R2.6.4  Exact Request Record</w:t>
      </w:r>
    </w:p>
    <w:p>
      <w:pPr>
        <w:pStyle w:val="BodyText"/>
      </w:pPr>
      <w:r>
        <w:t>The immutable request record includes the exact instruction text source payload provider model reasoning setting output allowance response contract and version lineage, together with a cryptographic digest.</w:t>
      </w:r>
    </w:p>
    <w:p>
      <w:pPr>
        <w:pStyle w:val="Clause"/>
        <w:keepNext/>
      </w:pPr>
      <w:r>
        <w:rPr>
          <w:b/>
        </w:rPr>
        <w:t>R2.6.5  Exact Response First</w:t>
      </w:r>
    </w:p>
    <w:p>
      <w:pPr>
        <w:pStyle w:val="BodyText"/>
      </w:pPr>
      <w:r>
        <w:t>PLI freezes the complete provider response envelope and exact response text immediately upon terminal receipt and before any presentation operation.</w:t>
      </w:r>
    </w:p>
    <w:p>
      <w:pPr>
        <w:pStyle w:val="Clause"/>
        <w:keepNext/>
      </w:pPr>
      <w:r>
        <w:rPr>
          <w:b/>
        </w:rPr>
        <w:t>R2.6.6  Single AI Analytical Authority</w:t>
      </w:r>
    </w:p>
    <w:p>
      <w:pPr>
        <w:pStyle w:val="BodyText"/>
      </w:pPr>
      <w:r>
        <w:t>Exactly one designated provider and model performs the analytical task for one run. Neither the same model nor another model is subsequently invited to validate improve complete or reconsider the result.</w:t>
      </w:r>
    </w:p>
    <w:p>
      <w:pPr>
        <w:pStyle w:val="Clause"/>
        <w:keepNext/>
      </w:pPr>
      <w:r>
        <w:rPr>
          <w:b/>
        </w:rPr>
        <w:t>R2.6.7  Completed Means Closed</w:t>
      </w:r>
    </w:p>
    <w:p>
      <w:pPr>
        <w:pStyle w:val="BodyText"/>
      </w:pPr>
      <w:r>
        <w:t>A technically completed Stage 1 response is final for that run. It is immutable and waits for the cohort barrier. It is never automatically revisited repaired reanalyzed or regenerated.</w:t>
      </w:r>
    </w:p>
    <w:p>
      <w:pPr>
        <w:pStyle w:val="Clause"/>
        <w:keepNext/>
      </w:pPr>
      <w:r>
        <w:rPr>
          <w:b/>
        </w:rPr>
        <w:t>R2.6.8  Separate Researcher Authorized Run</w:t>
      </w:r>
    </w:p>
    <w:p>
      <w:pPr>
        <w:pStyle w:val="BodyText"/>
      </w:pPr>
      <w:r>
        <w:t>If the researcher later requests another analysis, PLI creates a separate run with a new frozen request and response. The new run never overwrites or masquerades as a modification of the earlier one.</w:t>
      </w:r>
    </w:p>
    <w:p>
      <w:pPr>
        <w:pStyle w:val="Clause"/>
        <w:keepNext/>
      </w:pPr>
      <w:r>
        <w:rPr>
          <w:b/>
        </w:rPr>
        <w:t>R2.6.9  Case Level Readiness</w:t>
      </w:r>
    </w:p>
    <w:p>
      <w:pPr>
        <w:pStyle w:val="BodyText"/>
      </w:pPr>
      <w:r>
        <w:t>Each completed and analytically ready case may enter Stage 1 when its authoritative source is frozen, according to the researcher approved run conditions. Stage 1 remains case independent.</w:t>
      </w:r>
    </w:p>
    <w:p>
      <w:pPr>
        <w:pStyle w:val="Clause"/>
        <w:keepNext/>
      </w:pPr>
      <w:r>
        <w:rPr>
          <w:b/>
        </w:rPr>
        <w:t>R2.6.10  Closed Cohort Barrier</w:t>
      </w:r>
    </w:p>
    <w:p>
      <w:pPr>
        <w:pStyle w:val="BodyText"/>
      </w:pPr>
      <w:r>
        <w:t>No individual case advances alone into a whole corpus stage. The next whole corpus stage begins only when the researcher defined cohort is closed and every included case has technically completed its required prior stage. No case is dropped bypassed or automatically repaired to satisfy the barrier.</w:t>
      </w:r>
    </w:p>
    <w:p>
      <w:pPr>
        <w:pStyle w:val="Heading2"/>
        <w:keepNext/>
      </w:pPr>
      <w:r>
        <w:t>R2.7 Provider Return Handling</w:t>
      </w:r>
    </w:p>
    <w:p>
      <w:pPr>
        <w:pStyle w:val="Clause"/>
        <w:keepNext/>
      </w:pPr>
      <w:r>
        <w:rPr>
          <w:b/>
        </w:rPr>
        <w:t>R2.7.1  Objective Technical Status Only</w:t>
      </w:r>
    </w:p>
    <w:p>
      <w:pPr>
        <w:pStyle w:val="BodyText"/>
      </w:pPr>
      <w:r>
        <w:t>PLI determines run status only from objective request transport and provider completion information. It does not inspect analytical content to decide whether the work succeeded.</w:t>
      </w:r>
    </w:p>
    <w:p>
      <w:pPr>
        <w:pStyle w:val="Clause"/>
        <w:keepNext/>
      </w:pPr>
      <w:r>
        <w:rPr>
          <w:b/>
        </w:rPr>
        <w:t>R2.7.2  Completed</w:t>
      </w:r>
    </w:p>
    <w:p>
      <w:pPr>
        <w:pStyle w:val="BodyText"/>
      </w:pPr>
      <w:r>
        <w:t>When the provider reports successful completion, PLI freezes the exact response, marks that run completed, and permanently closes it. Weak unexpected or unconventional analysis remains completed if the provider technically completed it.</w:t>
      </w:r>
    </w:p>
    <w:p>
      <w:pPr>
        <w:pStyle w:val="Clause"/>
        <w:keepNext/>
      </w:pPr>
      <w:r>
        <w:rPr>
          <w:b/>
        </w:rPr>
        <w:t>R2.7.3  Technically Incomplete</w:t>
      </w:r>
    </w:p>
    <w:p>
      <w:pPr>
        <w:pStyle w:val="BodyText"/>
      </w:pPr>
      <w:r>
        <w:t>When the provider reports truncation or another incomplete terminal state, PLI freezes the exact partial response and provider diagnostics. The case remains unresolved for that run and is not treated as completed or excluded.</w:t>
      </w:r>
    </w:p>
    <w:p>
      <w:pPr>
        <w:pStyle w:val="Clause"/>
        <w:keepNext/>
      </w:pPr>
      <w:r>
        <w:rPr>
          <w:b/>
        </w:rPr>
        <w:t>R2.7.4  Failed</w:t>
      </w:r>
    </w:p>
    <w:p>
      <w:pPr>
        <w:pStyle w:val="BodyText"/>
      </w:pPr>
      <w:r>
        <w:t>When the request fails before a completed provider response, PLI preserves the exact failure record and any returned provider material. The case remains unresolved.</w:t>
      </w:r>
    </w:p>
    <w:p>
      <w:pPr>
        <w:pStyle w:val="Clause"/>
        <w:keepNext/>
      </w:pPr>
      <w:r>
        <w:rPr>
          <w:b/>
        </w:rPr>
        <w:t>R2.7.5  No Quality Based Status</w:t>
      </w:r>
    </w:p>
    <w:p>
      <w:pPr>
        <w:pStyle w:val="BodyText"/>
      </w:pPr>
      <w:r>
        <w:t>The number of analytical objects label style conceptual sophistication semantic strength or opinion of another AI cannot change technical status or cause a rerun.</w:t>
      </w:r>
    </w:p>
    <w:p>
      <w:pPr>
        <w:pStyle w:val="Clause"/>
        <w:keepNext/>
      </w:pPr>
      <w:r>
        <w:rPr>
          <w:b/>
        </w:rPr>
        <w:t>R2.7.6  No Automatic Retry or Repair</w:t>
      </w:r>
    </w:p>
    <w:p>
      <w:pPr>
        <w:pStyle w:val="BodyText"/>
      </w:pPr>
      <w:r>
        <w:t>Technically incomplete and failed attempts do not trigger another analytical model call. PLI does not shorten the source change settings substitute a model or ask any AI to repair the attempt.</w:t>
      </w:r>
    </w:p>
    <w:p>
      <w:pPr>
        <w:pStyle w:val="Clause"/>
        <w:keepNext/>
      </w:pPr>
      <w:r>
        <w:rPr>
          <w:b/>
        </w:rPr>
        <w:t>R2.7.7  Researcher Resolution</w:t>
      </w:r>
    </w:p>
    <w:p>
      <w:pPr>
        <w:pStyle w:val="BodyText"/>
      </w:pPr>
      <w:r>
        <w:t>Only the researcher may decide whether an unresolved case receives a separately authorized new run and what provider model settings and contract apply. Every prior attempt remains immutable and visible.</w:t>
      </w:r>
    </w:p>
    <w:p>
      <w:pPr>
        <w:pStyle w:val="Clause"/>
        <w:keepNext/>
      </w:pPr>
      <w:r>
        <w:rPr>
          <w:b/>
        </w:rPr>
        <w:t>R2.7.8  Barrier Effect</w:t>
      </w:r>
    </w:p>
    <w:p>
      <w:pPr>
        <w:pStyle w:val="BodyText"/>
      </w:pPr>
      <w:r>
        <w:t>An unresolved case remains within its designated cohort and blocks a later whole corpus stage when the approved cohort contract requires every case to complete.</w:t>
      </w:r>
    </w:p>
    <w:p>
      <w:pPr>
        <w:pStyle w:val="Heading1"/>
        <w:keepNext/>
      </w:pPr>
      <w:r>
        <w:t>Stage 2A Cross Case Code Harmonization Contract</w:t>
      </w:r>
    </w:p>
    <w:p>
      <w:pPr>
        <w:pStyle w:val="Clause"/>
        <w:keepNext/>
      </w:pPr>
      <w:r>
        <w:rPr>
          <w:b/>
        </w:rPr>
        <w:t>S2A.1  Exclusive Stage Scope</w:t>
      </w:r>
    </w:p>
    <w:p>
      <w:pPr>
        <w:pStyle w:val="BodyText"/>
      </w:pPr>
      <w:r>
        <w:t>Perform only Stage 2A Cross Case Code Harmonization. Do not regenerate Stage 1 analysis and do not create or refine Categories or Themes.</w:t>
      </w:r>
    </w:p>
    <w:p>
      <w:pPr>
        <w:pStyle w:val="Clause"/>
        <w:keepNext/>
      </w:pPr>
      <w:r>
        <w:rPr>
          <w:b/>
        </w:rPr>
        <w:t>S2A.2  Exact Input Boundary</w:t>
      </w:r>
    </w:p>
    <w:p>
      <w:pPr>
        <w:pStyle w:val="BodyText"/>
      </w:pPr>
      <w:r>
        <w:t>Receive one complete JSON array containing exactly the anonymous case identifier p and that case's ordered preliminary Code label array co. Do not receive transcripts Meaning Units demographics Categories Themes raw Stage 1 reports or earlier Stage 2 output.</w:t>
      </w:r>
    </w:p>
    <w:p>
      <w:pPr>
        <w:pStyle w:val="Clause"/>
        <w:keepNext/>
      </w:pPr>
      <w:r>
        <w:rPr>
          <w:b/>
        </w:rPr>
        <w:t>S2A.3  One Whole Corpus Unit</w:t>
      </w:r>
    </w:p>
    <w:p>
      <w:pPr>
        <w:pStyle w:val="BodyText"/>
      </w:pPr>
      <w:r>
        <w:t>Read and compare the complete preliminary Code corpus together. Do not divide it into batches samples pages sequential subsets or case by case vocabulary accumulation.</w:t>
      </w:r>
    </w:p>
    <w:p>
      <w:pPr>
        <w:pStyle w:val="Clause"/>
        <w:keepNext/>
      </w:pPr>
      <w:r>
        <w:rPr>
          <w:b/>
        </w:rPr>
        <w:t>S2A.4  Semantic Harmonization</w:t>
      </w:r>
    </w:p>
    <w:p>
      <w:pPr>
        <w:pStyle w:val="BodyText"/>
      </w:pPr>
      <w:r>
        <w:t>Harmonize terminology only when preliminary Codes express the same or sufficiently equivalent analytical concepts. Similar wording alone is insufficient. Do not force different meanings together and do not merely shorten labels.</w:t>
      </w:r>
    </w:p>
    <w:p>
      <w:pPr>
        <w:pStyle w:val="Clause"/>
        <w:keepNext/>
      </w:pPr>
      <w:r>
        <w:rPr>
          <w:b/>
        </w:rPr>
        <w:t>S2A.5  Emergent Harmonized Vocabulary</w:t>
      </w:r>
    </w:p>
    <w:p>
      <w:pPr>
        <w:pStyle w:val="BodyText"/>
      </w:pPr>
      <w:r>
        <w:t>Let the number of Harmonized Codes emerge from the comparison. There is no target count. Several preliminary Codes may map to one Harmonized Code when semantically justified.</w:t>
      </w:r>
    </w:p>
    <w:p>
      <w:pPr>
        <w:pStyle w:val="Clause"/>
        <w:keepNext/>
      </w:pPr>
      <w:r>
        <w:rPr>
          <w:b/>
        </w:rPr>
        <w:t>S2A.6  Stable Harmonized Identity</w:t>
      </w:r>
    </w:p>
    <w:p>
      <w:pPr>
        <w:pStyle w:val="BodyText"/>
      </w:pPr>
      <w:r>
        <w:t>Give every Harmonized Code a stable response local HCO identifier label definition and semantic basis. Return every supplied case exactly once and map every preliminary Code position to one HCO identifier in the same order.</w:t>
      </w:r>
    </w:p>
    <w:p>
      <w:pPr>
        <w:pStyle w:val="Clause"/>
        <w:keepNext/>
      </w:pPr>
      <w:r>
        <w:rPr>
          <w:b/>
        </w:rPr>
        <w:t>S2A.7  Preserve Preliminary Codes</w:t>
      </w:r>
    </w:p>
    <w:p>
      <w:pPr>
        <w:pStyle w:val="BodyText"/>
      </w:pPr>
      <w:r>
        <w:t>Do not rewrite overwrite regenerate delete replace validate approve reject score or repair any Stage 1 Code or case. Stage 2A creates a mapping layer without changing the source layer.</w:t>
      </w:r>
    </w:p>
    <w:p>
      <w:pPr>
        <w:pStyle w:val="Clause"/>
        <w:keepNext/>
      </w:pPr>
      <w:r>
        <w:rPr>
          <w:b/>
        </w:rPr>
        <w:t>S2A.8  Positional Display Numbers</w:t>
      </w:r>
    </w:p>
    <w:p>
      <w:pPr>
        <w:pStyle w:val="BodyText"/>
      </w:pPr>
      <w:r>
        <w:t>HCO1 HCO2 and later columns are case display positions only. Cross case identity is the stable Harmonized Code identifier and label, never a position within a case.</w:t>
      </w:r>
    </w:p>
    <w:p>
      <w:pPr>
        <w:pStyle w:val="Clause"/>
        <w:keepNext/>
      </w:pPr>
      <w:r>
        <w:rPr>
          <w:b/>
        </w:rPr>
        <w:t>S2A.9  Stop at Harmonized Codes</w:t>
      </w:r>
    </w:p>
    <w:p>
      <w:pPr>
        <w:pStyle w:val="BodyText"/>
      </w:pPr>
      <w:r>
        <w:t>Return only the Harmonized Code vocabulary and positional case mappings. Stop before Harmonized Categories Harmonized Themes interpretation or any later operation.</w:t>
      </w:r>
    </w:p>
    <w:p>
      <w:pPr>
        <w:pStyle w:val="Clause"/>
        <w:keepNext/>
      </w:pPr>
      <w:r>
        <w:rPr>
          <w:b/>
        </w:rPr>
        <w:t>S2A.10  Exact Response Preservation</w:t>
      </w:r>
    </w:p>
    <w:p>
      <w:pPr>
        <w:pStyle w:val="BodyText"/>
      </w:pPr>
      <w:r>
        <w:t>PLI freezes and displays the complete provider response exactly. A malformed or technically incomplete structured response is preserved rather than repaired or sent to another AI. Only its objective provider status affects technical completion.</w:t>
      </w:r>
    </w:p>
    <w:p>
      <w:pPr>
        <w:pStyle w:val="Heading1"/>
        <w:keepNext/>
      </w:pPr>
      <w:r>
        <w:t>Later Analytical Stages</w:t>
      </w:r>
    </w:p>
    <w:p>
      <w:pPr>
        <w:pStyle w:val="BodyText"/>
      </w:pPr>
      <w:r>
        <w:t>Stage 2B Stage 2C Stage 3 and any future analytical operation require their own researcher approved schedules defining source boundaries task definitions output structure selected model settings and stop conditions. Until those schedules exist, no model call for those stages is authorized. The Universal Direct Analytical Relationship applies without exception.</w:t>
      </w:r>
    </w:p>
    <w:p>
      <w:pPr>
        <w:pStyle w:val="Heading1"/>
        <w:keepNext/>
      </w:pPr>
      <w:r>
        <w:t>Researcher Authority</w:t>
      </w:r>
    </w:p>
    <w:p>
      <w:pPr>
        <w:pStyle w:val="BodyText"/>
      </w:pPr>
      <w:r>
        <w:t>The researcher retains exclusive authority to judge analytical adequacy, authorize another run, change a contract, select another provider or model, compare separately authorized outputs, and determine the interpretation or reporting use of analytical work. PLI records and executes those decisions; it does not make them.</w:t>
      </w:r>
    </w:p>
    <w:p>
      <w:pPr>
        <w:pStyle w:val="Heading1"/>
        <w:keepNext/>
      </w:pPr>
      <w:r>
        <w:t>Contract Acceptance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880"/>
            <w:tcMar>
              <w:top w:w="130" w:type="dxa"/>
              <w:start w:w="120" w:type="dxa"/>
              <w:bottom w:w="130" w:type="dxa"/>
              <w:end w:w="120" w:type="dxa"/>
            </w:tcMar>
            <w:vAlign w:val="center"/>
            <w:shd w:fill="EAF2F8"/>
          </w:tcPr>
          <w:p>
            <w:pPr>
              <w:spacing w:after="0"/>
            </w:pPr>
            <w:r>
              <w:rPr>
                <w:b/>
              </w:rPr>
              <w:t>Contract version</w:t>
            </w:r>
          </w:p>
        </w:tc>
        <w:tc>
          <w:tcPr>
            <w:tcW w:type="dxa" w:w="6480"/>
            <w:tcMar>
              <w:top w:w="130" w:type="dxa"/>
              <w:start w:w="120" w:type="dxa"/>
              <w:bottom w:w="130" w:type="dxa"/>
              <w:end w:w="120" w:type="dxa"/>
            </w:tcMar>
            <w:vAlign w:val="center"/>
          </w:tcPr>
          <w:p>
            <w:pPr>
              <w:spacing w:after="0"/>
            </w:pPr>
            <w:r>
              <w:t>____________________________________________</w:t>
            </w:r>
          </w:p>
        </w:tc>
      </w:tr>
      <w:tr>
        <w:tc>
          <w:tcPr>
            <w:tcW w:type="dxa" w:w="2880"/>
            <w:tcMar>
              <w:top w:w="130" w:type="dxa"/>
              <w:start w:w="120" w:type="dxa"/>
              <w:bottom w:w="130" w:type="dxa"/>
              <w:end w:w="120" w:type="dxa"/>
            </w:tcMar>
            <w:vAlign w:val="center"/>
            <w:shd w:fill="EAF2F8"/>
          </w:tcPr>
          <w:p>
            <w:pPr>
              <w:spacing w:after="0"/>
            </w:pPr>
            <w:r>
              <w:rPr>
                <w:b/>
              </w:rPr>
              <w:t>Researcher approval</w:t>
            </w:r>
          </w:p>
        </w:tc>
        <w:tc>
          <w:tcPr>
            <w:tcW w:type="dxa" w:w="6480"/>
            <w:tcMar>
              <w:top w:w="130" w:type="dxa"/>
              <w:start w:w="120" w:type="dxa"/>
              <w:bottom w:w="130" w:type="dxa"/>
              <w:end w:w="120" w:type="dxa"/>
            </w:tcMar>
            <w:vAlign w:val="center"/>
          </w:tcPr>
          <w:p>
            <w:pPr>
              <w:spacing w:after="0"/>
            </w:pPr>
            <w:r>
              <w:t>____________________________________________</w:t>
            </w:r>
          </w:p>
        </w:tc>
      </w:tr>
      <w:tr>
        <w:tc>
          <w:tcPr>
            <w:tcW w:type="dxa" w:w="2880"/>
            <w:tcMar>
              <w:top w:w="130" w:type="dxa"/>
              <w:start w:w="120" w:type="dxa"/>
              <w:bottom w:w="130" w:type="dxa"/>
              <w:end w:w="120" w:type="dxa"/>
            </w:tcMar>
            <w:vAlign w:val="center"/>
            <w:shd w:fill="EAF2F8"/>
          </w:tcPr>
          <w:p>
            <w:pPr>
              <w:spacing w:after="0"/>
            </w:pPr>
            <w:r>
              <w:rPr>
                <w:b/>
              </w:rPr>
              <w:t>Approval date</w:t>
            </w:r>
          </w:p>
        </w:tc>
        <w:tc>
          <w:tcPr>
            <w:tcW w:type="dxa" w:w="6480"/>
            <w:tcMar>
              <w:top w:w="130" w:type="dxa"/>
              <w:start w:w="120" w:type="dxa"/>
              <w:bottom w:w="130" w:type="dxa"/>
              <w:end w:w="120" w:type="dxa"/>
            </w:tcMar>
            <w:vAlign w:val="center"/>
          </w:tcPr>
          <w:p>
            <w:pPr>
              <w:spacing w:after="0"/>
            </w:pPr>
            <w:r>
              <w:t>____________________________________________</w:t>
            </w:r>
          </w:p>
        </w:tc>
      </w:tr>
      <w:tr>
        <w:tc>
          <w:tcPr>
            <w:tcW w:type="dxa" w:w="2880"/>
            <w:tcMar>
              <w:top w:w="130" w:type="dxa"/>
              <w:start w:w="120" w:type="dxa"/>
              <w:bottom w:w="130" w:type="dxa"/>
              <w:end w:w="120" w:type="dxa"/>
            </w:tcMar>
            <w:vAlign w:val="center"/>
            <w:shd w:fill="EAF2F8"/>
          </w:tcPr>
          <w:p>
            <w:pPr>
              <w:spacing w:after="0"/>
            </w:pPr>
            <w:r>
              <w:rPr>
                <w:b/>
              </w:rPr>
              <w:t>Authorized analytical stages</w:t>
            </w:r>
          </w:p>
        </w:tc>
        <w:tc>
          <w:tcPr>
            <w:tcW w:type="dxa" w:w="6480"/>
            <w:tcMar>
              <w:top w:w="130" w:type="dxa"/>
              <w:start w:w="120" w:type="dxa"/>
              <w:bottom w:w="130" w:type="dxa"/>
              <w:end w:w="120" w:type="dxa"/>
            </w:tcMar>
            <w:vAlign w:val="center"/>
          </w:tcPr>
          <w:p>
            <w:pPr>
              <w:spacing w:after="0"/>
            </w:pPr>
            <w:r>
              <w:t>____________________________________________</w:t>
            </w:r>
          </w:p>
        </w:tc>
      </w:tr>
    </w:tbl>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w:hAnsi="Aptos" w:eastAsia="Aptos"/>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before="120" w:after="40"/>
    </w:pPr>
    <w:rPr>
      <w:rFonts w:ascii="Aptos" w:hAnsi="Aptos" w:eastAsia="Aptos"/>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