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社区生活式中文学习游戏</w:t>
        <w:br/>
        <w:t>设计与可行性报告</w:t>
      </w:r>
    </w:p>
    <w:p>
      <w:pPr>
        <w:snapToGrid w:val="0"/>
      </w:pPr>
      <w:r>
        <w:rPr>
          <w:b w:val="0"/>
        </w:rPr>
        <w:t>产品规划建议  ｜  2026年10月15日</w:t>
      </w:r>
    </w:p>
    <w:p>
      <w:pPr>
        <w:pStyle w:val="Heading1"/>
        <w:snapToGrid w:val="0"/>
      </w:pPr>
      <w:r>
        <w:t>第一部分 内容设计</w:t>
      </w:r>
    </w:p>
    <w:p>
      <w:pPr>
        <w:pStyle w:val="Heading2"/>
        <w:snapToGrid w:val="0"/>
      </w:pPr>
      <w:r>
        <w:t>1 项目定位与总体架构</w:t>
      </w:r>
    </w:p>
    <w:p>
      <w:pPr>
        <w:snapToGrid w:val="0"/>
      </w:pPr>
      <w:r>
        <w:rPr>
          <w:b w:val="0"/>
        </w:rPr>
        <w:t>建议开发一款面向外国儿童与青少年的社区生活冒险游戏，以电脑浏览器为主要入口。玩家搬进一个规模紧凑、人物关系持续发展的社区，通过交友、购物、合作与解决生活问题使用中文。长期覆盖幼儿园至18岁，内容按成长阶段逐步建设。</w:t>
      </w:r>
    </w:p>
    <w:p>
      <w:pPr>
        <w:snapToGrid w:val="0"/>
      </w:pPr>
      <w:r>
        <w:rPr>
          <w:b w:val="0"/>
        </w:rPr>
        <w:t>总体方案具备开展小范围原型的条件。推荐采用2D场景、年龄适配的故事线路、独立调整的中文难度，以及带有记忆的核心NPC。学习目标和世界状态由明确规则管理，AI负责适度开放的人物交流。</w:t>
      </w:r>
    </w:p>
    <w:p>
      <w:pPr>
        <w:snapToGrid w:val="0"/>
      </w:pPr>
      <w:r>
        <w:rPr>
          <w:b w:val="0"/>
        </w:rPr>
        <w:t>幼儿园至18岁、电脑网页端、同一社区不断添加生活事件构成当前方向。具体年龄边界、美术样式、技术栈、NPC数量与首版规模均为建议方案，需要在原型和目标用户试玩后确定。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880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设计层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社区世界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提供地点、人物、日程和稳定的生活规则。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成长阶段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决定故事主题、玩家责任和人物关系的表现。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能力地图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规划中文目标、先修关系、练习与表现证据。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生活事件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把探索、交流、操作和学习组织成有结果的小故事。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角色与调度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呈现人物性格和记忆，选择当前适合发生的事件。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pStyle w:val="Heading2"/>
        <w:snapToGrid w:val="0"/>
      </w:pPr>
      <w:r>
        <w:t>2 社区空间与画面风格</w:t>
      </w:r>
    </w:p>
    <w:p>
      <w:pPr>
        <w:snapToGrid w:val="0"/>
      </w:pPr>
      <w:r>
        <w:rPr>
          <w:b w:val="0"/>
        </w:rPr>
        <w:t>建议使用温暖、清楚、有生活细节的绘本卡通风格。社区地图采用2D斜俯视角，室内切换到固定场景；人物使用简洁动作与表情立绘。通过透视、遮挡和层次表现空间感，初期无需制作完整3D世界。人物比例与界面避免过度幼儿化，给青少年内容留出空间。</w:t>
      </w:r>
    </w:p>
    <w:p>
      <w:pPr>
        <w:snapToGrid w:val="0"/>
      </w:pPr>
      <w:r>
        <w:rPr>
          <w:b w:val="0"/>
        </w:rPr>
        <w:t>社区长期可包含家、学校、商店、公园、餐饮场所和活动中心。首版只开放支撑完整故事所需的地点。主要循环为：探索社区 → 遇到事情 → 理解线索 → 交流或操作 → 看到结果 → 开启后续。快速移动和清楚的目标提示减少无意义往返。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3 年龄分层与故事入口</w:t>
      </w:r>
    </w:p>
    <w:p>
      <w:pPr>
        <w:snapToGrid w:val="0"/>
      </w:pPr>
      <w:r>
        <w:rPr>
          <w:b w:val="0"/>
        </w:rPr>
        <w:t>推荐采用同一社区的多个成长阶段。年龄决定玩家关心什么、能够决定什么、承担什么责任；中文水平决定语言难度和提示方式；已有经历决定关系与后续故事。三者分别记录，避免让青少年初学者只能体验幼儿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4139"/>
        <w:gridCol w:w="3969"/>
      </w:tblGrid>
      <w:tr>
        <w:trPr>
          <w:tblHeader/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生活内容与典型事件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主要语言参与方式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3—6岁</w:t>
              <w:br/>
              <w:t>认识身边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认识新家与邻居、找玩具、选点心、照顾植物、轮流游戏。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听懂简短请求，表达需要、喜欢和情绪；图片、语音与操作为主。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7—9岁</w:t>
              <w:br/>
              <w:t>开始独立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认识朋友、寻找失物、按清单购物、邀请伙伴、参与社区游戏。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提问、描述、理解顺序、进行简短交流。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10—12岁</w:t>
              <w:br/>
              <w:t>参与集体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兴趣小组、生日筹备、义卖、合作调查社区问题。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说明计划、安排分工、比较选择、解释原因。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13—15岁</w:t>
              <w:br/>
              <w:t>建立自我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社团、兴趣变化、朋友误会、社区短片、公共空间讨论。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表达观点、理解语气、解释误会、协商决定。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16—18岁</w:t>
              <w:br/>
              <w:t>走向自主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志愿服务、带领小组、筹办活动、独立生活与未来选择。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获取信息、提出方案、调整表达、复盘与说服。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这些年龄边界用于组织内容，不作为儿童发展的硬性结论。低龄段还需验证独立操作能力、是否需要成人陪同，以及识字和语音交互负担。</w:t>
      </w:r>
    </w:p>
    <w:p>
      <w:pPr>
        <w:pStyle w:val="Heading2"/>
        <w:snapToGrid w:val="0"/>
      </w:pPr>
      <w:r>
        <w:t>3 1 直接进入与连续成长</w:t>
      </w:r>
    </w:p>
    <w:p>
      <w:pPr>
        <w:snapToGrid w:val="0"/>
      </w:pPr>
      <w:r>
        <w:rPr>
          <w:b w:val="0"/>
        </w:rPr>
        <w:t>玩家可直接进入适合的阶段。5岁玩家从认识新家开始；15岁玩家从转学、结识朋友和加入社团开始。每个阶段有独立开场和必要背景，初次进入不要求补完较小年龄的章节。</w:t>
      </w:r>
    </w:p>
    <w:p>
      <w:pPr>
        <w:snapToGrid w:val="0"/>
      </w:pPr>
      <w:r>
        <w:rPr>
          <w:b w:val="0"/>
        </w:rPr>
        <w:t>连续游玩的玩家可在完成阶段后选择推进年龄，保留共同经历、纪念物与重要关系。直接进入较大年龄的玩家使用相应初始背景。两种入口分别标记，NPC依据真实经历回应，不能默认所有人都完成过童年故事。</w:t>
      </w:r>
    </w:p>
    <w:p>
      <w:pPr>
        <w:pStyle w:val="Heading2"/>
        <w:snapToGrid w:val="0"/>
      </w:pPr>
      <w:r>
        <w:t>3 2 人物成长与社区时间</w:t>
      </w:r>
    </w:p>
    <w:p>
      <w:pPr>
        <w:snapToGrid w:val="0"/>
      </w:pPr>
      <w:r>
        <w:rPr>
          <w:b w:val="0"/>
        </w:rPr>
        <w:t>建议由同一组核心伙伴陪玩家成长，兴趣、责任和关系随阶段变化。家庭和社区人物也按阶段更新身份与背景。年龄推进采用章节切换；日常事件使用可暂停的游戏时间。固定场景、人物阶段版本和少量新角色即可支持扩展，无需为每个年龄段重建一整套社区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4 学习目标与内容覆盖</w:t>
      </w:r>
    </w:p>
    <w:p>
      <w:pPr>
        <w:snapToGrid w:val="0"/>
      </w:pPr>
      <w:r>
        <w:rPr>
          <w:b w:val="0"/>
        </w:rPr>
        <w:t>内容覆盖应针对明确的年龄段、中文起点和目标水平计算。“一个年龄段应该学完什么”需要先形成课程清单；不能把年龄直接对应到统一词汇量，也不能以完成故事数量推断掌握程度。课程可参考国际中文教育标准，并由儿童中文教学人员审核年龄适配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912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能力范围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可观察目标示例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社区中的练习载体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语音与文字基础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辨认目标语音、汉字和词语，建立音形义联系。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物品标签、语音找物、与故事相关的短活动。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理解与回应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听懂请求、指令与关键信息，确认没听清的内容。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委托、路线、活动通知。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表达与描述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说明需求、偏好和情绪，描述人物与物品。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点餐、找失物、介绍朋友。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叙述与说明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按顺序讲经历，解释原因与做法。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调查回顾、分享经历、说明规则。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交流与协商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邀请、拒绝、提出建议、安排分工和解决分歧。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约朋友、小组作品、社区活动。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阅读与书面表达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理解标识、清单和消息，完成适龄书面表达。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便条、邀请卡、海报、活动方案。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文化与语用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理解场合与关系，选择合适的称呼和表达。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邻里交流、节日活动、正式与非正式邀请。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pStyle w:val="Heading2"/>
        <w:snapToGrid w:val="0"/>
      </w:pPr>
      <w:r>
        <w:t>4 1 课程目标与事件双向关联</w:t>
      </w:r>
    </w:p>
    <w:p>
      <w:pPr>
        <w:snapToGrid w:val="0"/>
      </w:pPr>
      <w:r>
        <w:rPr>
          <w:b w:val="0"/>
        </w:rPr>
        <w:t>每个目标拥有稳定编号、适用阶段、语言等级、先修目标和评价方式；每个事件关联少量核心目标与可复习目标。后台能从目标查到支撑它的事件，也能从事件查到它服务的能力。重要目标应有多个情境，避免玩家跳过某一支线后失去学习机会。</w:t>
      </w:r>
    </w:p>
    <w:p>
      <w:pPr>
        <w:snapToGrid w:val="0"/>
      </w:pPr>
      <w:r>
        <w:rPr>
          <w:b w:val="0"/>
        </w:rPr>
        <w:t>主线与关键事件确保核心目标获得学习和表现机会；兴趣支线提供相近目标的替代路径。玩家可以选择题材，系统持续检查尚未覆盖的内容。自由聊天可补充练习，但不能成为唯一的课程保障。</w:t>
      </w:r>
    </w:p>
    <w:p>
      <w:pPr>
        <w:pStyle w:val="Heading2"/>
        <w:snapToGrid w:val="0"/>
      </w:pPr>
      <w:r>
        <w:t>4 2 内容覆盖与学习证据分别记录</w:t>
      </w:r>
    </w:p>
    <w:p>
      <w:pPr>
        <w:snapToGrid w:val="0"/>
      </w:pPr>
      <w:r>
        <w:rPr>
          <w:b w:val="0"/>
        </w:rPr>
        <w:t>内容状态记录是否已制作、审核并提供给玩家；学习状态记录接触过、借助提示完成、独立完成，以及间隔后换情境仍能完成。听、说、读、写分别保留证据，点选成功与口语表达成功不能直接互换。</w:t>
      </w:r>
    </w:p>
    <w:p>
      <w:pPr>
        <w:snapToGrid w:val="0"/>
      </w:pPr>
      <w:r>
        <w:rPr>
          <w:b w:val="0"/>
        </w:rPr>
        <w:t>覆盖率的分母必须是已确定的课程目标。报告可分别展示“拥有合格事件的目标比例”和“已有独立表现证据的目标比例”，并说明样本与判定条件。语音、识字和书写中较难自然融入的部分，可用短专项活动补充；其结果需与游戏体验一起验证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5 生活事件与游玩节奏</w:t>
      </w:r>
    </w:p>
    <w:p>
      <w:pPr>
        <w:snapToGrid w:val="0"/>
      </w:pPr>
      <w:r>
        <w:rPr>
          <w:b w:val="0"/>
        </w:rPr>
        <w:t>故事结构分为阶段主线、人物故事和日常事件。阶段主线提供持续期待，人物故事积累关系，日常事件带来选择与变化。单次事件以一个主要目标、少量关键步骤和可见结果为基本单位；首版可先按每事件1—2个新能力目标设计，再通过试玩调整。</w:t>
      </w:r>
    </w:p>
    <w:p>
      <w:pPr>
        <w:pStyle w:val="Heading2"/>
        <w:snapToGrid w:val="0"/>
      </w:pPr>
      <w:r>
        <w:t>5 1 事件制作格式</w:t>
      </w:r>
    </w:p>
    <w:p>
      <w:pPr>
        <w:snapToGrid w:val="0"/>
      </w:pPr>
      <w:r>
        <w:rPr>
          <w:b w:val="0"/>
        </w:rPr>
        <w:t>一份事件定义至少包含：适用阶段与中文水平、触发条件、参与人物与地点、玩家动机、关键步骤、可选行动、目标词句、提示层级、完成证据、结果与后续入口。事件应有清楚的结束状态，并支持保存、恢复、放弃或重新尝试。</w:t>
      </w:r>
    </w:p>
    <w:p>
      <w:pPr>
        <w:snapToGrid w:val="0"/>
      </w:pPr>
      <w:r>
        <w:rPr>
          <w:b w:val="0"/>
        </w:rPr>
        <w:t>丰富度来自不同的问题结构：通过信息差找线索、共同创作、在有限资源中取舍、应对临时变化、处理人物分歧。复习同一能力时更换参与者、目的或限制条件，使玩家需要重新理解和判断。</w:t>
      </w:r>
    </w:p>
    <w:p>
      <w:pPr>
        <w:pStyle w:val="Heading2"/>
        <w:snapToGrid w:val="0"/>
      </w:pPr>
      <w:r>
        <w:t>5 2 野餐事件示例</w:t>
      </w:r>
    </w:p>
    <w:p>
      <w:pPr>
        <w:snapToGrid w:val="0"/>
      </w:pPr>
      <w:r>
        <w:rPr>
          <w:b w:val="0"/>
        </w:rPr>
        <w:t>以7—9岁中文初学者为示例，篇章目标是与新朋友完成一次野餐。下表各环节可分别结束和保存，学习目标依据前置能力进一步筛选。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4535"/>
        <w:gridCol w:w="3685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实际行动与变化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学习机会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 w:val="0"/>
                <w:sz w:val="19"/>
              </w:rPr>
              <w:t>发出邀请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了解朋友是否愿意参加，得到回应。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邀请、接受与简单拒绝。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 w:val="0"/>
                <w:sz w:val="19"/>
              </w:rPr>
              <w:t>确认时间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比较两位朋友的空闲时间，约定见面。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询问时间、确认信息。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 w:val="0"/>
                <w:sz w:val="19"/>
              </w:rPr>
              <w:t>分工准备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选择自己负责的食物，写或补全清单。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数量、物品、简单安排。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 w:val="0"/>
                <w:sz w:val="19"/>
              </w:rPr>
              <w:t>处理变化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天气发生变化，从可用地点中重新选择。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理解变化、提出替代建议。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b w:val="0"/>
                <w:sz w:val="19"/>
              </w:rPr>
              <w:t>活动结束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分享食物、留下合照，产生下一次约定。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回应偏好、简短回顾与感谢。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实际调度会在环节之间穿插人物互动和其他类型的活动，避免连续购物、连续找物。复习“确认时间”时，可以改为询问商店营业时间；后续再安排活动改期，检查能否迁移。</w:t>
      </w:r>
    </w:p>
    <w:p>
      <w:pPr>
        <w:pStyle w:val="Heading2"/>
        <w:snapToGrid w:val="0"/>
      </w:pPr>
      <w:r>
        <w:t>5 3 控制拖沓与无关内容</w:t>
      </w:r>
    </w:p>
    <w:p>
      <w:pPr>
        <w:snapToGrid w:val="0"/>
      </w:pPr>
      <w:r>
        <w:rPr>
          <w:b w:val="0"/>
        </w:rPr>
        <w:t>当前只突出一个主要目标，较早交还操作权。对话应推进事件、表现人物、发展关系或提供必要信息；幽默与闲话可以保留，但应与人物或情境相关。约定完成后及时收束，避免连续追加委托。重复路程使用快速移动，已知内容提供回顾与重听。</w:t>
      </w:r>
    </w:p>
    <w:p>
      <w:pPr>
        <w:snapToGrid w:val="0"/>
      </w:pPr>
      <w:r>
        <w:rPr>
          <w:b w:val="0"/>
        </w:rPr>
        <w:t>调度时综合年龄、水平、故事进度、待复习目标、兴趣和最近玩过的事件类型。主线保持可理解，支线提供选择；开放闲聊设独立入口，NPC不频繁打断当前行动。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6 NPC 关系记忆与社区扩展</w:t>
      </w:r>
    </w:p>
    <w:p>
      <w:pPr>
        <w:snapToGrid w:val="0"/>
      </w:pPr>
      <w:r>
        <w:rPr>
          <w:b w:val="0"/>
        </w:rPr>
        <w:t>首个完整年龄阶段建议配置12—16个常驻角色，其中6—8个承担较深的人物故事、开放对话与长期记忆。可先从家庭成员2人、同龄伙伴4人、学校人物2人、商店与餐饮人物2人、社区组织者1人、邻居1人组成12人基础阵容。路人以简单日程、动作和短对话补充。人数是制作建议，需用关系丰富度与试玩结果调整。</w:t>
      </w:r>
    </w:p>
    <w:p>
      <w:pPr>
        <w:snapToGrid w:val="0"/>
      </w:pPr>
      <w:r>
        <w:rPr>
          <w:b w:val="0"/>
        </w:rPr>
        <w:t>每个重点角色应有稳定性格、目标、日程、活动地点和未解决的事情，并与其他人物形成具体关系。例如朋友是店主的孩子，组织者准备举办集市，邻居能帮忙修招牌。一个事件便能连接家庭、商业与公共活动，让已有场景持续产生新故事。</w:t>
      </w:r>
    </w:p>
    <w:p>
      <w:pPr>
        <w:pStyle w:val="Heading2"/>
        <w:snapToGrid w:val="0"/>
      </w:pPr>
      <w:r>
        <w:t>6 1 开放回答与记忆边界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7"/>
        <w:gridCol w:w="3458"/>
        <w:gridCol w:w="4535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记录类型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内容示例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世界事实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实际完成了配送，花园已修复。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由游戏规则确认，是任务与奖励依据。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共同经历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一起找回小狗、完成第一张海报。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由事件结果写入，作为关系和后续入口。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偏好与约定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喜欢画画，答应下次参加集市。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记录来源与有效期，允许查看、修改或清除。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角色认知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听玩家说东西已经送到。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保留为该角色听到的说法，与已核实事实区分。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学习证据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某项表达借助提示或独立完成。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由学习系统分别记录，提供适度难度支持。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角色根据自身身份、已知信息、当前事件和相关记忆回答。每个NPC只能知道亲眼见过、实际听过或被告知的内容；关系和消息传播需要依据。记忆优先保存游戏经历，控制保存范围与期限。成长阶段切换时迁移重要经历，并更新人物状态。</w:t>
      </w:r>
    </w:p>
    <w:p>
      <w:pPr>
        <w:pStyle w:val="Heading2"/>
        <w:snapToGrid w:val="0"/>
      </w:pPr>
      <w:r>
        <w:t>6 2 多Agent的合理职责</w:t>
      </w:r>
    </w:p>
    <w:p>
      <w:pPr>
        <w:snapToGrid w:val="0"/>
      </w:pPr>
      <w:r>
        <w:rPr>
          <w:b w:val="0"/>
        </w:rPr>
        <w:t>角色Agent负责理解交流、保持性格并提出行动。社区调度与事件系统负责检查时间、地点、条件与结果。例行走动、开店和回家按规则执行；交谈、重要变化、约定到期或小组决策时再调用AI。角色数量与同时运行的AI数量分开管理，同一模型可以服务多个身份。</w:t>
      </w:r>
    </w:p>
    <w:p>
      <w:pPr>
        <w:pStyle w:val="Heading2"/>
        <w:snapToGrid w:val="0"/>
      </w:pPr>
      <w:r>
        <w:t>6 3 便于扩展的内容组织</w:t>
      </w:r>
    </w:p>
    <w:p>
      <w:pPr>
        <w:snapToGrid w:val="0"/>
      </w:pPr>
      <w:r>
        <w:rPr>
          <w:b w:val="0"/>
        </w:rPr>
        <w:t>地点、人物、能力目标、事件、对话与音频分别保存，使用稳定编号关联。新事件优先复用既有互动方式；新增动作或规则时再扩展系统。事件与存档保留版本，更新时处理旧进度。每次扩展需要说明新增的学习目标、人物变化和体验类型，避免只增加任务数量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第二部分 可行性分析</w:t>
      </w:r>
    </w:p>
    <w:p>
      <w:pPr>
        <w:pStyle w:val="Heading2"/>
        <w:snapToGrid w:val="0"/>
      </w:pPr>
      <w:r>
        <w:t>7 方法可行性</w:t>
      </w:r>
    </w:p>
    <w:p>
      <w:pPr>
        <w:snapToGrid w:val="0"/>
      </w:pPr>
      <w:r>
        <w:rPr>
          <w:b w:val="0"/>
        </w:rPr>
        <w:t>方法层面适合开展验证：社区提供稳定情境，生活事件提供交流目的，人物关系提供再次使用中文的动机，能力地图保障内容规划。CEFR对“能做什么”的能力描述、学习者作为社会行动者的观点，可作为任务设计参考。[2]这些依据支持方案设计，不能直接证明本游戏的学习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458"/>
        <w:gridCol w:w="436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可行依据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主要限制与验证重点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按年龄组织故事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生活主题、责任与参与方式可随阶段调整。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需分别试玩，检查低龄操作与青少年题材接受度。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能力目标关联事件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可审查每项目标是否有学习与表现机会。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需教师审核课程清单，检查语音、识字与书写缺口。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变换情境进行复习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同一能力可用于不同人物、地点和目的。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需延后检查独立表现，避免只会记固定答案。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开放NPC与记忆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生成式角色研究展示了记忆、检索和规划的模拟方式。[3]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研究原型不等于儿童教学产品；需检查人物一致性、事实与难度。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规则控制关键结果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可检查完成条件并限制无效行动。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自由表达不能全部压成固定答案；需支持澄清与合理替代。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pStyle w:val="Heading2"/>
        <w:snapToGrid w:val="0"/>
      </w:pPr>
      <w:r>
        <w:t>7 1 方法成立的必要条件</w:t>
      </w:r>
    </w:p>
    <w:p>
      <w:pPr>
        <w:snapToGrid w:val="0"/>
      </w:pPr>
      <w:r>
        <w:rPr>
          <w:b w:val="0"/>
        </w:rPr>
        <w:t>课程规划需要中文教学能力，事件设计需要儿童叙事和游戏设计能力，两者应在制作同一事件时共同评审。AI生成内容需有适龄表达、词句难度和人物设定约束；关键教学示例及主线信息优先制作和审核。学习者遇到困难时提供逐步提示，避免因识别错误或表达差异反复受阻。</w:t>
      </w:r>
    </w:p>
    <w:p>
      <w:pPr>
        <w:snapToGrid w:val="0"/>
      </w:pPr>
      <w:r>
        <w:rPr>
          <w:b w:val="0"/>
        </w:rPr>
        <w:t>先明确目标群体的年龄、中文起点、主要母语与使用场景。低龄、不同文字背景和不同学习经历会影响交互负担。家长或教师可查看进度摘要，孩子的主要界面保持生活和故事导向。</w:t>
      </w:r>
    </w:p>
    <w:p>
      <w:pPr>
        <w:pStyle w:val="Heading2"/>
        <w:snapToGrid w:val="0"/>
      </w:pPr>
      <w:r>
        <w:t>7 2 学习效果的验证方法</w:t>
      </w:r>
    </w:p>
    <w:p>
      <w:pPr>
        <w:snapToGrid w:val="0"/>
      </w:pPr>
      <w:r>
        <w:rPr>
          <w:b w:val="0"/>
        </w:rPr>
        <w:t>原型阶段先观察是否理解目标、是否愿意交流，以及在哪些地方退出或频繁求助。随后针对选定能力进行试玩前后比较，并安排间隔后的新情境任务；阅读、口语等表现由相应证据和人工抽查支持。小样本结果用于修订，扩大样本及设置适当比较条件后，再评估较稳定的学习收益。</w:t>
      </w:r>
    </w:p>
    <w:p>
      <w:pPr>
        <w:snapToGrid w:val="0"/>
      </w:pPr>
      <w:r>
        <w:rPr>
          <w:b w:val="0"/>
        </w:rPr>
        <w:t>方法结论为有条件可行。课程覆盖、掌握程度和持续兴趣分别验证。当前不能承诺覆盖所有3—18岁学习需求，也不能据此推断商业转化或长期留存。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8 技术可行性与开发路线</w:t>
      </w:r>
    </w:p>
    <w:p>
      <w:pPr>
        <w:snapToGrid w:val="0"/>
      </w:pPr>
      <w:r>
        <w:rPr>
          <w:b w:val="0"/>
        </w:rPr>
        <w:t>电脑网页端能够承载本项目建议范围内的2D探索、人物移动、对话、物品互动与存档。浏览器是运行平台，游戏框架是制作工具，可以共同使用。推荐以网页技术配合Phaser类2D框架制作首版；团队经验与原型结果可以影响最终选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3515"/>
        <w:gridCol w:w="4252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适合的体验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本项目判断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普通网页界面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点击场景、对话选择、拖拽、互动故事。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可完成偏图文互动的版本；持续移动与较多动画需要额外组织。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网页加2D框架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地图、移动、场景切换、动画与小游戏。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优先验证。Phaser官方说明其面向浏览器和2D开发。[4]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Godot导出网页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通过游戏编辑器组织场景，兼顾其他发布形式。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可行备选。网页导出需验证浏览器、WebAssembly和WebGL 2.0等要求。[5]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pStyle w:val="Heading2"/>
        <w:snapToGrid w:val="0"/>
      </w:pPr>
      <w:r>
        <w:t>8 1 推荐系统组成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7767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负责内容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网页与2D场景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登录、设置、文字界面、地图移动、互动与动画；可使用TypeScript及熟悉的网页界面框架。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游戏规则服务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管理玩家状态、事件条件、物品和奖励，确认世界变化并保存进度。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内容管理工具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维护人物、事件、能力目标、语言版本、素材关联，支持预览、审核和发布。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角色服务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选择相关记忆、调用语言模型、校验回答与行动建议，处理超时和降级。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数据与媒体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存放存档、关系、记忆和学习证据；音频与图片按场景加载。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可选语音服务</w:t>
            </w:r>
          </w:p>
        </w:tc>
        <w:tc>
          <w:tcPr>
            <w:tcW w:type="dxa" w:w="77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录音、语音识别与播报；保留点击和文字通路。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首版建议为每位玩家建立独立社区存档，集中验证个人故事与学习体验。以后若增加多人共同社区，需要另行设计时间同步、事件归属、关系冲突和交流管理。</w:t>
      </w:r>
    </w:p>
    <w:p>
      <w:pPr>
        <w:pStyle w:val="Heading2"/>
        <w:snapToGrid w:val="0"/>
      </w:pPr>
      <w:r>
        <w:t>8 2 基础能力与待验证能力</w:t>
      </w:r>
    </w:p>
    <w:p>
      <w:pPr>
        <w:snapToGrid w:val="0"/>
      </w:pPr>
      <w:r>
        <w:rPr>
          <w:b w:val="0"/>
        </w:rPr>
        <w:t>场景互动、规则任务、内容配置和存档可以先单独实现。开放对话、长期记忆、儿童语音识别与实时播报需要集成测试。麦克风访问涉及浏览器许可与安全上下文，正式部署采用HTTPS，并提供拒绝录音后的替代操作。[6]语音转写正确不能直接当作声调或发音掌握的证据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9 角色运行与系统一致性</w:t>
      </w:r>
    </w:p>
    <w:p>
      <w:pPr>
        <w:snapToGrid w:val="0"/>
      </w:pPr>
      <w:r>
        <w:rPr>
          <w:b w:val="0"/>
        </w:rPr>
        <w:t>一次角色互动建议经过以下流程：读取当前玩家与事件状态，选择角色有权知道的相关记忆，生成回答与候选行动，检查内容和行动条件，执行合法变化，写入事件记录与记忆，最后呈现结果。模型产生的行动请求由规则服务确认，不能直接写奖励或改动世界。</w:t>
      </w:r>
    </w:p>
    <w:p>
      <w:pPr>
        <w:pStyle w:val="Heading2"/>
        <w:snapToGrid w:val="0"/>
      </w:pPr>
      <w:r>
        <w:t>9 1 多Agent的运行方式</w:t>
      </w:r>
    </w:p>
    <w:p>
      <w:pPr>
        <w:snapToGrid w:val="0"/>
      </w:pPr>
      <w:r>
        <w:rPr>
          <w:b w:val="0"/>
        </w:rPr>
        <w:t>原型先支持单个角色对话，再测试两三个人物围绕一个事件交流。普通日程使用规则，重要事件才触发思考。角色可以共用模型服务，但身份、记忆、玩家存档与访问范围分别隔离。多人讨论设置参与者、轮次和结束条件，避免无休止互相生成。</w:t>
      </w:r>
    </w:p>
    <w:p>
      <w:pPr>
        <w:snapToGrid w:val="0"/>
      </w:pPr>
      <w:r>
        <w:rPr>
          <w:b w:val="0"/>
        </w:rPr>
        <w:t>学习调度与世界调度先采用可解释的规则。复杂记忆检索可以后续加入专门索引，初期按人物、事件、时间和重要性筛选即可。生成式角色研究展示了25名角色的小镇原型；这一规模说明研究路径可参考，不能用来估算本项目成本或确定必要人数。[3]</w:t>
      </w:r>
    </w:p>
    <w:p>
      <w:pPr>
        <w:pStyle w:val="Heading2"/>
        <w:snapToGrid w:val="0"/>
      </w:pPr>
      <w:r>
        <w:t>9 2 降低错误与中断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082"/>
        <w:gridCol w:w="379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建议处理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验证重点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编造事实或越权承诺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从已知状态取信息，检查行动前提，失败时澄清或提供已有选项。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陌生事件、伪称已完成、无效物品等固定案例。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记忆矛盾或串档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事实记录与角色看法分开，标注来源；按玩家和角色隔离。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跨会话恢复、阶段切换、偏好更改和删除。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回答过长或跑题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设置当前目标、语言层级和轮次；必要时使用已审核回应。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人工评审可理解性、人物差异与事件相关性。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服务慢或不可用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设置超时与调用上限，提供提示、选项和预置对话。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弱网、断网、服务错误下仍可保存与推进。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未成年人数据负担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优先记游戏经历，最少化收集，设置保存期限与清除功能。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录音和记忆的数据流、访问控制与删除结果。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面向儿童的外部输入与生成输出均需适龄处理。玩家输入应作为游戏内容处理，不能改变系统规则或读取其他存档。上线目标市场、账号和语音数据处理方式确定后，再评估相应的儿童隐私与监护要求。</w:t>
      </w:r>
    </w:p>
    <w:p>
      <w:pPr>
        <w:pStyle w:val="Heading2"/>
        <w:snapToGrid w:val="0"/>
      </w:pPr>
      <w:r>
        <w:t>9 3 性能与运行成本</w:t>
      </w:r>
    </w:p>
    <w:p>
      <w:pPr>
        <w:snapToGrid w:val="0"/>
      </w:pPr>
      <w:r>
        <w:rPr>
          <w:b w:val="0"/>
        </w:rPr>
        <w:t>主要开销来自语言模型输入输出、语音识别、语音合成、数据存储和网络分发。单次游玩成本可按“各次模型调用成本之和＋语音处理成本＋基础设施分摊”测算，再用活跃用户与实际游玩频率估算总量。人物总数不能直接换算成调用费用。</w:t>
      </w:r>
    </w:p>
    <w:p>
      <w:pPr>
        <w:snapToGrid w:val="0"/>
      </w:pPr>
      <w:r>
        <w:rPr>
          <w:b w:val="0"/>
        </w:rPr>
        <w:t>控制相关上下文长度、复用已审核音频、按事件触发AI并限制后台讨论，可降低开销。先记录首屏加载、移动流畅度、回复延迟、失败率与每次游玩成本；具体预算和响应目标应在选定服务与目标设备后确定。</w:t>
      </w:r>
    </w:p>
    <w:p>
      <w:pPr>
        <w:snapToGrid w:val="0"/>
      </w:pPr>
      <w:r>
        <w:br w:type="page"/>
      </w:r>
    </w:p>
    <w:p>
      <w:pPr>
        <w:pStyle w:val="Heading2"/>
        <w:snapToGrid w:val="0"/>
      </w:pPr>
      <w:r>
        <w:t>10 分阶段实施与验证</w:t>
      </w:r>
    </w:p>
    <w:p>
      <w:pPr>
        <w:snapToGrid w:val="0"/>
      </w:pPr>
      <w:r>
        <w:rPr>
          <w:b w:val="0"/>
        </w:rPr>
        <w:t>建议首个验证段选择7—9岁中文初学者，先集中于小学低年级，最终由目标用户与教学需求确认。原型可含4—5个场景、6名常驻人物，其中3名支持较深对话与记忆；制作1段完整篇章、8—12个事件及10—15项核心微目标。这一范围用于验证方法，不代表完成该阶段课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7"/>
        <w:gridCol w:w="3969"/>
        <w:gridCol w:w="4025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主要工作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DFE9EF"/>
          </w:tcPr>
          <w:p>
            <w:pPr>
              <w:spacing w:after="20" w:before="20" w:line="260" w:lineRule="exact"/>
              <w:snapToGrid w:val="0"/>
            </w:pPr>
            <w:r>
              <w:rPr>
                <w:b/>
                <w:sz w:val="19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设计样章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确定能力清单、人物关系和事件结构，完成可演示故事。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教师确认目标适配，事件动机与语言使用成立。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规则原型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完成移动、物品、任务、提示、存档与结局。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主要路径可完成，孩子能理解目标，重复操作负担可接受。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加入AI角色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验证人物差异、相关记忆、自由表达和降级。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错误可追踪，关键行动受规则控制，响应与成本满足预算。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试玩与扩展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观察学习证据与兴趣，修订后扩至完整年龄阶段。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5F7F9"/>
          </w:tcPr>
          <w:p>
            <w:pPr>
              <w:spacing w:after="20" w:before="20" w:line="260" w:lineRule="exact"/>
              <w:snapToGrid w:val="0"/>
            </w:pPr>
            <w:r>
              <w:rPr>
                <w:b w:val="0"/>
                <w:sz w:val="19"/>
              </w:rPr>
              <w:t>补齐核心目标缺口，验证迁移表现，内容制作方式可复用。</w:t>
            </w:r>
          </w:p>
        </w:tc>
      </w:tr>
    </w:tbl>
    <w:p>
      <w:pPr>
        <w:spacing w:after="60" w:line="4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实施至少需要覆盖中文课程、游戏与叙事、网页与后端、AI集成、美术音频和测试这些职责，人员可以兼任。工期和预算应根据样章的实际制作耗时、素材标准、语音范围与服务报价估算；当前信息不足以给出可靠总价。</w:t>
      </w:r>
    </w:p>
    <w:p>
      <w:pPr>
        <w:snapToGrid w:val="0"/>
      </w:pPr>
      <w:r>
        <w:rPr>
          <w:b w:val="0"/>
        </w:rPr>
        <w:t>启动前优先确定首版年龄与中文起点、目标母语背景、首要语言技能、语音是否必需、美术投入，以及可接受的每次游玩成本。完整阶段再扩至12—16个常驻角色、6—8个重点人物，之后逐步开放其他年龄段。</w:t>
      </w:r>
    </w:p>
    <w:p>
      <w:pPr>
        <w:pStyle w:val="Heading2"/>
        <w:snapToGrid w:val="0"/>
      </w:pPr>
      <w:r>
        <w:t>11 参考资料</w:t>
      </w:r>
    </w:p>
    <w:p>
      <w:pPr>
        <w:snapToGrid w:val="0"/>
      </w:pPr>
      <w:r>
        <w:rPr>
          <w:b w:val="0"/>
        </w:rPr>
        <w:t>以下资料用于支持课程组织和技术能力判断，查询日期为2026年10月15日。其余人数、规模与结构为本项目的设计建议，需通过原型验证。</w:t>
      </w:r>
    </w:p>
    <w:p>
      <w:pPr>
        <w:spacing w:after="120"/>
        <w:snapToGrid w:val="0"/>
      </w:pPr>
      <w:r>
        <w:rPr>
          <w:sz w:val="18"/>
        </w:rPr>
        <w:t xml:space="preserve">[1] </w:t>
      </w:r>
      <w:hyperlink r:id="rId9">
        <w:r>
          <w:rPr>
            <w:color w:val="24546E"/>
          </w:rPr>
          <w:t>教育部 国际中文教育中文水平等级标准发布</w:t>
        </w:r>
      </w:hyperlink>
      <w:r>
        <w:rPr>
          <w:sz w:val="18"/>
        </w:rPr>
        <w:t>。用于参考语言要素、技能及交际任务维度。</w:t>
      </w:r>
    </w:p>
    <w:p>
      <w:pPr>
        <w:spacing w:after="120"/>
        <w:snapToGrid w:val="0"/>
      </w:pPr>
      <w:r>
        <w:rPr>
          <w:sz w:val="18"/>
        </w:rPr>
        <w:t xml:space="preserve">[2] </w:t>
      </w:r>
      <w:hyperlink r:id="rId10">
        <w:r>
          <w:rPr>
            <w:color w:val="24546E"/>
          </w:rPr>
          <w:t>欧洲委员会 CEFR Key concepts</w:t>
        </w:r>
      </w:hyperlink>
      <w:r>
        <w:rPr>
          <w:sz w:val="18"/>
        </w:rPr>
        <w:t>。用于参考能力描述和以行动为导向的任务设计。</w:t>
      </w:r>
    </w:p>
    <w:p>
      <w:pPr>
        <w:spacing w:after="120"/>
        <w:snapToGrid w:val="0"/>
      </w:pPr>
      <w:r>
        <w:rPr>
          <w:sz w:val="18"/>
        </w:rPr>
        <w:t xml:space="preserve">[3] </w:t>
      </w:r>
      <w:hyperlink r:id="rId11">
        <w:r>
          <w:rPr>
            <w:color w:val="24546E"/>
          </w:rPr>
          <w:t>Park等 Generative Agents 2023</w:t>
        </w:r>
      </w:hyperlink>
      <w:r>
        <w:rPr>
          <w:sz w:val="18"/>
        </w:rPr>
        <w:t>。展示记忆、检索、规划与25名虚拟角色的研究原型，未证明本项目的教学效果。</w:t>
      </w:r>
    </w:p>
    <w:p>
      <w:pPr>
        <w:spacing w:after="120"/>
        <w:snapToGrid w:val="0"/>
      </w:pPr>
      <w:r>
        <w:rPr>
          <w:sz w:val="18"/>
        </w:rPr>
        <w:t xml:space="preserve">[4] </w:t>
      </w:r>
      <w:hyperlink r:id="rId12">
        <w:r>
          <w:rPr>
            <w:color w:val="24546E"/>
          </w:rPr>
          <w:t>Phaser Why Phaser</w:t>
        </w:r>
      </w:hyperlink>
      <w:r>
        <w:rPr>
          <w:sz w:val="18"/>
        </w:rPr>
        <w:t>。官方说明浏览器与2D开发定位。</w:t>
      </w:r>
    </w:p>
    <w:p>
      <w:pPr>
        <w:spacing w:after="120"/>
        <w:snapToGrid w:val="0"/>
      </w:pPr>
      <w:r>
        <w:rPr>
          <w:sz w:val="18"/>
        </w:rPr>
        <w:t xml:space="preserve">[5] </w:t>
      </w:r>
      <w:hyperlink r:id="rId13">
        <w:r>
          <w:rPr>
            <w:color w:val="24546E"/>
          </w:rPr>
          <w:t>Godot Exporting for the Web</w:t>
        </w:r>
      </w:hyperlink>
      <w:r>
        <w:rPr>
          <w:sz w:val="18"/>
        </w:rPr>
        <w:t>。官方说明网页导出能力及限制。</w:t>
      </w:r>
    </w:p>
    <w:p>
      <w:pPr>
        <w:spacing w:after="120"/>
        <w:snapToGrid w:val="0"/>
      </w:pPr>
      <w:r>
        <w:rPr>
          <w:sz w:val="18"/>
        </w:rPr>
        <w:t xml:space="preserve">[6] </w:t>
      </w:r>
      <w:hyperlink r:id="rId14">
        <w:r>
          <w:rPr>
            <w:color w:val="24546E"/>
          </w:rPr>
          <w:t>MDN MediaDevices getUserMedia</w:t>
        </w:r>
      </w:hyperlink>
      <w:r>
        <w:rPr>
          <w:sz w:val="18"/>
        </w:rPr>
        <w:t>。说明浏览器媒体访问许可与安全上下文要求。</w:t>
      </w:r>
    </w:p>
    <w:sectPr w:rsidR="00FC693F" w:rsidRPr="0006063C" w:rsidSect="00034616">
      <w:footerReference w:type="default" r:id="rId15"/>
      <w:pgSz w:w="11906" w:h="16838"/>
      <w:pgMar w:top="1077" w:right="1162" w:bottom="1020" w:left="1162" w:header="397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448" w:lineRule="exact"/>
      <w:outlineLvl w:val="0"/>
    </w:pPr>
    <w:rPr>
      <w:rFonts w:cstheme="majorBidi"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50" w:lineRule="exact"/>
      <w:outlineLvl w:val="1"/>
    </w:pPr>
    <w:rPr>
      <w:rFonts w:cstheme="majorBidi"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308" w:lineRule="exact"/>
      <w:outlineLvl w:val="2"/>
    </w:pPr>
    <w:rPr>
      <w:rFonts w:cstheme="majorBidi" w:ascii="Hiragino Sans GB" w:hAnsi="Hiragino Sans GB" w:eastAsia="Hiragino Sans GB" w:cs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40" w:lineRule="exact"/>
      <w:contextualSpacing/>
    </w:pPr>
    <w:rPr>
      <w:rFonts w:cstheme="majorBidi" w:ascii="Hiragino Sans GB" w:hAnsi="Hiragino Sans GB" w:eastAsia="Hiragino Sans GB" w:cs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100"/>
      <w:contextualSpacing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100"/>
      <w:contextualSpacing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oe.gov.cn/jyb_xwfb/gzdt_gzdt/s5987/202103/t20210329_523304.html" TargetMode="External"/><Relationship Id="rId10" Type="http://schemas.openxmlformats.org/officeDocument/2006/relationships/hyperlink" Target="https://www.coe.int/en/web/common-european-framework-reference-languages/key-concepts" TargetMode="External"/><Relationship Id="rId11" Type="http://schemas.openxmlformats.org/officeDocument/2006/relationships/hyperlink" Target="https://arxiv.org/abs/2304.03442" TargetMode="External"/><Relationship Id="rId12" Type="http://schemas.openxmlformats.org/officeDocument/2006/relationships/hyperlink" Target="https://phaser.io/why-phaser" TargetMode="External"/><Relationship Id="rId13" Type="http://schemas.openxmlformats.org/officeDocument/2006/relationships/hyperlink" Target="https://docs.godotengine.org/en/stable/tutorials/export/exporting_for_web.html" TargetMode="External"/><Relationship Id="rId14" Type="http://schemas.openxmlformats.org/officeDocument/2006/relationships/hyperlink" Target="https://developer.mozilla.org/en-US/docs/Web/API/MediaDevices/getUserMedia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社区生活式中文学习游戏设计与可行性报告</dc:title>
  <dc:subject>内容设计 方法可行性 技术可行性</dc:subject>
  <dc:creator/>
  <cp:keywords>中文学习 社区游戏 年龄分层 多Agent 网页游戏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