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灌浆期高温对玉米籽粒影响试验方案（含两条分流研究）</w:t>
      </w:r>
    </w:p>
    <w:p>
      <w:pPr>
        <w:pStyle w:val="Heading2"/>
      </w:pPr>
      <w:r>
        <w:t>一、研究目标</w:t>
      </w:r>
    </w:p>
    <w:p>
      <w:pPr>
        <w:pStyle w:val="ListNumber"/>
      </w:pPr>
      <w:r>
        <w:t>明确灌浆期高温是否引起籽粒败育（第一败育、第二败育、滞育）。</w:t>
      </w:r>
    </w:p>
    <w:p>
      <w:pPr>
        <w:pStyle w:val="ListNumber"/>
      </w:pPr>
      <w:r>
        <w:t>在“败育不显著”前提下，系统评估高温对籽粒品质（甜度、质构、风味）的影响。</w:t>
      </w:r>
    </w:p>
    <w:p>
      <w:pPr>
        <w:pStyle w:val="ListNumber"/>
      </w:pPr>
      <w:r>
        <w:t>比较粤甜16与浙甜922在高温下的响应差异。</w:t>
      </w:r>
    </w:p>
    <w:p>
      <w:pPr>
        <w:pStyle w:val="Heading2"/>
      </w:pPr>
      <w:r>
        <w:t>二、试验材料与处理</w:t>
      </w:r>
    </w:p>
    <w:p>
      <w:pPr>
        <w:pStyle w:val="ListNumber"/>
      </w:pPr>
      <w:r>
        <w:t>供试材料：粤甜16、浙甜922。</w:t>
      </w:r>
    </w:p>
    <w:p>
      <w:pPr>
        <w:pStyle w:val="ListNumber"/>
      </w:pPr>
      <w:r>
        <w:t>处理设置：常温对照（CK）与灌浆期高温处理（HT）。</w:t>
      </w:r>
    </w:p>
    <w:p>
      <w:pPr>
        <w:pStyle w:val="ListNumber"/>
      </w:pPr>
      <w:r>
        <w:t>处理时期：授粉后进入灌浆期开始处理，连续处理5–7 d（可根据现有条件微调）。</w:t>
      </w:r>
    </w:p>
    <w:p>
      <w:pPr>
        <w:pStyle w:val="ListNumber"/>
      </w:pPr>
      <w:r>
        <w:t>试验设计：双因素设计（品种×温度），随机区组，生物重复不少于3次。</w:t>
      </w:r>
    </w:p>
    <w:p>
      <w:pPr>
        <w:pStyle w:val="Heading2"/>
      </w:pPr>
      <w:r>
        <w:t>三、统一取样与分样</w:t>
      </w:r>
    </w:p>
    <w:p>
      <w:pPr>
        <w:pStyle w:val="ListNumber"/>
      </w:pPr>
      <w:r>
        <w:t>固定果穗中段、固定行位和粒位取样，独立编号，不混样。</w:t>
      </w:r>
    </w:p>
    <w:p>
      <w:pPr>
        <w:pStyle w:val="ListNumber"/>
      </w:pPr>
      <w:r>
        <w:t>取样流程：编号→拍照→分装→速冻/固定→入库。</w:t>
      </w:r>
    </w:p>
    <w:p>
      <w:pPr>
        <w:pStyle w:val="ListNumber"/>
      </w:pPr>
      <w:r>
        <w:t>取样时间点：处理前（0 d）、处理中（2 d、4 d）、处理后（7 d或成熟期）。</w:t>
      </w:r>
    </w:p>
    <w:p>
      <w:pPr>
        <w:pStyle w:val="Heading2"/>
      </w:pPr>
      <w:r>
        <w:t>四、分流判定规则（先判败育，再定路线）</w:t>
      </w:r>
    </w:p>
    <w:p>
      <w:pPr>
        <w:pStyle w:val="ListNumber"/>
      </w:pPr>
      <w:r>
        <w:t>先进行表型快速判定：正常粒率、第一败育率、第二败育率、滞育率、100粒鲜重/干重。</w:t>
      </w:r>
    </w:p>
    <w:p>
      <w:pPr>
        <w:pStyle w:val="ListNumber"/>
      </w:pPr>
      <w:r>
        <w:t>判定标准：若高温组败育率显著升高且伴随粒重显著下降，则进入分流研究1（败育）；若败育不显著（或仅轻微变化），则进入分流研究2（品质）。</w:t>
      </w:r>
    </w:p>
    <w:p>
      <w:pPr>
        <w:pStyle w:val="Heading2"/>
      </w:pPr>
      <w:r>
        <w:t>分流研究1：籽粒败育机制研究</w:t>
      </w:r>
    </w:p>
    <w:p>
      <w:r>
        <w:t>1）核心问题：高温是否通过“激素失衡—氧化伤害—淀粉合成受阻”导致败育。</w:t>
      </w:r>
    </w:p>
    <w:p>
      <w:r>
        <w:t>2）关键指标：</w:t>
      </w:r>
    </w:p>
    <w:p>
      <w:pPr>
        <w:pStyle w:val="ListBullet"/>
      </w:pPr>
      <w:r>
        <w:t>表型分型：正常粒、第一败育、第二败育、滞育。</w:t>
      </w:r>
    </w:p>
    <w:p>
      <w:pPr>
        <w:pStyle w:val="ListBullet"/>
      </w:pPr>
      <w:r>
        <w:t>充实指标：百粒鲜重、百粒干重、可溶性糖、淀粉。</w:t>
      </w:r>
    </w:p>
    <w:p>
      <w:pPr>
        <w:pStyle w:val="ListBullet"/>
      </w:pPr>
      <w:r>
        <w:t>激素：ABA、IAA、ZR、GA。</w:t>
      </w:r>
    </w:p>
    <w:p>
      <w:pPr>
        <w:pStyle w:val="ListBullet"/>
      </w:pPr>
      <w:r>
        <w:t>氧化损伤：O2−、H2O2、MDA。</w:t>
      </w:r>
    </w:p>
    <w:p>
      <w:pPr>
        <w:pStyle w:val="ListBullet"/>
      </w:pPr>
      <w:r>
        <w:t>抗氧化酶：SOD、POD、CAT。</w:t>
      </w:r>
    </w:p>
    <w:p>
      <w:pPr>
        <w:pStyle w:val="ListBullet"/>
      </w:pPr>
      <w:r>
        <w:t>淀粉合成酶：AGPase、SSS、SBE。</w:t>
      </w:r>
    </w:p>
    <w:p>
      <w:pPr>
        <w:pStyle w:val="ListBullet"/>
      </w:pPr>
      <w:r>
        <w:t>结构验证（后置）：胚/胚乳切片观察（仅用于机制确认，不作前置筛选）。</w:t>
      </w:r>
    </w:p>
    <w:p>
      <w:r>
        <w:t>3）预期输出：建立“高温→败育”的关键生理生化证据链，并比较两品种耐热差异。</w:t>
      </w:r>
    </w:p>
    <w:p>
      <w:pPr>
        <w:pStyle w:val="Heading2"/>
      </w:pPr>
      <w:r>
        <w:t>分流研究2：籽粒品质研究（仅在败育不显著时开展）</w:t>
      </w:r>
    </w:p>
    <w:p>
      <w:r>
        <w:t>1）核心问题：在无明显败育背景下，高温是否主要造成品质劣变。</w:t>
      </w:r>
    </w:p>
    <w:p>
      <w:r>
        <w:t>2）关键指标：</w:t>
      </w:r>
    </w:p>
    <w:p>
      <w:pPr>
        <w:pStyle w:val="ListBullet"/>
      </w:pPr>
      <w:r>
        <w:t>甜度与碳水：可溶性糖、蔗糖、还原糖、淀粉。</w:t>
      </w:r>
    </w:p>
    <w:p>
      <w:pPr>
        <w:pStyle w:val="ListBullet"/>
      </w:pPr>
      <w:r>
        <w:t>质构：籽粒硬度、咀嚼性、皮渣感（仪器+感官结合）。</w:t>
      </w:r>
    </w:p>
    <w:p>
      <w:pPr>
        <w:pStyle w:val="ListBullet"/>
      </w:pPr>
      <w:r>
        <w:t>外观商品性：籽粒饱满度、轻度皱缩率。</w:t>
      </w:r>
    </w:p>
    <w:p>
      <w:pPr>
        <w:pStyle w:val="ListBullet"/>
      </w:pPr>
      <w:r>
        <w:t>风味：挥发性香气物质（GC-MS）及关键风味组分。</w:t>
      </w:r>
    </w:p>
    <w:p>
      <w:pPr>
        <w:pStyle w:val="ListBullet"/>
      </w:pPr>
      <w:r>
        <w:t>品种比较：粤甜16与浙甜922的保质能力差异。</w:t>
      </w:r>
    </w:p>
    <w:p>
      <w:r>
        <w:t>3）预期输出：明确高温下品质下降主因（甜度/质构/香气），筛选品质稳定型材料。</w:t>
      </w:r>
    </w:p>
    <w:p>
      <w:pPr>
        <w:pStyle w:val="Heading2"/>
      </w:pPr>
      <w:r>
        <w:t>五、数据统计与结果判读</w:t>
      </w:r>
    </w:p>
    <w:p>
      <w:pPr>
        <w:pStyle w:val="ListNumber"/>
      </w:pPr>
      <w:r>
        <w:t>统计方法：双因素方差分析（品种×温度），必要时进行时间点重复测量分析。</w:t>
      </w:r>
    </w:p>
    <w:p>
      <w:pPr>
        <w:pStyle w:val="ListNumber"/>
      </w:pPr>
      <w:r>
        <w:t>多重比较：LSD或Tukey（α=0.05）。</w:t>
      </w:r>
    </w:p>
    <w:p>
      <w:pPr>
        <w:pStyle w:val="ListNumber"/>
      </w:pPr>
      <w:r>
        <w:t>相关性分析：败育率与激素、ROS、酶活、糖淀粉等指标关联分析。</w:t>
      </w:r>
    </w:p>
    <w:p>
      <w:pPr>
        <w:pStyle w:val="ListNumber"/>
      </w:pPr>
      <w:r>
        <w:t>分流有效性验证：检验“先判败育、后判品质”流程是否提高结论一致性。</w:t>
      </w:r>
    </w:p>
    <w:p>
      <w:pPr>
        <w:pStyle w:val="Heading2"/>
      </w:pPr>
      <w:r>
        <w:t>六、质量控制</w:t>
      </w:r>
    </w:p>
    <w:p>
      <w:pPr>
        <w:pStyle w:val="ListNumber"/>
      </w:pPr>
      <w:r>
        <w:t>同一时段取样，避免昼夜节律干扰。</w:t>
      </w:r>
    </w:p>
    <w:p>
      <w:pPr>
        <w:pStyle w:val="ListNumber"/>
      </w:pPr>
      <w:r>
        <w:t>样品避免反复冻融。</w:t>
      </w:r>
    </w:p>
    <w:p>
      <w:pPr>
        <w:pStyle w:val="ListNumber"/>
      </w:pPr>
      <w:r>
        <w:t>统一取样部位与编号体系，确保两分流数据可对接。</w:t>
      </w:r>
    </w:p>
    <w:p>
      <w:pPr>
        <w:pStyle w:val="Heading2"/>
      </w:pPr>
      <w:r>
        <w:t>七、最终成果形式</w:t>
      </w:r>
    </w:p>
    <w:p>
      <w:pPr>
        <w:pStyle w:val="ListNumber"/>
      </w:pPr>
      <w:r>
        <w:t>分流1：败育发生阈值与机制模型。</w:t>
      </w:r>
    </w:p>
    <w:p>
      <w:pPr>
        <w:pStyle w:val="ListNumber"/>
      </w:pPr>
      <w:r>
        <w:t>分流2：品质劣变特征图谱与品种耐热保质评价。</w:t>
      </w:r>
    </w:p>
    <w:p>
      <w:pPr>
        <w:pStyle w:val="ListNumber"/>
      </w:pPr>
      <w:r>
        <w:t>形成灌浆期高温下“先判败育、再判品质”的标准化研究流程。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