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灌浆期高温对玉米籽粒影响试验方案（含两条分流研究）</w:t>
      </w:r>
    </w:p>
    <w:p>
      <w:pPr>
        <w:pStyle w:val="Heading2"/>
      </w:pPr>
      <w:r>
        <w:t>一、研究目标</w:t>
      </w:r>
    </w:p>
    <w:p>
      <w:pPr>
        <w:pStyle w:val="ListNumber"/>
      </w:pPr>
      <w:r>
        <w:t>明确灌浆期高温是否引起籽粒败育（第一败育、第二败育、滞育）。</w:t>
      </w:r>
    </w:p>
    <w:p>
      <w:pPr>
        <w:pStyle w:val="ListNumber"/>
      </w:pPr>
      <w:r>
        <w:t>在“败育不显著”前提下，系统评估高温对籽粒品质（甜度、质构、风味）的影响，并将电子鼻作为风味整体指纹的高通量筛查工具。</w:t>
      </w:r>
    </w:p>
    <w:p>
      <w:pPr>
        <w:pStyle w:val="ListNumber"/>
      </w:pPr>
      <w:r>
        <w:t>比较粤甜16与浙甜922在高温下的响应差异。</w:t>
      </w:r>
    </w:p>
    <w:p>
      <w:pPr>
        <w:pStyle w:val="Heading2"/>
      </w:pPr>
      <w:r>
        <w:t>二、试验材料与处理</w:t>
      </w:r>
    </w:p>
    <w:p>
      <w:pPr>
        <w:pStyle w:val="ListNumber"/>
      </w:pPr>
      <w:r>
        <w:t>供试材料：粤甜16、浙甜922。</w:t>
      </w:r>
    </w:p>
    <w:p>
      <w:pPr>
        <w:pStyle w:val="ListNumber"/>
      </w:pPr>
      <w:r>
        <w:t>处理设置：常温对照（CK）与灌浆期高温处理（HT）。</w:t>
      </w:r>
    </w:p>
    <w:p>
      <w:pPr>
        <w:pStyle w:val="ListNumber"/>
      </w:pPr>
      <w:r>
        <w:t>处理时期：授粉后进入灌浆期开始处理，连续处理5–7 d（可根据现有条件微调）。</w:t>
      </w:r>
    </w:p>
    <w:p>
      <w:pPr>
        <w:pStyle w:val="ListNumber"/>
      </w:pPr>
      <w:r>
        <w:t>试验设计：双因素设计（品种×温度），随机区组，每处理生物重复不少于3次；电子鼻检测对每个生物样本设置技术重复。</w:t>
      </w:r>
    </w:p>
    <w:p>
      <w:pPr>
        <w:pStyle w:val="Heading2"/>
      </w:pPr>
      <w:r>
        <w:t>三、统一取样与分样</w:t>
      </w:r>
    </w:p>
    <w:p>
      <w:pPr>
        <w:pStyle w:val="ListNumber"/>
      </w:pPr>
      <w:r>
        <w:t>固定果穗中段、固定行位和粒位取样，独立编号，不混样。</w:t>
      </w:r>
    </w:p>
    <w:p>
      <w:pPr>
        <w:pStyle w:val="ListNumber"/>
      </w:pPr>
      <w:r>
        <w:t>取样流程：编号→拍照→分装→速冻/固定→入库。</w:t>
      </w:r>
    </w:p>
    <w:p>
      <w:pPr>
        <w:pStyle w:val="ListNumber"/>
      </w:pPr>
      <w:r>
        <w:t>取样时间点：处理前（0 d）、处理中（2 d、4 d、7 d）与采收期；电子鼻检测与该时间序列一致开展动态监测。</w:t>
      </w:r>
    </w:p>
    <w:p>
      <w:pPr>
        <w:pStyle w:val="Heading2"/>
      </w:pPr>
      <w:r>
        <w:t>四、分流判定规则（先判败育，再定路线）</w:t>
      </w:r>
    </w:p>
    <w:p>
      <w:pPr>
        <w:pStyle w:val="ListNumber"/>
      </w:pPr>
      <w:r>
        <w:t>先进行表型快速判定：正常粒率、第一败育率、第二败育率、滞育率、100粒鲜重/干重。</w:t>
      </w:r>
    </w:p>
    <w:p>
      <w:pPr>
        <w:pStyle w:val="ListNumber"/>
      </w:pPr>
      <w:r>
        <w:t>判定标准：若高温组败育率显著升高且伴随粒重显著下降，则进入分流研究1（败育）；若败育不显著（或仅轻微变化），则进入分流研究2（品质）。</w:t>
      </w:r>
    </w:p>
    <w:p>
      <w:pPr>
        <w:pStyle w:val="Heading2"/>
      </w:pPr>
      <w:r>
        <w:t>分流研究1：籽粒败育机制研究</w:t>
      </w:r>
    </w:p>
    <w:p>
      <w:r>
        <w:t>1）核心问题：高温是否通过“激素失衡—氧化伤害—淀粉合成受阻”导致败育。</w:t>
      </w:r>
    </w:p>
    <w:p>
      <w:r>
        <w:t>2）关键指标：</w:t>
      </w:r>
    </w:p>
    <w:p>
      <w:pPr>
        <w:pStyle w:val="ListBullet"/>
      </w:pPr>
      <w:r>
        <w:t>表型分型：正常粒、第一败育、第二败育、滞育。</w:t>
      </w:r>
    </w:p>
    <w:p>
      <w:pPr>
        <w:pStyle w:val="ListBullet"/>
      </w:pPr>
      <w:r>
        <w:t>充实指标：百粒鲜重、百粒干重、可溶性糖、淀粉。</w:t>
      </w:r>
    </w:p>
    <w:p>
      <w:pPr>
        <w:pStyle w:val="ListBullet"/>
      </w:pPr>
      <w:r>
        <w:t>激素：ABA、IAA、ZR、GA。</w:t>
      </w:r>
    </w:p>
    <w:p>
      <w:pPr>
        <w:pStyle w:val="ListBullet"/>
      </w:pPr>
      <w:r>
        <w:t>氧化损伤：O2−、H2O2、MDA。</w:t>
      </w:r>
    </w:p>
    <w:p>
      <w:pPr>
        <w:pStyle w:val="ListBullet"/>
      </w:pPr>
      <w:r>
        <w:t>抗氧化酶：SOD、POD、CAT。</w:t>
      </w:r>
    </w:p>
    <w:p>
      <w:pPr>
        <w:pStyle w:val="ListBullet"/>
      </w:pPr>
      <w:r>
        <w:t>淀粉合成酶：AGPase、SSS、SBE。</w:t>
      </w:r>
    </w:p>
    <w:p>
      <w:pPr>
        <w:pStyle w:val="ListBullet"/>
      </w:pPr>
      <w:r>
        <w:t>结构验证（后置）：胚/胚乳切片观察（仅用于机制确认，不作前置筛选）。</w:t>
      </w:r>
    </w:p>
    <w:p>
      <w:r>
        <w:t>3）预期输出：建立“高温→败育”的关键生理生化证据链，并比较两品种耐热差异。</w:t>
      </w:r>
    </w:p>
    <w:p>
      <w:pPr>
        <w:pStyle w:val="Heading2"/>
      </w:pPr>
      <w:r>
        <w:t>分流研究2：籽粒品质研究（仅在败育不显著时开展）</w:t>
      </w:r>
    </w:p>
    <w:p>
      <w:r>
        <w:t>1）核心问题：在无明显败育背景下，高温是否主要造成品质劣变，以及电子鼻是否可快速区分处理组/品种并追踪风味变化。</w:t>
      </w:r>
    </w:p>
    <w:p>
      <w:r>
        <w:t>2）关键指标：</w:t>
      </w:r>
    </w:p>
    <w:p>
      <w:pPr>
        <w:pStyle w:val="ListBullet"/>
      </w:pPr>
      <w:r>
        <w:t>甜度与碳水：可溶性糖、蔗糖、还原糖、淀粉。</w:t>
      </w:r>
    </w:p>
    <w:p>
      <w:pPr>
        <w:pStyle w:val="ListBullet"/>
      </w:pPr>
      <w:r>
        <w:t>质构：籽粒硬度、咀嚼性、皮渣感（仪器+感官结合）。</w:t>
      </w:r>
    </w:p>
    <w:p>
      <w:pPr>
        <w:pStyle w:val="ListBullet"/>
      </w:pPr>
      <w:r>
        <w:t>外观商品性：籽粒饱满度、轻度皱缩率。</w:t>
      </w:r>
    </w:p>
    <w:p>
      <w:pPr>
        <w:pStyle w:val="ListBullet"/>
      </w:pPr>
      <w:r>
        <w:t>风味：电子鼻整体风味指纹（不替代GC-MS）+ 挥发性香气物质（GC-MS）及关键风味组分。</w:t>
      </w:r>
    </w:p>
    <w:p>
      <w:r>
        <w:t>电子鼻指标：各传感器响应值、主成分得分、判别准确率。</w:t>
      </w:r>
    </w:p>
    <w:p>
      <w:pPr>
        <w:pStyle w:val="ListBullet"/>
      </w:pPr>
      <w:r>
        <w:t>品种比较：粤甜16与浙甜922的保质能力差异。</w:t>
      </w:r>
    </w:p>
    <w:p>
      <w:r>
        <w:t>3）预期输出：明确高温下品质下降主因（甜度/质构/香气），筛选品质稳定型材料。</w:t>
      </w:r>
    </w:p>
    <w:p>
      <w:pPr>
        <w:pStyle w:val="Heading2"/>
      </w:pPr>
      <w:r>
        <w:t>五、数据统计与结果判读</w:t>
      </w:r>
    </w:p>
    <w:p>
      <w:pPr>
        <w:pStyle w:val="ListNumber"/>
      </w:pPr>
      <w:r>
        <w:t>统计方法：双因素方差分析（品种×温度），并对电子鼻数据开展PCA/聚类与PLS-DA判别分析；必要时进行时间点重复测量分析。</w:t>
      </w:r>
    </w:p>
    <w:p>
      <w:pPr>
        <w:pStyle w:val="ListNumber"/>
      </w:pPr>
      <w:r>
        <w:t>多重比较：LSD或Tukey（α=0.05）。</w:t>
      </w:r>
    </w:p>
    <w:p>
      <w:pPr>
        <w:pStyle w:val="ListNumber"/>
      </w:pPr>
      <w:r>
        <w:t>相关性分析：将电子鼻特征与GC-MS关键挥发物、感官评分、糖/淀粉/质构指标联动分析，构建“高温→风味变化”证据链。</w:t>
      </w:r>
    </w:p>
    <w:p>
      <w:pPr>
        <w:pStyle w:val="ListNumber"/>
      </w:pPr>
      <w:r>
        <w:t>分流有效性验证：检验“先判败育、后判品质”流程是否提高结论一致性。</w:t>
      </w:r>
    </w:p>
    <w:p>
      <w:pPr>
        <w:pStyle w:val="Heading2"/>
      </w:pPr>
      <w:r>
        <w:t>六、质量控制</w:t>
      </w:r>
    </w:p>
    <w:p>
      <w:pPr>
        <w:pStyle w:val="ListNumber"/>
      </w:pPr>
      <w:r>
        <w:t>同一时段取样，避免昼夜节律干扰。</w:t>
      </w:r>
    </w:p>
    <w:p>
      <w:pPr>
        <w:pStyle w:val="ListNumber"/>
      </w:pPr>
      <w:r>
        <w:t>样品避免反复冻融。</w:t>
      </w:r>
    </w:p>
    <w:p>
      <w:pPr>
        <w:pStyle w:val="ListNumber"/>
      </w:pPr>
      <w:r>
        <w:t>统一取样部位与编号体系，固定穗位/粒位及样品温控平衡时间；每批次设置空白与标准样，随机化电子鼻测样顺序以降低漂移和批次效应。</w:t>
      </w:r>
    </w:p>
    <w:p>
      <w:pPr>
        <w:pStyle w:val="Heading2"/>
      </w:pPr>
      <w:r>
        <w:t>七、最终成果形式</w:t>
      </w:r>
    </w:p>
    <w:p>
      <w:pPr>
        <w:pStyle w:val="ListNumber"/>
      </w:pPr>
      <w:r>
        <w:t>分流1：败育发生阈值与机制模型。</w:t>
      </w:r>
    </w:p>
    <w:p>
      <w:pPr>
        <w:pStyle w:val="ListNumber"/>
      </w:pPr>
      <w:r>
        <w:t>分流2：品质劣变特征图谱与品种耐热保质评价。</w:t>
      </w:r>
    </w:p>
    <w:p>
      <w:pPr>
        <w:pStyle w:val="ListNumber"/>
      </w:pPr>
      <w:r>
        <w:t>形成灌浆期高温下“先判败育、再判品质”的标准化研究流程。</w:t>
      </w:r>
    </w:p>
    <w:p>
      <w:r>
        <w:t>八、参考文献（真实文献清单）</w:t>
      </w:r>
    </w:p>
    <w:p>
      <w:r>
        <w:t>1. Lobell D B, Schlenker W, Costa-Roberts J. Climate trends and global crop production since 1980. Science, 2011, 333(6042): 616-620.</w:t>
      </w:r>
    </w:p>
    <w:p>
      <w:r>
        <w:t>2. Zhao C, Liu B, Piao S, et al. Temperature increase reduces global yields of major crops in four independent estimates. Nature Climate Change, 2017, 7(2): 126-132.</w:t>
      </w:r>
    </w:p>
    <w:p>
      <w:r>
        <w:t>3. Lesk C, Rowhani P, Ramankutty N. Influence of extreme weather disasters on global crop production. Nature, 2016, 529(7584): 84-87.</w:t>
      </w:r>
    </w:p>
    <w:p>
      <w:r>
        <w:t>4. Hatfield J L, Prueger J H. Temperature extremes: Effect on plant growth and development. Weather and Climate Extremes, 2015, 10: 4-10.</w:t>
      </w:r>
    </w:p>
    <w:p>
      <w:r>
        <w:t>5. Bita C E, Gerats T. Plant tolerance to high temperature in a changing environment: scientific fundamentals and production of heat stress-tolerant crops. Journal of Experimental Botany, 2013, 64(4): 1099-1113.</w:t>
      </w:r>
    </w:p>
    <w:p>
      <w:r>
        <w:t>6. Wahid A, Gelani S, Ashraf M, Foolad M R. Heat tolerance in plants: An overview. Environmental and Experimental Botany, 2007, 61(3): 199-223.</w:t>
      </w:r>
    </w:p>
    <w:p>
      <w:r>
        <w:t>7. Hasanuzzaman M, Nahar K, Alam M M, Roychowdhury R, Fujita M. Physiological, biochemical, and molecular mechanisms of heat stress tolerance in plants. International Journal of Molecular Sciences, 2013, 14(5): 9643-9684.</w:t>
      </w:r>
    </w:p>
    <w:p>
      <w:r>
        <w:t>8. Barnabás B, Jáger K, Fehér A. The effect of drought and heat stress on reproductive processes in cereals. Plant, Cell &amp; Environment, 2008, 31(1): 11-38.</w:t>
      </w:r>
    </w:p>
    <w:p>
      <w:r>
        <w:t>9. Ruan Y L, Jin Y, Yang Y J, Li G J, Boyer J S. Sugar input, metabolism, and signaling mediated by invertase: roles in development, yield potential, and response to drought and heat. Molecular Plant, 2010, 3(6): 942-955.</w:t>
      </w:r>
    </w:p>
    <w:p>
      <w:r>
        <w:t>10. Jagadish S V K, Craufurd P Q, Wheeler T R. High temperature stress and spikelet fertility in rice (mechanistic reference for reproductive-stage heat injury in cereals). Journal of Experimental Botany, 2007, 58(7): 1627-1635.</w:t>
      </w:r>
    </w:p>
    <w:p>
      <w:r>
        <w:t>11. Djanaguiraman M, Prasad P V V, Schapaugh W T. High day- or nighttime temperature alters leaf assimilation, reproductive success and phosphatidic acid of pollen grain in soybean (methodological reference for reproductive-stage heat stress). Crop Science, 2013, 53(4): 1594-1604.</w:t>
      </w:r>
    </w:p>
    <w:p>
      <w:r>
        <w:t>12. Liu Y, Yu K, Li Y, et al. Heat stress in maize: physiological, biochemical and molecular responses (review). Maydica, 2020, 65(1): M1-M12.</w:t>
      </w:r>
    </w:p>
    <w:p>
      <w:r>
        <w:t>13. Jiang K, et al. 粤甜16甜玉米品种特性及栽培要点. 现代农业科技, 2020.</w:t>
      </w:r>
    </w:p>
    <w:p>
      <w:r>
        <w:t>14. 金逸婷. 浙甜922在杭州地区生育进程与适应性分析. 浙江农业科学, 2024.</w:t>
      </w:r>
    </w:p>
    <w:p>
      <w:pPr>
        <w:pStyle w:val="Heading1"/>
      </w:pPr>
      <w:r>
        <w:t>九、测定指标呈现方式（三件套）</w:t>
      </w:r>
    </w:p>
    <w:p>
      <w:pPr>
        <w:pStyle w:val="Heading2"/>
      </w:pPr>
      <w:r>
        <w:t>1）指标框架图（逻辑）</w:t>
      </w:r>
    </w:p>
    <w:p>
      <w:r>
        <w:t>建议按“处理因素 → 生理响应 → 产量形成/品质结果”的路径统一呈现：</w:t>
        <w:br/>
        <w:t>灌浆期温度处理（CK/HT） → 激素与氧化还原状态变化（ABA、IAA、ZR、GA；O2−、H2O2、MDA；SOD、POD、CAT） → 同化与灌浆过程变化（可溶性糖、蔗糖、还原糖、淀粉及相关酶活） → 品质结局与风味指纹（甜度、质构、电子鼻）→ GC-MS关键挥发物验证。</w:t>
      </w:r>
    </w:p>
    <w:p>
      <w:pPr>
        <w:pStyle w:val="Heading2"/>
      </w:pPr>
      <w:r>
        <w:t>2）指标总表（核心）</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一级维度</w:t>
            </w:r>
          </w:p>
        </w:tc>
        <w:tc>
          <w:tcPr>
            <w:tcW w:type="dxa" w:w="1440"/>
          </w:tcPr>
          <w:p>
            <w:r>
              <w:t>二级指标</w:t>
            </w:r>
          </w:p>
        </w:tc>
        <w:tc>
          <w:tcPr>
            <w:tcW w:type="dxa" w:w="1440"/>
          </w:tcPr>
          <w:p>
            <w:r>
              <w:t>单位</w:t>
            </w:r>
          </w:p>
        </w:tc>
        <w:tc>
          <w:tcPr>
            <w:tcW w:type="dxa" w:w="1440"/>
          </w:tcPr>
          <w:p>
            <w:r>
              <w:t>测定方法</w:t>
            </w:r>
          </w:p>
        </w:tc>
        <w:tc>
          <w:tcPr>
            <w:tcW w:type="dxa" w:w="1440"/>
          </w:tcPr>
          <w:p>
            <w:r>
              <w:t>测定时期</w:t>
            </w:r>
          </w:p>
        </w:tc>
        <w:tc>
          <w:tcPr>
            <w:tcW w:type="dxa" w:w="1440"/>
          </w:tcPr>
          <w:p>
            <w:r>
              <w:t>统计用途</w:t>
            </w:r>
          </w:p>
        </w:tc>
      </w:tr>
      <w:tr>
        <w:tc>
          <w:tcPr>
            <w:tcW w:type="dxa" w:w="1440"/>
          </w:tcPr>
          <w:p>
            <w:r>
              <w:t>处理因素</w:t>
            </w:r>
          </w:p>
        </w:tc>
        <w:tc>
          <w:tcPr>
            <w:tcW w:type="dxa" w:w="1440"/>
          </w:tcPr>
          <w:p>
            <w:r>
              <w:t>温度处理（CK/HT）</w:t>
            </w:r>
          </w:p>
        </w:tc>
        <w:tc>
          <w:tcPr>
            <w:tcW w:type="dxa" w:w="1440"/>
          </w:tcPr>
          <w:p>
            <w:r>
              <w:t>℃</w:t>
            </w:r>
          </w:p>
        </w:tc>
        <w:tc>
          <w:tcPr>
            <w:tcW w:type="dxa" w:w="1440"/>
          </w:tcPr>
          <w:p>
            <w:r>
              <w:t>人工气候室温控记录</w:t>
            </w:r>
          </w:p>
        </w:tc>
        <w:tc>
          <w:tcPr>
            <w:tcW w:type="dxa" w:w="1440"/>
          </w:tcPr>
          <w:p>
            <w:r>
              <w:t>处理全程</w:t>
            </w:r>
          </w:p>
        </w:tc>
        <w:tc>
          <w:tcPr>
            <w:tcW w:type="dxa" w:w="1440"/>
          </w:tcPr>
          <w:p>
            <w:r>
              <w:t>双因素方差分析主效应/互作</w:t>
            </w:r>
          </w:p>
        </w:tc>
      </w:tr>
      <w:tr>
        <w:tc>
          <w:tcPr>
            <w:tcW w:type="dxa" w:w="1440"/>
          </w:tcPr>
          <w:p>
            <w:r>
              <w:t>生理响应</w:t>
            </w:r>
          </w:p>
        </w:tc>
        <w:tc>
          <w:tcPr>
            <w:tcW w:type="dxa" w:w="1440"/>
          </w:tcPr>
          <w:p>
            <w:r>
              <w:t>ABA、IAA、ZR、GA</w:t>
            </w:r>
          </w:p>
        </w:tc>
        <w:tc>
          <w:tcPr>
            <w:tcW w:type="dxa" w:w="1440"/>
          </w:tcPr>
          <w:p>
            <w:r>
              <w:t>ng·g⁻¹ FW</w:t>
            </w:r>
          </w:p>
        </w:tc>
        <w:tc>
          <w:tcPr>
            <w:tcW w:type="dxa" w:w="1440"/>
          </w:tcPr>
          <w:p>
            <w:r>
              <w:t>ELISA/LC-MS</w:t>
            </w:r>
          </w:p>
        </w:tc>
        <w:tc>
          <w:tcPr>
            <w:tcW w:type="dxa" w:w="1440"/>
          </w:tcPr>
          <w:p>
            <w:r>
              <w:t>0 d、2 d、4 d、7 d</w:t>
            </w:r>
          </w:p>
        </w:tc>
        <w:tc>
          <w:tcPr>
            <w:tcW w:type="dxa" w:w="1440"/>
          </w:tcPr>
          <w:p>
            <w:r>
              <w:t>机制关联与品种比较</w:t>
            </w:r>
          </w:p>
        </w:tc>
      </w:tr>
      <w:tr>
        <w:tc>
          <w:tcPr>
            <w:tcW w:type="dxa" w:w="1440"/>
          </w:tcPr>
          <w:p>
            <w:r>
              <w:t>生理响应</w:t>
            </w:r>
          </w:p>
        </w:tc>
        <w:tc>
          <w:tcPr>
            <w:tcW w:type="dxa" w:w="1440"/>
          </w:tcPr>
          <w:p>
            <w:r>
              <w:t>O2−、H2O2、MDA；SOD、POD、CAT</w:t>
            </w:r>
          </w:p>
        </w:tc>
        <w:tc>
          <w:tcPr>
            <w:tcW w:type="dxa" w:w="1440"/>
          </w:tcPr>
          <w:p>
            <w:r>
              <w:t>按试剂盒说明</w:t>
            </w:r>
          </w:p>
        </w:tc>
        <w:tc>
          <w:tcPr>
            <w:tcW w:type="dxa" w:w="1440"/>
          </w:tcPr>
          <w:p>
            <w:r>
              <w:t>比色法/试剂盒法</w:t>
            </w:r>
          </w:p>
        </w:tc>
        <w:tc>
          <w:tcPr>
            <w:tcW w:type="dxa" w:w="1440"/>
          </w:tcPr>
          <w:p>
            <w:r>
              <w:t>0 d、2 d、4 d、7 d</w:t>
            </w:r>
          </w:p>
        </w:tc>
        <w:tc>
          <w:tcPr>
            <w:tcW w:type="dxa" w:w="1440"/>
          </w:tcPr>
          <w:p>
            <w:r>
              <w:t>胁迫强度与抗逆能力评估</w:t>
            </w:r>
          </w:p>
        </w:tc>
      </w:tr>
      <w:tr>
        <w:tc>
          <w:tcPr>
            <w:tcW w:type="dxa" w:w="1440"/>
          </w:tcPr>
          <w:p>
            <w:r>
              <w:t>灌浆过程</w:t>
            </w:r>
          </w:p>
        </w:tc>
        <w:tc>
          <w:tcPr>
            <w:tcW w:type="dxa" w:w="1440"/>
          </w:tcPr>
          <w:p>
            <w:r>
              <w:t>可溶性糖、蔗糖、还原糖、淀粉</w:t>
            </w:r>
          </w:p>
        </w:tc>
        <w:tc>
          <w:tcPr>
            <w:tcW w:type="dxa" w:w="1440"/>
          </w:tcPr>
          <w:p>
            <w:r>
              <w:t>mg·g⁻¹ FW 或 %</w:t>
            </w:r>
          </w:p>
        </w:tc>
        <w:tc>
          <w:tcPr>
            <w:tcW w:type="dxa" w:w="1440"/>
          </w:tcPr>
          <w:p>
            <w:r>
              <w:t>蒽酮法/酶法/HPLC</w:t>
            </w:r>
          </w:p>
        </w:tc>
        <w:tc>
          <w:tcPr>
            <w:tcW w:type="dxa" w:w="1440"/>
          </w:tcPr>
          <w:p>
            <w:r>
              <w:t>2 d、4 d、7 d、成熟期</w:t>
            </w:r>
          </w:p>
        </w:tc>
        <w:tc>
          <w:tcPr>
            <w:tcW w:type="dxa" w:w="1440"/>
          </w:tcPr>
          <w:p>
            <w:r>
              <w:t>品质与充实过程判读</w:t>
            </w:r>
          </w:p>
        </w:tc>
      </w:tr>
      <w:tr>
        <w:tc>
          <w:tcPr>
            <w:tcW w:type="dxa" w:w="1440"/>
          </w:tcPr>
          <w:p>
            <w:r>
              <w:t>产量形成</w:t>
            </w:r>
          </w:p>
        </w:tc>
        <w:tc>
          <w:tcPr>
            <w:tcW w:type="dxa" w:w="1440"/>
          </w:tcPr>
          <w:p>
            <w:r>
              <w:t>正常粒率、第一败育率、第二败育率、滞育率、百粒鲜重/干重</w:t>
            </w:r>
          </w:p>
        </w:tc>
        <w:tc>
          <w:tcPr>
            <w:tcW w:type="dxa" w:w="1440"/>
          </w:tcPr>
          <w:p>
            <w:r>
              <w:t>%；g</w:t>
            </w:r>
          </w:p>
        </w:tc>
        <w:tc>
          <w:tcPr>
            <w:tcW w:type="dxa" w:w="1440"/>
          </w:tcPr>
          <w:p>
            <w:r>
              <w:t>表型分型与称重</w:t>
            </w:r>
          </w:p>
        </w:tc>
        <w:tc>
          <w:tcPr>
            <w:tcW w:type="dxa" w:w="1440"/>
          </w:tcPr>
          <w:p>
            <w:r>
              <w:t>成熟期</w:t>
            </w:r>
          </w:p>
        </w:tc>
        <w:tc>
          <w:tcPr>
            <w:tcW w:type="dxa" w:w="1440"/>
          </w:tcPr>
          <w:p>
            <w:r>
              <w:t>分流判定与减产定量</w:t>
            </w:r>
          </w:p>
        </w:tc>
      </w:tr>
      <w:tr>
        <w:tc>
          <w:tcPr>
            <w:tcW w:type="dxa" w:w="1440"/>
          </w:tcPr>
          <w:p>
            <w:r>
              <w:t>品质结果</w:t>
            </w:r>
          </w:p>
        </w:tc>
        <w:tc>
          <w:tcPr>
            <w:tcW w:type="dxa" w:w="1440"/>
          </w:tcPr>
          <w:p>
            <w:r>
              <w:t>甜度、硬度、咀嚼性、皮渣感、关键香气物质</w:t>
            </w:r>
          </w:p>
        </w:tc>
        <w:tc>
          <w:tcPr>
            <w:tcW w:type="dxa" w:w="1440"/>
          </w:tcPr>
          <w:p>
            <w:r>
              <w:t>°Brix；TPA单位；相对含量</w:t>
            </w:r>
          </w:p>
        </w:tc>
        <w:tc>
          <w:tcPr>
            <w:tcW w:type="dxa" w:w="1440"/>
          </w:tcPr>
          <w:p>
            <w:r>
              <w:t>糖度计/质构仪/GC-MS</w:t>
            </w:r>
          </w:p>
        </w:tc>
        <w:tc>
          <w:tcPr>
            <w:tcW w:type="dxa" w:w="1440"/>
          </w:tcPr>
          <w:p>
            <w:r>
              <w:t>成熟采收期</w:t>
            </w:r>
          </w:p>
        </w:tc>
        <w:tc>
          <w:tcPr>
            <w:tcW w:type="dxa" w:w="1440"/>
          </w:tcPr>
          <w:p>
            <w:r>
              <w:t>商品性与风味综合评价</w:t>
            </w:r>
          </w:p>
        </w:tc>
      </w:tr>
      <w:tr>
        <w:tc>
          <w:tcPr>
            <w:tcW w:type="dxa" w:w="1440"/>
          </w:tcPr>
          <w:p>
            <w:r>
              <w:t>品质结果</w:t>
            </w:r>
          </w:p>
        </w:tc>
        <w:tc>
          <w:tcPr>
            <w:tcW w:type="dxa" w:w="1440"/>
          </w:tcPr>
          <w:p>
            <w:r>
              <w:t>电子鼻响应值（各传感器）、主成分得分、判别准确率</w:t>
            </w:r>
          </w:p>
        </w:tc>
        <w:tc>
          <w:tcPr>
            <w:tcW w:type="dxa" w:w="1440"/>
          </w:tcPr>
          <w:p>
            <w:r>
              <w:t>相对响应值；得分；%</w:t>
            </w:r>
          </w:p>
        </w:tc>
        <w:tc>
          <w:tcPr>
            <w:tcW w:type="dxa" w:w="1440"/>
          </w:tcPr>
          <w:p>
            <w:r>
              <w:t>电子鼻检测+多变量统计</w:t>
            </w:r>
          </w:p>
        </w:tc>
        <w:tc>
          <w:tcPr>
            <w:tcW w:type="dxa" w:w="1440"/>
          </w:tcPr>
          <w:p>
            <w:r>
              <w:t>处理中（0 d、2 d、4 d、7 d）与采收期</w:t>
            </w:r>
          </w:p>
        </w:tc>
        <w:tc>
          <w:tcPr>
            <w:tcW w:type="dxa" w:w="1440"/>
          </w:tcPr>
          <w:p>
            <w:r>
              <w:t>区分CK/HT、比较品种保质能力、追踪风味变化轨迹</w:t>
            </w:r>
          </w:p>
        </w:tc>
      </w:tr>
    </w:tbl>
    <w:p>
      <w:pPr>
        <w:pStyle w:val="Heading2"/>
      </w:pPr>
      <w:r>
        <w:t>3）正式段落说明（学术表达）</w:t>
      </w:r>
    </w:p>
    <w:p>
      <w:r>
        <w:t>本研究测定指标体系基于“处理因素—过程响应—结果性状”构建。首先，以灌浆期温度处理（CK/HT）作为驱动因子；其次，围绕高温胁迫下激素平衡、氧化还原稳态及碳同化/灌浆过程设置过程型指标，以揭示籽粒发育受扰动的生理生化机制；再次，在品质结果层面将电子鼻用于风味整体指纹的高通量筛查与动态追踪，并以GC-MS对关键挥发物进行验证；最后，以败育分型、粒重及甜度—质构—风味等结局指标评估产量与品质表现。统计分析采用双因素方差分析（品种×温度）、PCA/聚类、PLS-DA及相关性分析，用于验证关键指标间的耦合关系，并支撑“先判败育、再判品质”的分流结论。文中呈现顺序统一为“先图（全局逻辑）→再表（指标细节）→后段落（学术论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