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40996">
      <w:pPr>
        <w:pStyle w:val="2"/>
      </w:pPr>
      <w:r>
        <w:rPr>
          <w:rFonts w:hint="eastAsia"/>
        </w:rPr>
        <w:t>2</w:t>
      </w:r>
      <w:r>
        <w:t>0220614</w:t>
      </w:r>
      <w:r>
        <w:rPr>
          <w:rFonts w:hint="eastAsia"/>
        </w:rPr>
        <w:t>首发星飞轮A故障</w:t>
      </w:r>
      <w:bookmarkStart w:id="0" w:name="_GoBack"/>
      <w:bookmarkEnd w:id="0"/>
    </w:p>
    <w:p w14:paraId="43F63842">
      <w:pPr>
        <w:pStyle w:val="3"/>
      </w:pPr>
      <w:r>
        <w:rPr>
          <w:rFonts w:hint="eastAsia"/>
        </w:rPr>
        <w:t>问题描述</w:t>
      </w:r>
    </w:p>
    <w:p w14:paraId="52E51750">
      <w:pPr>
        <w:ind w:firstLine="480"/>
      </w:pPr>
      <w:r>
        <w:rPr>
          <w:rFonts w:hint="eastAsia"/>
        </w:rPr>
        <w:t>6</w:t>
      </w:r>
      <w:r>
        <w:t>.14</w:t>
      </w:r>
      <w:r>
        <w:rPr>
          <w:rFonts w:hint="eastAsia"/>
        </w:rPr>
        <w:t>号在轨测控发现飞轮A报故。查看遥测，卫星1</w:t>
      </w:r>
      <w:r>
        <w:t>0</w:t>
      </w:r>
      <w:r>
        <w:rPr>
          <w:rFonts w:hint="eastAsia"/>
        </w:rPr>
        <w:t>点5</w:t>
      </w:r>
      <w:r>
        <w:t>8</w:t>
      </w:r>
      <w:r>
        <w:rPr>
          <w:rFonts w:hint="eastAsia"/>
        </w:rPr>
        <w:t>出境时飞轮A正常，下一轨1</w:t>
      </w:r>
      <w:r>
        <w:t>2</w:t>
      </w:r>
      <w:r>
        <w:rPr>
          <w:rFonts w:hint="eastAsia"/>
        </w:rPr>
        <w:t>点0</w:t>
      </w:r>
      <w:r>
        <w:t>6</w:t>
      </w:r>
      <w:r>
        <w:rPr>
          <w:rFonts w:hint="eastAsia"/>
        </w:rPr>
        <w:t>入境时，飞轮A已经故障。</w:t>
      </w:r>
    </w:p>
    <w:p w14:paraId="39BC27C9">
      <w:pPr>
        <w:pStyle w:val="6"/>
        <w:rPr>
          <w:rFonts w:asciiTheme="majorEastAsia" w:hAnsiTheme="majorEastAsia" w:eastAsiaTheme="majorEastAsia"/>
          <w:sz w:val="24"/>
          <w:szCs w:val="24"/>
        </w:rPr>
      </w:pPr>
      <w:r>
        <w:drawing>
          <wp:inline distT="0" distB="0" distL="0" distR="0">
            <wp:extent cx="5274310" cy="2350135"/>
            <wp:effectExtent l="0" t="0" r="8890" b="1206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6"/>
                    <a:stretch>
                      <a:fillRect/>
                    </a:stretch>
                  </pic:blipFill>
                  <pic:spPr>
                    <a:xfrm>
                      <a:off x="0" y="0"/>
                      <a:ext cx="5274310" cy="2350352"/>
                    </a:xfrm>
                    <a:prstGeom prst="rect">
                      <a:avLst/>
                    </a:prstGeom>
                  </pic:spPr>
                </pic:pic>
              </a:graphicData>
            </a:graphic>
          </wp:inline>
        </w:drawing>
      </w:r>
    </w:p>
    <w:p w14:paraId="024F2E0E">
      <w:pPr>
        <w:pStyle w:val="6"/>
      </w:pPr>
      <w:r>
        <w:t>图</w:t>
      </w:r>
      <w:r>
        <w:rPr>
          <w:rFonts w:hint="eastAsia"/>
        </w:rPr>
        <w:t>1</w:t>
      </w:r>
      <w:r>
        <w:t xml:space="preserve"> </w:t>
      </w:r>
      <w:r>
        <w:rPr>
          <w:rFonts w:hint="eastAsia"/>
        </w:rPr>
        <w:t>飞轮故障前后状态</w:t>
      </w:r>
    </w:p>
    <w:p w14:paraId="4F1AD187">
      <w:pPr>
        <w:ind w:firstLine="480"/>
        <w:rPr>
          <w:rFonts w:hint="eastAsia"/>
        </w:rPr>
      </w:pPr>
      <w:r>
        <w:rPr>
          <w:rFonts w:hint="eastAsia"/>
        </w:rPr>
        <w:t>GS-1a卫星飞轮</w:t>
      </w:r>
      <w:r>
        <w:t>在接收到转速指令后，转速反馈为</w:t>
      </w:r>
      <w:r>
        <w:rPr>
          <w:rFonts w:hint="eastAsia"/>
        </w:rPr>
        <w:t>0，转矩反馈为最大值为</w:t>
      </w:r>
      <w:r>
        <w:t>50mNm，电流值约</w:t>
      </w:r>
      <w:r>
        <w:rPr>
          <w:rFonts w:hint="eastAsia"/>
        </w:rPr>
        <w:t>4</w:t>
      </w:r>
      <w:r>
        <w:t>00mA，飞轮功耗约</w:t>
      </w:r>
      <w:r>
        <w:rPr>
          <w:rFonts w:hint="eastAsia"/>
        </w:rPr>
        <w:t>1</w:t>
      </w:r>
      <w:r>
        <w:t>2W。故障之前的飞轮转速约在</w:t>
      </w:r>
      <w:r>
        <w:rPr>
          <w:rFonts w:hint="eastAsia"/>
        </w:rPr>
        <w:t>+1</w:t>
      </w:r>
      <w:r>
        <w:t>000rpm</w:t>
      </w:r>
      <w:r>
        <w:rPr>
          <w:rFonts w:hint="eastAsia"/>
        </w:rPr>
        <w:t>/</w:t>
      </w:r>
      <w:r>
        <w:t>-</w:t>
      </w:r>
      <w:r>
        <w:rPr>
          <w:rFonts w:hint="eastAsia"/>
        </w:rPr>
        <w:t>1</w:t>
      </w:r>
      <w:r>
        <w:t>000rpm左右</w:t>
      </w:r>
      <w:r>
        <w:rPr>
          <w:rFonts w:hint="eastAsia"/>
        </w:rPr>
        <w:t>，</w:t>
      </w:r>
      <w:r>
        <w:t>反馈力矩数据也比较接近，在2mNm左右</w:t>
      </w:r>
      <w:r>
        <w:rPr>
          <w:rFonts w:hint="eastAsia"/>
        </w:rPr>
        <w:t>。</w:t>
      </w:r>
    </w:p>
    <w:p w14:paraId="46C37048">
      <w:pPr>
        <w:pStyle w:val="3"/>
      </w:pPr>
      <w:r>
        <w:rPr>
          <w:rFonts w:hint="eastAsia"/>
        </w:rPr>
        <w:t>问题定位</w:t>
      </w:r>
    </w:p>
    <w:p w14:paraId="1F27FDF6">
      <w:pPr>
        <w:ind w:firstLine="480"/>
      </w:pPr>
      <w:r>
        <w:rPr>
          <w:rFonts w:hint="eastAsia"/>
        </w:rPr>
        <w:t>根据问题现象及问题分析，飞轮堵转的可行性为以下三种：</w:t>
      </w:r>
    </w:p>
    <w:p w14:paraId="5C467C2A">
      <w:pPr>
        <w:ind w:firstLine="480"/>
      </w:pPr>
      <w:r>
        <w:rPr>
          <w:rFonts w:hint="eastAsia"/>
        </w:rPr>
        <w:t>1）主备霍尔传感器均故障。</w:t>
      </w:r>
    </w:p>
    <w:p w14:paraId="17164122">
      <w:pPr>
        <w:ind w:firstLine="480"/>
      </w:pPr>
      <w:r>
        <w:rPr>
          <w:rFonts w:hint="eastAsia"/>
        </w:rPr>
        <w:t>2）轴承故障。</w:t>
      </w:r>
    </w:p>
    <w:p w14:paraId="4BCD8214">
      <w:pPr>
        <w:ind w:firstLine="480"/>
      </w:pPr>
      <w:r>
        <w:rPr>
          <w:rFonts w:hint="eastAsia"/>
        </w:rPr>
        <w:t>3）多余物导致堵转。</w:t>
      </w:r>
    </w:p>
    <w:p w14:paraId="79477C12">
      <w:pPr>
        <w:ind w:firstLine="480"/>
      </w:pPr>
      <w:r>
        <w:rPr>
          <w:rFonts w:hint="eastAsia"/>
        </w:rPr>
        <w:t>对在轨飞轮进行故障处置，结果如下：</w:t>
      </w:r>
    </w:p>
    <w:p w14:paraId="466FB321">
      <w:pPr>
        <w:ind w:firstLine="480"/>
      </w:pPr>
      <w:r>
        <w:rPr>
          <w:rFonts w:hint="eastAsia"/>
        </w:rPr>
        <w:t>1）发送正向转速指令5</w:t>
      </w:r>
      <w:r>
        <w:t>00</w:t>
      </w:r>
      <w:r>
        <w:rPr>
          <w:rFonts w:hint="eastAsia"/>
        </w:rPr>
        <w:t>rpm，飞轮无反应。</w:t>
      </w:r>
    </w:p>
    <w:p w14:paraId="4637C4BE">
      <w:pPr>
        <w:ind w:firstLine="480"/>
      </w:pPr>
      <w:r>
        <w:rPr>
          <w:rFonts w:hint="eastAsia"/>
        </w:rPr>
        <w:t>2）将霍尔切为备份，发送正向转速指令5</w:t>
      </w:r>
      <w:r>
        <w:t>00</w:t>
      </w:r>
      <w:r>
        <w:rPr>
          <w:rFonts w:hint="eastAsia"/>
        </w:rPr>
        <w:t>rpm，，飞轮无反应。</w:t>
      </w:r>
    </w:p>
    <w:p w14:paraId="64837900">
      <w:pPr>
        <w:ind w:firstLine="480"/>
      </w:pPr>
      <w:r>
        <w:rPr>
          <w:rFonts w:hint="eastAsia"/>
        </w:rPr>
        <w:t>3）发送正向开环指令，飞轮无反应。</w:t>
      </w:r>
    </w:p>
    <w:p w14:paraId="22C5D5E2">
      <w:pPr>
        <w:ind w:firstLine="480"/>
      </w:pPr>
      <w:r>
        <w:rPr>
          <w:rFonts w:hint="eastAsia"/>
        </w:rPr>
        <w:t>4）发送负向转速指令-5</w:t>
      </w:r>
      <w:r>
        <w:t>00</w:t>
      </w:r>
      <w:r>
        <w:rPr>
          <w:rFonts w:hint="eastAsia"/>
        </w:rPr>
        <w:t>rpm，飞轮开始转动。</w:t>
      </w:r>
    </w:p>
    <w:p w14:paraId="1AAB13A0">
      <w:pPr>
        <w:ind w:firstLine="480"/>
      </w:pPr>
      <w:r>
        <w:rPr>
          <w:rFonts w:hint="eastAsia"/>
        </w:rPr>
        <w:t>5）重新将飞轮接入闭环，飞轮后续工作正常。</w:t>
      </w:r>
    </w:p>
    <w:p w14:paraId="52DCB0DC">
      <w:pPr>
        <w:ind w:firstLine="480"/>
        <w:rPr>
          <w:rFonts w:hint="eastAsia"/>
        </w:rPr>
      </w:pPr>
      <w:r>
        <w:rPr>
          <w:rFonts w:hint="eastAsia"/>
        </w:rPr>
        <w:t>飞轮</w:t>
      </w:r>
      <w:r>
        <w:t xml:space="preserve">A </w:t>
      </w:r>
      <w:r>
        <w:rPr>
          <w:rFonts w:hint="eastAsia"/>
        </w:rPr>
        <w:t>在接收负向指令后，开始启转，之后一致工作正常。</w:t>
      </w:r>
    </w:p>
    <w:p w14:paraId="7779C1E8">
      <w:pPr>
        <w:ind w:firstLine="480"/>
      </w:pPr>
      <w:r>
        <w:rPr>
          <w:rFonts w:hint="eastAsia"/>
        </w:rPr>
        <w:t>飞轮</w:t>
      </w:r>
      <w:r>
        <w:t xml:space="preserve">A </w:t>
      </w:r>
      <w:r>
        <w:rPr>
          <w:rFonts w:hint="eastAsia"/>
        </w:rPr>
        <w:t>在接收负向指令后，开始启转，之后一致工作正常。因此可以排除霍尔故障可能性。将原因缩小为：</w:t>
      </w:r>
      <w:r>
        <w:t>多余物造成</w:t>
      </w:r>
      <w:r>
        <w:rPr>
          <w:rFonts w:hint="eastAsia"/>
        </w:rPr>
        <w:t>堵转</w:t>
      </w:r>
      <w:r>
        <w:t>或轴承</w:t>
      </w:r>
      <w:r>
        <w:rPr>
          <w:rFonts w:hint="eastAsia"/>
        </w:rPr>
        <w:t>故障</w:t>
      </w:r>
      <w:r>
        <w:t>引发卡死。</w:t>
      </w:r>
    </w:p>
    <w:p w14:paraId="1510E742">
      <w:pPr>
        <w:ind w:firstLine="480"/>
      </w:pPr>
      <w:r>
        <w:rPr>
          <w:rFonts w:hint="eastAsia"/>
        </w:rPr>
        <w:t>根据卫星反馈数据。飞轮在重新正常工作后，反馈力矩偏大。</w:t>
      </w:r>
    </w:p>
    <w:p w14:paraId="448479C3">
      <w:pPr>
        <w:ind w:firstLine="480"/>
      </w:pPr>
      <w:r>
        <w:t>从图6</w:t>
      </w:r>
      <w:r>
        <w:rPr>
          <w:rFonts w:hint="eastAsia"/>
        </w:rPr>
        <w:t>我们可以看到，</w:t>
      </w:r>
      <w:r>
        <w:t>发生故障的飞轮A转速在</w:t>
      </w:r>
      <w:r>
        <w:rPr>
          <w:rFonts w:hint="eastAsia"/>
        </w:rPr>
        <w:t>3</w:t>
      </w:r>
      <w:r>
        <w:t>00rpm，其他飞轮的转速约在</w:t>
      </w:r>
      <w:r>
        <w:rPr>
          <w:rFonts w:hint="eastAsia"/>
        </w:rPr>
        <w:t>1</w:t>
      </w:r>
      <w:r>
        <w:t>000~2000rpm。而维持飞轮A的匀速运行的反馈力矩和加速力矩，要比其他飞轮偏大。</w:t>
      </w:r>
    </w:p>
    <w:p w14:paraId="293FFCD1">
      <w:pPr>
        <w:pStyle w:val="6"/>
      </w:pPr>
      <w:r>
        <w:drawing>
          <wp:inline distT="0" distB="0" distL="0" distR="0">
            <wp:extent cx="4616450" cy="1702435"/>
            <wp:effectExtent l="0" t="0" r="6350" b="12065"/>
            <wp:docPr id="17" name="图片 17" descr="C:\Users\KKX\AppData\Local\Temp\WeChat Files\a1c779ce7b54a71283db9364500fe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KKX\AppData\Local\Temp\WeChat Files\a1c779ce7b54a71283db9364500fec3.png"/>
                    <pic:cNvPicPr>
                      <a:picLocks noChangeAspect="1" noChangeArrowheads="1"/>
                    </pic:cNvPicPr>
                  </pic:nvPicPr>
                  <pic:blipFill>
                    <a:blip r:embed="rId7">
                      <a:extLst>
                        <a:ext uri="{28A0092B-C50C-407E-A947-70E740481C1C}">
                          <a14:useLocalDpi xmlns:a14="http://schemas.microsoft.com/office/drawing/2010/main" val="0"/>
                        </a:ext>
                      </a:extLst>
                    </a:blip>
                    <a:srcRect l="37821"/>
                    <a:stretch>
                      <a:fillRect/>
                    </a:stretch>
                  </pic:blipFill>
                  <pic:spPr>
                    <a:xfrm>
                      <a:off x="0" y="0"/>
                      <a:ext cx="4715323" cy="1739158"/>
                    </a:xfrm>
                    <a:prstGeom prst="rect">
                      <a:avLst/>
                    </a:prstGeom>
                    <a:noFill/>
                    <a:ln>
                      <a:noFill/>
                    </a:ln>
                  </pic:spPr>
                </pic:pic>
              </a:graphicData>
            </a:graphic>
          </wp:inline>
        </w:drawing>
      </w:r>
    </w:p>
    <w:p w14:paraId="16D2A2A3">
      <w:pPr>
        <w:pStyle w:val="6"/>
      </w:pPr>
      <w:r>
        <w:t>图20 飞轮重新运行后转速和反馈力矩数据</w:t>
      </w:r>
    </w:p>
    <w:p w14:paraId="29B61059">
      <w:pPr>
        <w:ind w:firstLine="480"/>
      </w:pPr>
      <w:r>
        <w:t>初步分析，轴承磨损和转子缝隙间有微小多余物体，产生的摩擦阻力，可能会造成此现象发生。</w:t>
      </w:r>
    </w:p>
    <w:p w14:paraId="489DE499">
      <w:pPr>
        <w:ind w:firstLine="480"/>
      </w:pPr>
      <w:r>
        <w:t>对发生故障的飞轮A，阻力矩和转速都在指标范围之内，可以不用做特殊处置，按既定的工作模式运行即可。</w:t>
      </w:r>
    </w:p>
    <w:p w14:paraId="6C57993F">
      <w:pPr>
        <w:ind w:firstLine="480"/>
      </w:pPr>
      <w:r>
        <w:t>建议飞轮持续运行一段时间，记录飞轮A的转矩反馈数据。飞轮匀速运行时，反馈力矩等值于摩擦阻力。</w:t>
      </w:r>
    </w:p>
    <w:p w14:paraId="779EF3A7">
      <w:pPr>
        <w:ind w:firstLine="480"/>
      </w:pPr>
      <w:r>
        <w:rPr>
          <w:rFonts w:hint="eastAsia"/>
        </w:rPr>
        <w:t>（1）</w:t>
      </w:r>
      <w:r>
        <w:t>若飞轮摩擦阻力继续增大，可能是轴承磨损的原因，轴承一旦发生磨损，工况会持续恶化，阻力会逐渐增大；若要判断</w:t>
      </w:r>
      <w:r>
        <w:rPr>
          <w:rFonts w:hint="eastAsia"/>
        </w:rPr>
        <w:t>为</w:t>
      </w:r>
      <w:r>
        <w:t>轴承故障还需较长一段时间的观察才可下结论。</w:t>
      </w:r>
    </w:p>
    <w:p w14:paraId="27F651EB">
      <w:pPr>
        <w:ind w:firstLine="480"/>
      </w:pPr>
      <w:r>
        <w:rPr>
          <w:rFonts w:hint="eastAsia"/>
        </w:rPr>
        <w:t>（2）</w:t>
      </w:r>
      <w:r>
        <w:t>若飞轮工作一段时间，摩擦力减少或者保持不变，可能是飞轮转子间嵌入软性多余物，如脱落三防漆、固定用的硅胶等，随着摩擦逐渐磨损，阻力矩会降低。同时生产方将对同类型的飞轮做拆解分析和相关测试，看能否复现此类现象。</w:t>
      </w:r>
    </w:p>
    <w:p w14:paraId="44F389EE">
      <w:pPr>
        <w:ind w:firstLine="480"/>
      </w:pPr>
      <w:r>
        <w:rPr>
          <w:rFonts w:hint="eastAsia"/>
        </w:rPr>
        <w:t>统计7月1</w:t>
      </w:r>
      <w:r>
        <w:t>2</w:t>
      </w:r>
      <w:r>
        <w:rPr>
          <w:rFonts w:hint="eastAsia"/>
        </w:rPr>
        <w:t>日至8月2</w:t>
      </w:r>
      <w:r>
        <w:t>6</w:t>
      </w:r>
      <w:r>
        <w:rPr>
          <w:rFonts w:hint="eastAsia"/>
        </w:rPr>
        <w:t>日飞轮A在轨数据（见附录A），存在以下规律：</w:t>
      </w:r>
    </w:p>
    <w:p w14:paraId="4DFF4DCC">
      <w:pPr>
        <w:ind w:firstLine="480"/>
      </w:pPr>
      <w:r>
        <w:rPr>
          <w:rFonts w:hint="eastAsia"/>
        </w:rPr>
        <w:t>（1）飞轮在重新正常工作后，开始时静态反馈力矩偏大（较飞轮B/C/D）。</w:t>
      </w:r>
    </w:p>
    <w:p w14:paraId="565858E2">
      <w:pPr>
        <w:ind w:firstLine="480"/>
      </w:pPr>
      <w:r>
        <w:rPr>
          <w:rFonts w:hint="eastAsia"/>
        </w:rPr>
        <w:t>（</w:t>
      </w:r>
      <w:r>
        <w:t>2</w:t>
      </w:r>
      <w:r>
        <w:rPr>
          <w:rFonts w:hint="eastAsia"/>
        </w:rPr>
        <w:t>）飞轮在工作一段时间后（7月2</w:t>
      </w:r>
      <w:r>
        <w:t>2</w:t>
      </w:r>
      <w:r>
        <w:rPr>
          <w:rFonts w:hint="eastAsia"/>
        </w:rPr>
        <w:t>日后），飞轮A静态反馈力矩逐渐减小，目前已恢复正常水平。</w:t>
      </w:r>
    </w:p>
    <w:p w14:paraId="1656C4C6">
      <w:pPr>
        <w:ind w:firstLine="480"/>
      </w:pPr>
      <w:r>
        <w:rPr>
          <w:rFonts w:hint="eastAsia"/>
        </w:rPr>
        <w:t>如果是</w:t>
      </w:r>
      <w:r>
        <w:t>轴承发生失效，飞轮工况应该越来越差，通过</w:t>
      </w:r>
      <w:r>
        <w:rPr>
          <w:rFonts w:hint="eastAsia"/>
        </w:rPr>
        <w:t>约2个月</w:t>
      </w:r>
      <w:r>
        <w:t>左右飞轮转速和反馈力矩的数据进行比较分析，虽然A飞轮力矩从较其他飞轮略大，</w:t>
      </w:r>
      <w:r>
        <w:rPr>
          <w:rFonts w:hint="eastAsia"/>
        </w:rPr>
        <w:t>但</w:t>
      </w:r>
      <w:r>
        <w:t>皆在正常范围内</w:t>
      </w:r>
      <w:r>
        <w:rPr>
          <w:rFonts w:hint="eastAsia"/>
        </w:rPr>
        <w:t>，</w:t>
      </w:r>
      <w:r>
        <w:t>长时间运行也没有进一步恶化的趋势。所以应排除轴承</w:t>
      </w:r>
      <w:r>
        <w:rPr>
          <w:rFonts w:hint="eastAsia"/>
        </w:rPr>
        <w:t>失效</w:t>
      </w:r>
      <w:r>
        <w:t>因素。</w:t>
      </w:r>
    </w:p>
    <w:p w14:paraId="19C79E46">
      <w:pPr>
        <w:ind w:firstLine="480"/>
      </w:pPr>
      <w:r>
        <w:rPr>
          <w:rFonts w:hint="eastAsia"/>
        </w:rPr>
        <w:t>如果是多余物影响飞轮堵转，A号飞轮的状况极似此种状况，脱落的胶颗粒粘附在转子上，当转子高速运行时无影响。而当转子低速运行时，静摩擦力增大，造成转子无法启动；而给与正反力矩的冲击后，较脆弱的胶粒破碎，转子回复正常运行，可能还由于碎屑的存在，造成A号飞轮在低速运行时阻力较其他飞轮略大。随着飞轮A长期运行，多余物碎屑可能会</w:t>
      </w:r>
      <w:r>
        <w:t>逐渐磨损</w:t>
      </w:r>
      <w:r>
        <w:rPr>
          <w:rFonts w:hint="eastAsia"/>
        </w:rPr>
        <w:t>，与飞轮A静态反馈力矩逐渐减小的现象也比较一致。</w:t>
      </w:r>
    </w:p>
    <w:p w14:paraId="5A7A339D">
      <w:pPr>
        <w:ind w:firstLine="480"/>
      </w:pPr>
      <w:r>
        <w:rPr>
          <w:rFonts w:hint="eastAsia"/>
        </w:rPr>
        <w:t>因此，</w:t>
      </w:r>
      <w:r>
        <w:t>A号飞轮的故障</w:t>
      </w:r>
      <w:r>
        <w:rPr>
          <w:rFonts w:hint="eastAsia"/>
        </w:rPr>
        <w:t>定位为：</w:t>
      </w:r>
      <w:r>
        <w:t>定子表面</w:t>
      </w:r>
      <w:r>
        <w:rPr>
          <w:rFonts w:hint="eastAsia"/>
        </w:rPr>
        <w:t>的</w:t>
      </w:r>
      <w:r>
        <w:t>渗胶</w:t>
      </w:r>
      <w:r>
        <w:rPr>
          <w:rFonts w:hint="eastAsia"/>
        </w:rPr>
        <w:t>在轨经过长期的高低温交变及辐照影响，胶粒脱落成为多余物，卡在转子和定子之间，在飞轮低速过零期间，较大的摩擦力造成飞轮堵转。</w:t>
      </w:r>
    </w:p>
    <w:p w14:paraId="3A1B5B8B">
      <w:pPr>
        <w:pStyle w:val="3"/>
      </w:pPr>
      <w:r>
        <w:rPr>
          <w:rFonts w:hint="eastAsia"/>
        </w:rPr>
        <w:t>处置措施</w:t>
      </w:r>
    </w:p>
    <w:p w14:paraId="62B8E383">
      <w:pPr>
        <w:ind w:firstLine="480"/>
      </w:pPr>
      <w:r>
        <w:rPr>
          <w:rFonts w:hint="eastAsia"/>
        </w:rPr>
        <w:t>对在轨飞轮进行故障处置，结果如下：</w:t>
      </w:r>
    </w:p>
    <w:p w14:paraId="69FD011D">
      <w:pPr>
        <w:ind w:firstLine="480"/>
      </w:pPr>
      <w:r>
        <w:rPr>
          <w:rFonts w:hint="eastAsia"/>
        </w:rPr>
        <w:t>1）发送正向转速指令5</w:t>
      </w:r>
      <w:r>
        <w:t>00</w:t>
      </w:r>
      <w:r>
        <w:rPr>
          <w:rFonts w:hint="eastAsia"/>
        </w:rPr>
        <w:t>rpm，飞轮无反应。</w:t>
      </w:r>
    </w:p>
    <w:p w14:paraId="2A209E49">
      <w:pPr>
        <w:ind w:firstLine="480"/>
      </w:pPr>
      <w:r>
        <w:rPr>
          <w:rFonts w:hint="eastAsia"/>
        </w:rPr>
        <w:t>2）将霍尔切为备份，发送正向转速指令5</w:t>
      </w:r>
      <w:r>
        <w:t>00</w:t>
      </w:r>
      <w:r>
        <w:rPr>
          <w:rFonts w:hint="eastAsia"/>
        </w:rPr>
        <w:t>rpm，，飞轮无反应。</w:t>
      </w:r>
    </w:p>
    <w:p w14:paraId="40652DD0">
      <w:pPr>
        <w:ind w:firstLine="480"/>
      </w:pPr>
      <w:r>
        <w:rPr>
          <w:rFonts w:hint="eastAsia"/>
        </w:rPr>
        <w:t>3）发送正向开环指令，飞轮无反应。</w:t>
      </w:r>
    </w:p>
    <w:p w14:paraId="049B4F7F">
      <w:pPr>
        <w:ind w:firstLine="480"/>
      </w:pPr>
      <w:r>
        <w:rPr>
          <w:rFonts w:hint="eastAsia"/>
        </w:rPr>
        <w:t>4）发送负向转速指令-5</w:t>
      </w:r>
      <w:r>
        <w:t>00</w:t>
      </w:r>
      <w:r>
        <w:rPr>
          <w:rFonts w:hint="eastAsia"/>
        </w:rPr>
        <w:t>rpm，飞轮开始转动。</w:t>
      </w:r>
    </w:p>
    <w:p w14:paraId="554560D3">
      <w:pPr>
        <w:ind w:firstLine="480"/>
      </w:pPr>
      <w:r>
        <w:rPr>
          <w:rFonts w:hint="eastAsia"/>
        </w:rPr>
        <w:t>5）重新将飞轮接入闭环，飞轮后续工作正常。</w:t>
      </w:r>
    </w:p>
    <w:p w14:paraId="6D878CFB">
      <w:pPr>
        <w:ind w:firstLine="480"/>
      </w:pPr>
      <w:r>
        <w:rPr>
          <w:rFonts w:hint="eastAsia"/>
        </w:rPr>
        <w:t>目前经过在轨处置，飞轮</w:t>
      </w:r>
      <w:r>
        <w:t>A已正常工作。经过两个月左右的运行，飞轮状态目前正常。</w:t>
      </w:r>
    </w:p>
    <w:p w14:paraId="04385AF9">
      <w:pPr>
        <w:ind w:firstLine="480"/>
      </w:pPr>
      <w:r>
        <w:rPr>
          <w:rFonts w:hint="eastAsia"/>
        </w:rPr>
        <w:t>飞轮</w:t>
      </w:r>
      <w:r>
        <w:t>A保持在轨正常运行，无需其它干预措施。</w:t>
      </w:r>
    </w:p>
    <w:p w14:paraId="776D7B4A">
      <w:pPr>
        <w:ind w:firstLine="480"/>
      </w:pPr>
      <w:r>
        <w:t>单机方</w:t>
      </w:r>
      <w:r>
        <w:rPr>
          <w:rFonts w:hint="eastAsia"/>
        </w:rPr>
        <w:t>对于线圈渗胶多余物现象的后续</w:t>
      </w:r>
      <w:r>
        <w:t>工艺</w:t>
      </w:r>
      <w:r>
        <w:rPr>
          <w:rFonts w:hint="eastAsia"/>
        </w:rPr>
        <w:t>改进措施如下：</w:t>
      </w:r>
    </w:p>
    <w:p w14:paraId="3E1FBCA5">
      <w:pPr>
        <w:ind w:firstLine="480"/>
      </w:pPr>
      <w:r>
        <w:rPr>
          <w:rFonts w:hint="eastAsia"/>
        </w:rPr>
        <w:t>定子线圈的生产工序如下：</w:t>
      </w:r>
    </w:p>
    <w:p w14:paraId="6294E792">
      <w:pPr>
        <w:ind w:firstLine="480"/>
      </w:pPr>
      <w:r>
        <w:t>1）我方给出定子机械结构半成品和成品尺寸图纸；</w:t>
      </w:r>
    </w:p>
    <w:p w14:paraId="0584BFE2">
      <w:pPr>
        <w:ind w:firstLine="480"/>
      </w:pPr>
      <w:r>
        <w:t>2）我方规定定子绕线结构、匝数、绕制方向；</w:t>
      </w:r>
    </w:p>
    <w:p w14:paraId="50C1ED89">
      <w:pPr>
        <w:ind w:firstLine="480"/>
      </w:pPr>
      <w:r>
        <w:t>3）我们指定所用漆包线规格、所用灌封环氧树脂品牌型号；</w:t>
      </w:r>
    </w:p>
    <w:p w14:paraId="3AC26F98">
      <w:pPr>
        <w:ind w:firstLine="480"/>
      </w:pPr>
      <w:r>
        <w:t>4）绕制过程所涉及绕线工装和加工工装由代工方负责，具体的绕线和灌封过程、工艺和后期加工，是由代工方掌握的。</w:t>
      </w:r>
    </w:p>
    <w:p w14:paraId="503FF75B">
      <w:pPr>
        <w:ind w:firstLine="480"/>
      </w:pPr>
      <w:r>
        <w:rPr>
          <w:rFonts w:hint="eastAsia"/>
        </w:rPr>
        <w:t>发生了生产方擅自在绕线过程中添加固定胶水而我们确根本不知道存在这一现象。而在装配前的工况中也没有发现。发生此类问题的缘由，在于单机方对代工方的工序细节把控不严，生产管理没有深入到绕线灌胶的细节中去。</w:t>
      </w:r>
    </w:p>
    <w:p w14:paraId="41012F6E">
      <w:pPr>
        <w:ind w:firstLine="480"/>
      </w:pPr>
      <w:r>
        <w:rPr>
          <w:rFonts w:hint="eastAsia"/>
        </w:rPr>
        <w:t>下一阶段的生产改进措施如下：</w:t>
      </w:r>
    </w:p>
    <w:p w14:paraId="658572D7">
      <w:pPr>
        <w:ind w:firstLine="480"/>
      </w:pPr>
      <w:r>
        <w:t>1）</w:t>
      </w:r>
      <w:r>
        <w:tab/>
      </w:r>
      <w:r>
        <w:t>加强目前代工方的管理，严格制定生产工艺文件，并增加检验点；</w:t>
      </w:r>
    </w:p>
    <w:p w14:paraId="4B9380D0">
      <w:pPr>
        <w:ind w:firstLine="480"/>
      </w:pPr>
      <w:r>
        <w:t>2）</w:t>
      </w:r>
      <w:r>
        <w:tab/>
      </w:r>
      <w:r>
        <w:t>对交付的定子等其他产品，进行复测，并抽样进行烘烤试验。试验温度由原来的80℃增加到100℃。</w:t>
      </w:r>
    </w:p>
    <w:p w14:paraId="1E132A95">
      <w:pPr>
        <w:ind w:firstLine="480"/>
      </w:pPr>
      <w:r>
        <w:t>3）</w:t>
      </w:r>
      <w:r>
        <w:tab/>
      </w:r>
      <w:r>
        <w:t>增加对飞轮密封焊接过程中的温度监控，虽然飞轮没有电路板在壳体内，耐温的要求不高，但也要增加温度监控，以免发生其他问题。</w:t>
      </w:r>
    </w:p>
    <w:p w14:paraId="0ADC783B"/>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D90DC0"/>
    <w:multiLevelType w:val="multilevel"/>
    <w:tmpl w:val="61D90DC0"/>
    <w:lvl w:ilvl="0" w:tentative="0">
      <w:start w:val="1"/>
      <w:numFmt w:val="decimal"/>
      <w:pStyle w:val="2"/>
      <w:suff w:val="space"/>
      <w:lvlText w:val="%1"/>
      <w:lvlJc w:val="left"/>
      <w:pPr>
        <w:ind w:left="0" w:firstLine="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suff w:val="space"/>
      <w:lvlText w:val="%1.%2.%3.%4"/>
      <w:lvlJc w:val="left"/>
      <w:pPr>
        <w:ind w:left="0" w:firstLine="0"/>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F858A3"/>
    <w:rsid w:val="206912FA"/>
    <w:rsid w:val="43F85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eastAsia="宋体" w:asciiTheme="minorHAnsi" w:hAnsiTheme="minorHAnsi" w:cstheme="minorBidi"/>
      <w:kern w:val="2"/>
      <w:sz w:val="24"/>
      <w:szCs w:val="22"/>
      <w:lang w:val="en-US" w:eastAsia="zh-CN" w:bidi="ar-SA"/>
    </w:rPr>
  </w:style>
  <w:style w:type="paragraph" w:styleId="2">
    <w:name w:val="heading 1"/>
    <w:basedOn w:val="1"/>
    <w:next w:val="1"/>
    <w:qFormat/>
    <w:uiPriority w:val="9"/>
    <w:pPr>
      <w:keepNext/>
      <w:keepLines/>
      <w:numPr>
        <w:ilvl w:val="0"/>
        <w:numId w:val="1"/>
      </w:numPr>
      <w:spacing w:before="260" w:after="260" w:line="578" w:lineRule="auto"/>
      <w:ind w:firstLineChars="0"/>
      <w:outlineLvl w:val="0"/>
    </w:pPr>
    <w:rPr>
      <w:b/>
      <w:bCs/>
      <w:kern w:val="44"/>
      <w:sz w:val="30"/>
      <w:szCs w:val="44"/>
    </w:rPr>
  </w:style>
  <w:style w:type="paragraph" w:styleId="3">
    <w:name w:val="heading 2"/>
    <w:next w:val="1"/>
    <w:unhideWhenUsed/>
    <w:qFormat/>
    <w:uiPriority w:val="9"/>
    <w:pPr>
      <w:keepNext/>
      <w:keepLines/>
      <w:numPr>
        <w:ilvl w:val="1"/>
        <w:numId w:val="1"/>
      </w:numPr>
      <w:spacing w:before="260" w:after="260" w:line="415" w:lineRule="auto"/>
      <w:outlineLvl w:val="1"/>
    </w:pPr>
    <w:rPr>
      <w:rFonts w:eastAsia="宋体" w:asciiTheme="majorHAnsi" w:hAnsiTheme="majorHAnsi" w:cstheme="majorBidi"/>
      <w:b/>
      <w:bCs/>
      <w:kern w:val="2"/>
      <w:sz w:val="28"/>
      <w:szCs w:val="3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customStyle="1" w:styleId="6">
    <w:name w:val="图表内容"/>
    <w:basedOn w:val="1"/>
    <w:next w:val="1"/>
    <w:qFormat/>
    <w:uiPriority w:val="0"/>
    <w:pPr>
      <w:ind w:firstLine="0" w:firstLineChars="0"/>
      <w:jc w:val="center"/>
    </w:pPr>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332</Words>
  <Characters>488</Characters>
  <Lines>0</Lines>
  <Paragraphs>0</Paragraphs>
  <TotalTime>0</TotalTime>
  <ScaleCrop>false</ScaleCrop>
  <LinksUpToDate>false</LinksUpToDate>
  <CharactersWithSpaces>496</CharactersWithSpaces>
  <Application>WPS Office_12.1.0.23122_F1E327BC-269C-435d-A152-05C5408002CA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2025-12-22T09:24:00Z</dcterms:created>
  <dc:creator>李</dc:creator>
  <cp:lastModifiedBy>刘綦勋</cp:lastModifiedBy>
  <dcterms:modified xsi:type="dcterms:W3CDTF">2025-12-23T11:12:00Z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2052-12.1.0.23122</vt:lpwstr>
  </property>
  <property fmtid="{D5CDD505-2E9C-101B-9397-08002B2CF9AE}" pid="3" name="ICV">
    <vt:lpwstr>087E145A236642DB8482FC6258077648_13</vt:lpwstr>
  </property>
  <property fmtid="{D5CDD505-2E9C-101B-9397-08002B2CF9AE}" pid="4" name="KSOTemplateDocerSaveRecord">
    <vt:lpwstr>eyJoZGlkIjoiNjZmNzQ0ZGFiZjhmMGE4YTliN2U5MzhjMWE2NzdkYjkiLCJ1c2VySWQiOiIxNzY2OTAxNTk0In0=</vt:lpwstr>
  </property>
</Properties>
</file>