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62828"/>
          <w:sz w:val="20"/>
          <w:szCs w:val="20"/>
        </w:rPr>
        <w:t xml:space="preserve">ETIQUETA REAL — PREPUBLISH CHECKLIST · VIDEO 2</w:t>
      </w:r>
    </w:p>
    <w:p>
      <w:pPr>
        <w:spacing w:after="60"/>
        <w:jc w:val="center"/>
      </w:pPr>
      <w:r>
        <w:rPr>
          <w:b/>
          <w:bCs/>
          <w:sz w:val="34"/>
          <w:szCs w:val="34"/>
        </w:rPr>
        <w:t xml:space="preserve">7 Marcas de Atún que Deberías Dejar de Comprar (Y 3 que Sí Cumplen)</w:t>
      </w:r>
    </w:p>
    <w:p>
      <w:pPr>
        <w:spacing w:after="300"/>
        <w:jc w:val="center"/>
      </w:pPr>
      <w:r>
        <w:rPr>
          <w:i/>
          <w:iCs/>
          <w:color w:val="555555"/>
          <w:sz w:val="20"/>
          <w:szCs w:val="20"/>
        </w:rPr>
        <w:t xml:space="preserve">Guion y stock real listos · ~26:00 · 475 beats · 46 shots verificados</w:t>
      </w:r>
    </w:p>
    <w:p>
      <w:pPr>
        <w:pStyle w:val="Heading1"/>
        <w:spacing w:after="150" w:before="300"/>
      </w:pPr>
      <w:r>
        <w:t xml:space="preserve">1. Título</w:t>
      </w:r>
    </w:p>
    <w:p>
      <w:pPr>
        <w:spacing w:after="120"/>
      </w:pPr>
      <w:r>
        <w:t xml:space="preserve">Principal (mantiene la fórmula validada de V1 — thumbnail 'ESTO NO ES ACEITE' + título explicativo):</w:t>
      </w:r>
    </w:p>
    <w:p>
      <w:pPr>
        <w:spacing w:after="60"/>
      </w:pPr>
      <w:r>
        <w:t xml:space="preserve">☐ 7 Marcas de Atún que Deberías Dejar de Comprar (Y 3 que Sí Cumplen)</w:t>
      </w:r>
    </w:p>
    <w:p>
      <w:pPr>
        <w:spacing w:after="120"/>
      </w:pPr>
      <w:r>
        <w:t xml:space="preserve">Alternativas:</w:t>
      </w:r>
    </w:p>
    <w:p>
      <w:pPr>
        <w:pStyle w:val="ListParagraph"/>
        <w:numPr>
          <w:ilvl w:val="0"/>
          <w:numId w:val="2"/>
        </w:numPr>
        <w:spacing w:after="60"/>
      </w:pPr>
      <w:r>
        <w:t xml:space="preserve">Isabel, Calvo, Hacendado... Todas Salen de las Mismas 3 Fábricas</w:t>
      </w:r>
    </w:p>
    <w:p>
      <w:pPr>
        <w:pStyle w:val="ListParagraph"/>
        <w:numPr>
          <w:ilvl w:val="0"/>
          <w:numId w:val="2"/>
        </w:numPr>
        <w:spacing w:after="60"/>
      </w:pPr>
      <w:r>
        <w:t xml:space="preserve">El Atún que Compras en tu País lo Fabrica la Misma Empresa que en Chile</w:t>
      </w:r>
    </w:p>
    <w:p>
      <w:pPr>
        <w:pStyle w:val="ListParagraph"/>
        <w:numPr>
          <w:ilvl w:val="0"/>
          <w:numId w:val="2"/>
        </w:numPr>
        <w:spacing w:after="60"/>
      </w:pPr>
      <w:r>
        <w:t xml:space="preserve">7 Marcas de Atún, 3 Dueños Reales (Ranking Completo)</w:t>
      </w:r>
    </w:p>
    <w:p>
      <w:pPr>
        <w:spacing w:after="120"/>
      </w:pPr>
      <w:r>
        <w:rPr>
          <w:i/>
          <w:iCs/>
          <w:color w:val="555555"/>
          <w:sz w:val="20"/>
          <w:szCs w:val="20"/>
        </w:rPr>
        <w:t xml:space="preserve">Palabra clave objetivo: "atún en lata" / "marcas de atún" — coherente con el patrón de V1 (Browse + Sugeridos ~95% del tráfico, casi nada de búsqueda), así que el título prioriza el gancho sobre el SEO puro.</w:t>
      </w:r>
    </w:p>
    <w:p>
      <w:pPr>
        <w:pStyle w:val="Heading1"/>
        <w:spacing w:after="150" w:before="300"/>
      </w:pPr>
      <w:r>
        <w:t xml:space="preserve">2. Miniatura (thumbnail)</w:t>
      </w:r>
    </w:p>
    <w:p>
      <w:pPr>
        <w:spacing w:after="120"/>
      </w:pPr>
      <w:r>
        <w:t xml:space="preserve">Replicar la fórmula de V1 (fondo claro, texto de veredicto stacked, producto real visible):</w:t>
      </w:r>
    </w:p>
    <w:p>
      <w:pPr>
        <w:pStyle w:val="ListParagraph"/>
        <w:numPr>
          <w:ilvl w:val="0"/>
          <w:numId w:val="2"/>
        </w:numPr>
        <w:spacing w:after="60"/>
      </w:pPr>
      <w:r>
        <w:t xml:space="preserve">Texto: "ESTO NO ES ATÚN" en mayúsculas, fuente bold tipo la de V1</w:t>
      </w:r>
    </w:p>
    <w:p>
      <w:pPr>
        <w:pStyle w:val="ListParagraph"/>
        <w:numPr>
          <w:ilvl w:val="0"/>
          <w:numId w:val="2"/>
        </w:numPr>
        <w:spacing w:after="60"/>
      </w:pPr>
      <w:r>
        <w:t xml:space="preserve">Las 7 latas del ranking alineadas y reconocibles (Isabel, Calvo, Hacendado, Robinson Crusoe, Ortiz, Nostromo, Carrefour) — el producto real, no un icono genérico</w:t>
      </w:r>
    </w:p>
    <w:p>
      <w:pPr>
        <w:pStyle w:val="ListParagraph"/>
        <w:numPr>
          <w:ilvl w:val="0"/>
          <w:numId w:val="2"/>
        </w:numPr>
        <w:spacing w:after="60"/>
      </w:pPr>
      <w:r>
        <w:t xml:space="preserve">Paleta roja/amarilla de alerta, igual que 'ESTO NO ES ACEITE'</w:t>
      </w:r>
    </w:p>
    <w:p>
      <w:pPr>
        <w:spacing w:after="60"/>
      </w:pPr>
      <w:r>
        <w:t xml:space="preserve">☐ Verificar que el diseño de miniatura es reconocible en 200×113px (tamaño de móvil)</w:t>
      </w:r>
    </w:p>
    <w:p>
      <w:pPr>
        <w:spacing w:after="60"/>
      </w:pPr>
      <w:r>
        <w:t xml:space="preserve">☐ Confirmar continuidad Miniatura → Beat 1: el primer plano del vídeo (mano sobre latas en el carrito) tiene que sentirse como la continuación directa de la miniatura — lección aprendida de V1 (fuga del 38% en el segundo 0:27)</w:t>
      </w:r>
    </w:p>
    <w:p>
      <w:pPr>
        <w:pStyle w:val="Heading1"/>
        <w:spacing w:after="150" w:before="300"/>
      </w:pPr>
      <w:r>
        <w:t xml:space="preserve">3. Descripción de YouTube</w:t>
      </w:r>
    </w:p>
    <w:p>
      <w:pPr>
        <w:spacing w:after="120"/>
      </w:pPr>
      <w:r>
        <w:t xml:space="preserve">Primeras 2 líneas (antes del "leer más" — las más importantes para CTR de búsqueda):</w:t>
      </w:r>
    </w:p>
    <w:p>
      <w:pPr>
        <w:spacing w:after="120"/>
      </w:pPr>
      <w:r>
        <w:rPr>
          <w:i/>
          <w:iCs/>
        </w:rPr>
        <w:t xml:space="preserve">¿Sabías que Isabel y Calvo, dos marcas de atún que compites por comprar en el súper, comparten accionista? Analizamos 7 marcas de atún de España y Latinoamérica — quién las fabrica de verdad, y 3 que sí son lo que dicen ser.</w:t>
      </w:r>
    </w:p>
    <w:p>
      <w:pPr>
        <w:spacing w:after="120"/>
      </w:pPr>
      <w:r>
        <w:t xml:space="preserve">Cuerpo sugerido:</w:t>
      </w:r>
    </w:p>
    <w:p>
      <w:pPr>
        <w:spacing w:after="120"/>
      </w:pPr>
      <w:r>
        <w:t>Nadie tiene tiempo de hacer un análisis de conservas de pescado marca por marca antes de meter una lata al carro. Por eso este vídeo hace ese trabajo por ti: repasamos 7 de las marcas de atún en conserva más vendidas en España y Latinoamérica — Isabel, Calvo, Hacendado, Robinson Crusoe, Ortiz, Nostromo y Carrefour — y te explicamos qué atún comprar y cuáles son, directamente, marcas de atún a evitar.</w:t>
        <w:br/>
        <w:br/>
        <w:t>Desde el peso escurrido real hasta quién fabrica de verdad cada marca detrás del nombre, esta comparativa de atún claro te enseña qué mirar antes de tu próxima compra — y por qué el atún en aceite de oliva no siempre es mejor opción que el atún al natural solo por el precio.</w:t>
        <w:br/>
        <w:br/>
        <w:t>Aquí va lo importante: el atún caro no siempre es el más seguro, y la marca blanca no siempre es la peor. Lo que casi nadie mira es la estructura del grupo que hay detrás de la marca, y eso es justo lo que determina si tienes en tu despensa un atún sano y bien trazado, o una lata que promete más de lo que cumple.</w:t>
        <w:br/>
        <w:br/>
        <w:t>También te enseñamos 3 marcas que sí ofrecen el mejor atún calidad precio de verdad, y unas reglas simples de comida real de supermercado para saber cómo elegir un buen atún sin dejarte guiar solo por el packaging.</w:t>
      </w:r>
    </w:p>
    <w:p>
      <w:pPr>
        <w:spacing w:after="120"/>
      </w:pPr>
      <w:r>
        <w:t xml:space="preserve">Fuentes usadas en este vídeo:</w:t>
      </w:r>
    </w:p>
    <w:p>
      <w:pPr>
        <w:pStyle w:val="ListParagraph"/>
        <w:numPr>
          <w:ilvl w:val="0"/>
          <w:numId w:val="2"/>
        </w:numPr>
        <w:spacing w:after="60"/>
      </w:pPr>
      <w:r>
        <w:t xml:space="preserve">Reglamento (UE) 1379/2013 — información al consumidor de productos pesqueros</w:t>
      </w:r>
    </w:p>
    <w:p>
      <w:pPr>
        <w:pStyle w:val="ListParagraph"/>
        <w:numPr>
          <w:ilvl w:val="0"/>
          <w:numId w:val="2"/>
        </w:numPr>
        <w:spacing w:after="60"/>
      </w:pPr>
      <w:r>
        <w:t xml:space="preserve">Reglamento (UE) 1881/2006 — contenido máximo de mercurio en pescado</w:t>
      </w:r>
    </w:p>
    <w:p>
      <w:pPr>
        <w:pStyle w:val="ListParagraph"/>
        <w:numPr>
          <w:ilvl w:val="0"/>
          <w:numId w:val="2"/>
        </w:numPr>
        <w:spacing w:after="60"/>
      </w:pPr>
      <w:r>
        <w:t xml:space="preserve">Reglamento (UE) 1169/2011 — información alimentaria al consumidor</w:t>
      </w:r>
    </w:p>
    <w:p>
      <w:pPr>
        <w:pStyle w:val="ListParagraph"/>
        <w:numPr>
          <w:ilvl w:val="0"/>
          <w:numId w:val="2"/>
        </w:numPr>
        <w:spacing w:after="60"/>
      </w:pPr>
      <w:r>
        <w:t xml:space="preserve">Organización de Consumidores y Usuarios (OCU), análisis de atún en lata 2024-2025</w:t>
      </w:r>
    </w:p>
    <w:p>
      <w:pPr>
        <w:pStyle w:val="ListParagraph"/>
        <w:numPr>
          <w:ilvl w:val="0"/>
          <w:numId w:val="2"/>
        </w:numPr>
        <w:spacing w:after="60"/>
      </w:pPr>
      <w:r>
        <w:t xml:space="preserve">Registros mercantiles y prensa económica sobre Grupo Calvo, Conservas Garavilla, Bolton Group y Jealsa</w:t>
      </w:r>
    </w:p>
    <w:p>
      <w:pPr>
        <w:spacing w:after="120"/>
      </w:pPr>
      <w:r>
        <w:t xml:space="preserve">Capítulos (timestamps aproximados, ajustar al montaje final):</w:t>
      </w:r>
    </w:p>
    <w:p>
      <w:r>
        <w:t>00:00 - El problema real del atún en conserva</w:t>
      </w:r>
    </w:p>
    <w:p>
      <w:r>
        <w:t>02:00 - Puesto 7: Hacendado (Mercadona)</w:t>
      </w:r>
    </w:p>
    <w:p>
      <w:r>
        <w:t>05:00 - Puesto 6: Robinson Crusoe</w:t>
      </w:r>
    </w:p>
    <w:p>
      <w:r>
        <w:t>07:30 - Puesto 5: Isabel</w:t>
      </w:r>
    </w:p>
    <w:p>
      <w:r>
        <w:t>09:00 - Por qué merece la pena suscribirte</w:t>
      </w:r>
    </w:p>
    <w:p>
      <w:r>
        <w:t>11:00 - Puesto 4: Carrefour</w:t>
      </w:r>
    </w:p>
    <w:p>
      <w:r>
        <w:t>14:00 - Puesto 3: Conservas Ortiz</w:t>
      </w:r>
    </w:p>
    <w:p>
      <w:r>
        <w:t>17:00 - Puesto 2: Nostromo</w:t>
      </w:r>
    </w:p>
    <w:p>
      <w:r>
        <w:t>19:30 - Puesto 1: Calvo</w:t>
      </w:r>
    </w:p>
    <w:p>
      <w:r>
        <w:t>22:00 - Las 3 marcas que sí cumplen</w:t>
      </w:r>
    </w:p>
    <w:p>
      <w:r>
        <w:t>24:30 - El veredicto final y cómo comprar mejor</w:t>
      </w:r>
    </w:p>
    <w:p>
      <w:r>
        <w:t>Aviso: Este vídeo tiene fines informativos y de análisis de consumo, basado en información pública y verificable (normativa UE, informes de la OCU e información corporativa de cada grupo). No sustituye un análisis de laboratorio oficial ni asesoría legal.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5F5F5" w:val="clear"/>
          </w:tcPr>
          <w:p>
            <w:r>
              <w:rPr>
                <w:b/>
                <w:bCs/>
              </w:rPr>
              <w:t xml:space="preserve">00:00</w:t>
            </w:r>
          </w:p>
        </w:tc>
        <w:tc>
          <w:tcPr>
            <w:tcW w:type="dxa" w:w="7300"/>
          </w:tcPr>
          <w:p>
            <w:r>
              <w:t xml:space="preserve">Hook — la misma empresa en dos supermercados distintos</w:t>
            </w:r>
          </w:p>
        </w:tc>
      </w:tr>
      <w:tr>
        <w:tc>
          <w:tcPr>
            <w:tcW w:type="dxa" w:w="2200"/>
            <w:shd w:fill="F5F5F5" w:val="clear"/>
          </w:tcPr>
          <w:p>
            <w:r>
              <w:rPr>
                <w:b/>
                <w:bCs/>
              </w:rPr>
              <w:t xml:space="preserve">01:30</w:t>
            </w:r>
          </w:p>
        </w:tc>
        <w:tc>
          <w:tcPr>
            <w:tcW w:type="dxa" w:w="7300"/>
          </w:tcPr>
          <w:p>
            <w:r>
              <w:t xml:space="preserve">Nº7 Hacendado</w:t>
            </w:r>
          </w:p>
        </w:tc>
      </w:tr>
      <w:tr>
        <w:tc>
          <w:tcPr>
            <w:tcW w:type="dxa" w:w="2200"/>
            <w:shd w:fill="F5F5F5" w:val="clear"/>
          </w:tcPr>
          <w:p>
            <w:r>
              <w:rPr>
                <w:b/>
                <w:bCs/>
              </w:rPr>
              <w:t xml:space="preserve">05:30</w:t>
            </w:r>
          </w:p>
        </w:tc>
        <w:tc>
          <w:tcPr>
            <w:tcW w:type="dxa" w:w="7300"/>
          </w:tcPr>
          <w:p>
            <w:r>
              <w:t xml:space="preserve">Nº6 Robinson Crusoe</w:t>
            </w:r>
          </w:p>
        </w:tc>
      </w:tr>
      <w:tr>
        <w:tc>
          <w:tcPr>
            <w:tcW w:type="dxa" w:w="2200"/>
            <w:shd w:fill="F5F5F5" w:val="clear"/>
          </w:tcPr>
          <w:p>
            <w:r>
              <w:rPr>
                <w:b/>
                <w:bCs/>
              </w:rPr>
              <w:t xml:space="preserve">09:30</w:t>
            </w:r>
          </w:p>
        </w:tc>
        <w:tc>
          <w:tcPr>
            <w:tcW w:type="dxa" w:w="7300"/>
          </w:tcPr>
          <w:p>
            <w:r>
              <w:t xml:space="preserve">Nº5 Isabel</w:t>
            </w:r>
          </w:p>
        </w:tc>
      </w:tr>
      <w:tr>
        <w:tc>
          <w:tcPr>
            <w:tcW w:type="dxa" w:w="2200"/>
            <w:shd w:fill="F5F5F5" w:val="clear"/>
          </w:tcPr>
          <w:p>
            <w:r>
              <w:rPr>
                <w:b/>
                <w:bCs/>
              </w:rPr>
              <w:t xml:space="preserve">13:30</w:t>
            </w:r>
          </w:p>
        </w:tc>
        <w:tc>
          <w:tcPr>
            <w:tcW w:type="dxa" w:w="7300"/>
          </w:tcPr>
          <w:p>
            <w:r>
              <w:t xml:space="preserve">Nº4 Carrefour</w:t>
            </w:r>
          </w:p>
        </w:tc>
      </w:tr>
      <w:tr>
        <w:tc>
          <w:tcPr>
            <w:tcW w:type="dxa" w:w="2200"/>
            <w:shd w:fill="F5F5F5" w:val="clear"/>
          </w:tcPr>
          <w:p>
            <w:r>
              <w:rPr>
                <w:b/>
                <w:bCs/>
              </w:rPr>
              <w:t xml:space="preserve">17:00</w:t>
            </w:r>
          </w:p>
        </w:tc>
        <w:tc>
          <w:tcPr>
            <w:tcW w:type="dxa" w:w="7300"/>
          </w:tcPr>
          <w:p>
            <w:r>
              <w:t xml:space="preserve">Nº3 Ortiz</w:t>
            </w:r>
          </w:p>
        </w:tc>
      </w:tr>
      <w:tr>
        <w:tc>
          <w:tcPr>
            <w:tcW w:type="dxa" w:w="2200"/>
            <w:shd w:fill="F5F5F5" w:val="clear"/>
          </w:tcPr>
          <w:p>
            <w:r>
              <w:rPr>
                <w:b/>
                <w:bCs/>
              </w:rPr>
              <w:t xml:space="preserve">19:30</w:t>
            </w:r>
          </w:p>
        </w:tc>
        <w:tc>
          <w:tcPr>
            <w:tcW w:type="dxa" w:w="7300"/>
          </w:tcPr>
          <w:p>
            <w:r>
              <w:t xml:space="preserve">Nº2 Nostromo</w:t>
            </w:r>
          </w:p>
        </w:tc>
      </w:tr>
      <w:tr>
        <w:tc>
          <w:tcPr>
            <w:tcW w:type="dxa" w:w="2200"/>
            <w:shd w:fill="F5F5F5" w:val="clear"/>
          </w:tcPr>
          <w:p>
            <w:r>
              <w:rPr>
                <w:b/>
                <w:bCs/>
              </w:rPr>
              <w:t xml:space="preserve">21:30</w:t>
            </w:r>
          </w:p>
        </w:tc>
        <w:tc>
          <w:tcPr>
            <w:tcW w:type="dxa" w:w="7300"/>
          </w:tcPr>
          <w:p>
            <w:r>
              <w:t xml:space="preserve">Nº1 Calvo</w:t>
            </w:r>
          </w:p>
        </w:tc>
      </w:tr>
      <w:tr>
        <w:tc>
          <w:tcPr>
            <w:tcW w:type="dxa" w:w="2200"/>
            <w:shd w:fill="F5F5F5" w:val="clear"/>
          </w:tcPr>
          <w:p>
            <w:r>
              <w:rPr>
                <w:b/>
                <w:bCs/>
              </w:rPr>
              <w:t xml:space="preserve">24:00</w:t>
            </w:r>
          </w:p>
        </w:tc>
        <w:tc>
          <w:tcPr>
            <w:tcW w:type="dxa" w:w="7300"/>
          </w:tcPr>
          <w:p>
            <w:r>
              <w:t xml:space="preserve">3 mejores opciones: Frinsa, Palacio de Oriente, Consorcio</w:t>
            </w:r>
          </w:p>
        </w:tc>
      </w:tr>
      <w:tr>
        <w:tc>
          <w:tcPr>
            <w:tcW w:type="dxa" w:w="2200"/>
            <w:shd w:fill="F5F5F5" w:val="clear"/>
          </w:tcPr>
          <w:p>
            <w:r>
              <w:rPr>
                <w:b/>
                <w:bCs/>
              </w:rPr>
              <w:t xml:space="preserve">25:20</w:t>
            </w:r>
          </w:p>
        </w:tc>
        <w:tc>
          <w:tcPr>
            <w:tcW w:type="dxa" w:w="7300"/>
          </w:tcPr>
          <w:p>
            <w:r>
              <w:t xml:space="preserve">La regla final + checklist</w:t>
            </w:r>
          </w:p>
        </w:tc>
      </w:tr>
    </w:tbl>
    <w:p>
      <w:pPr>
        <w:spacing w:after="120"/>
      </w:pPr>
      <w:r>
        <w:t xml:space="preserve">Cierre de descripción:</w:t>
      </w:r>
    </w:p>
    <w:p>
      <w:pPr>
        <w:spacing w:after="120"/>
      </w:pPr>
      <w:r>
        <w:rPr>
          <w:i/>
          <w:iCs/>
        </w:rPr>
        <w:t xml:space="preserve">Suscríbete si quieres el próximo análisis de marcas. Etiqueta Real analiza lo que de verdad hay detrás de la etiqueta, una categoría de producto a la vez.</w:t>
      </w:r>
    </w:p>
    <w:p>
      <w:pPr>
        <w:pStyle w:val="Heading1"/>
        <w:spacing w:after="150" w:before="300"/>
      </w:pPr>
      <w:r>
        <w:t xml:space="preserve">4. Tags / palabras clave</w:t>
      </w:r>
    </w:p>
    <w:p>
      <w:pPr>
        <w:spacing w:after="120"/>
      </w:pPr>
      <w:r>
        <w:t>atún en lata, marcas de atún, atún Isabel, atún Calvo, Hacendado atún, Robinson Crusoe atún, Conservas Ortiz, Nostromo atún, Carrefour marca blanca, Grupo Calvo, Bolton Group, Jealsa, Conservas Garavilla, mercurio en el atún, atún claro, OCU atún, etiquetado alimentario, marca blanca supermercado, conservas de pescado, mejor atún en lata, atún en conserva calidad, comparativa atún claro, que atún comprar, atún marcas a evitar, análisis conservas pescado, etiqueta real atún, atún sano, mejor atún calidad precio, atún en aceite de oliva, comida real supermercado, cómo elegir un buen atún</w:t>
      </w:r>
    </w:p>
    <w:p>
      <w:pPr>
        <w:pStyle w:val="Heading1"/>
        <w:spacing w:after="150" w:before="300"/>
      </w:pPr>
      <w:r>
        <w:t xml:space="preserve">5. Distribución</w:t>
      </w:r>
    </w:p>
    <w:p>
      <w:pPr>
        <w:pStyle w:val="Heading2"/>
        <w:spacing w:after="120" w:before="240"/>
      </w:pPr>
      <w:r>
        <w:t xml:space="preserve">Reddit (publicar el día de subida, 150-200 palabras, sin spam, aporta valor)</w:t>
      </w:r>
    </w:p>
    <w:p>
      <w:pPr>
        <w:pStyle w:val="ListParagraph"/>
        <w:numPr>
          <w:ilvl w:val="0"/>
          <w:numId w:val="2"/>
        </w:numPr>
        <w:spacing w:after="60"/>
      </w:pPr>
      <w:r>
        <w:t xml:space="preserve">r/es — ángulo Hacendado/Mercadona + Carrefour, muy activo para temas de consumo en España</w:t>
      </w:r>
    </w:p>
    <w:p>
      <w:pPr>
        <w:pStyle w:val="ListParagraph"/>
        <w:numPr>
          <w:ilvl w:val="0"/>
          <w:numId w:val="2"/>
        </w:numPr>
        <w:spacing w:after="60"/>
      </w:pPr>
      <w:r>
        <w:t xml:space="preserve">r/chile — ángulo Robinson Crusoe (el reveal más sorprendente para esta audiencia)</w:t>
      </w:r>
    </w:p>
    <w:p>
      <w:pPr>
        <w:pStyle w:val="ListParagraph"/>
        <w:numPr>
          <w:ilvl w:val="0"/>
          <w:numId w:val="2"/>
        </w:numPr>
        <w:spacing w:after="60"/>
      </w:pPr>
      <w:r>
        <w:t xml:space="preserve">r/mexico — si se retoma el ángulo de marcas mexicanas en una v2 del post</w:t>
      </w:r>
    </w:p>
    <w:p>
      <w:pPr>
        <w:pStyle w:val="ListParagraph"/>
        <w:numPr>
          <w:ilvl w:val="0"/>
          <w:numId w:val="2"/>
        </w:numPr>
        <w:spacing w:after="60"/>
      </w:pPr>
      <w:r>
        <w:t xml:space="preserve">r/argentina — ángulo Carrefour (misma cadena, doble mercado)</w:t>
      </w:r>
    </w:p>
    <w:p>
      <w:pPr>
        <w:pStyle w:val="ListParagraph"/>
        <w:numPr>
          <w:ilvl w:val="0"/>
          <w:numId w:val="2"/>
        </w:numPr>
        <w:spacing w:after="60"/>
      </w:pPr>
      <w:r>
        <w:t xml:space="preserve">r/personalfinance o equivalentes hispanos — ángulo "cómo leer una etiqueta"</w:t>
      </w:r>
    </w:p>
    <w:p>
      <w:pPr>
        <w:pStyle w:val="Heading2"/>
        <w:spacing w:after="120" w:before="240"/>
      </w:pPr>
      <w:r>
        <w:t xml:space="preserve">WhatsApp</w:t>
      </w:r>
    </w:p>
    <w:p>
      <w:pPr>
        <w:spacing w:after="120"/>
      </w:pPr>
      <w:r>
        <w:t xml:space="preserve">En V1, el 72,7% del tráfico de fuentes externas vino de WhatsApp — el CTA de cierre ("mándaselo a esa persona de tu familia...") parece estar funcionando. Mantenerlo intacto en este vídeo, ya está en el guion.</w:t>
      </w:r>
    </w:p>
    <w:p>
      <w:pPr>
        <w:pStyle w:val="Heading1"/>
        <w:spacing w:after="150" w:before="300"/>
      </w:pPr>
      <w:r>
        <w:t xml:space="preserve">6. Configuración en YouTube Studio</w:t>
      </w:r>
    </w:p>
    <w:p>
      <w:r>
        <w:t>☐ Categoría: Guías y estilo (o Educación) — coherente con el formato de análisis de producto.</w:t>
      </w:r>
    </w:p>
    <w:p>
      <w:r>
        <w:t>☐ Idioma del video y del metadato: Español.</w:t>
      </w:r>
    </w:p>
    <w:p>
      <w:r>
        <w:t>☐ Audiencia: No es contenido para niños ("No, no está hecho para niños").</w:t>
      </w:r>
    </w:p>
    <w:p>
      <w:r>
        <w:t>☐ Visibilidad al publicar: Público, mismo horario que V1 (~18:00 hora España) para replicar el patrón de tráfico ya validado.</w:t>
      </w:r>
    </w:p>
    <w:p>
      <w:r>
        <w:t>☐ Playlist: añadir a la playlist "Rankings de marcas" (crear si no existe) junto con V1 (Aceite) para favorecer el efecto catálogo/Sugeridos entre ambos vídeos.</w:t>
      </w:r>
    </w:p>
    <w:p>
      <w:r>
        <w:t>☐ Pantalla final (end screen): tarjeta enlazando a V1 (Aceite) + suscripción — V1 ya está publicado y en pleno tirón, así que interlinkar en ambas direcciones ayuda a las dos.</w:t>
      </w:r>
    </w:p>
    <w:p>
      <w:r>
        <w:t>☐ Tarjetas (cards): una tarjeta hacia V1 en el minuto donde se menciona el paralelismo de grupos propietarios (si el guion lo permite).</w:t>
      </w:r>
    </w:p>
    <w:p>
      <w:r>
        <w:t>☐ Comentarios: mantener "Comentarios habilitados" con revisión, igual que V1 (no hubo backlog en V1 según el estado del canal).</w:t>
      </w:r>
    </w:p>
    <w:p>
      <w:r>
        <w:t>☐ Miniatura final: subir la versión elegida en esta sesión (entorno de lonja/nave industrial, hielo, 7 latas reales: Calvo, Nostromo, Ortiz, Carrefour, Isabel, Robinson Crusoe, Hacendado) — descartada la variante con Consorcio por incluir una de las "mejores opciones" en el grupo de marcas a evitar.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5F5F5" w:val="clear"/>
          </w:tcPr>
          <w:p>
            <w:r>
              <w:rPr>
                <w:b/>
                <w:bCs/>
              </w:rPr>
              <w:t xml:space="preserve">Categoría</w:t>
            </w:r>
          </w:p>
        </w:tc>
        <w:tc>
          <w:tcPr>
            <w:tcW w:type="dxa" w:w="7300"/>
          </w:tcPr>
          <w:p>
            <w:r>
              <w:t xml:space="preserve">Howto &amp; Style / People &amp; Blogs</w:t>
            </w:r>
          </w:p>
        </w:tc>
      </w:tr>
      <w:tr>
        <w:tc>
          <w:tcPr>
            <w:tcW w:type="dxa" w:w="2200"/>
            <w:shd w:fill="F5F5F5" w:val="clear"/>
          </w:tcPr>
          <w:p>
            <w:r>
              <w:rPr>
                <w:b/>
                <w:bCs/>
              </w:rPr>
              <w:t xml:space="preserve">Idioma</w:t>
            </w:r>
          </w:p>
        </w:tc>
        <w:tc>
          <w:tcPr>
            <w:tcW w:type="dxa" w:w="7300"/>
          </w:tcPr>
          <w:p>
            <w:r>
              <w:t xml:space="preserve">Español</w:t>
            </w:r>
          </w:p>
        </w:tc>
      </w:tr>
      <w:tr>
        <w:tc>
          <w:tcPr>
            <w:tcW w:type="dxa" w:w="2200"/>
            <w:shd w:fill="F5F5F5" w:val="clear"/>
          </w:tcPr>
          <w:p>
            <w:r>
              <w:rPr>
                <w:b/>
                <w:bCs/>
              </w:rPr>
              <w:t xml:space="preserve">Audiencia</w:t>
            </w:r>
          </w:p>
        </w:tc>
        <w:tc>
          <w:tcPr>
            <w:tcW w:type="dxa" w:w="7300"/>
          </w:tcPr>
          <w:p>
            <w:r>
              <w:t xml:space="preserve">No es contenido para niños</w:t>
            </w:r>
          </w:p>
        </w:tc>
      </w:tr>
      <w:tr>
        <w:tc>
          <w:tcPr>
            <w:tcW w:type="dxa" w:w="2200"/>
            <w:shd w:fill="F5F5F5" w:val="clear"/>
          </w:tcPr>
          <w:p>
            <w:r>
              <w:rPr>
                <w:b/>
                <w:bCs/>
              </w:rPr>
              <w:t xml:space="preserve">Comentarios</w:t>
            </w:r>
          </w:p>
        </w:tc>
        <w:tc>
          <w:tcPr>
            <w:tcW w:type="dxa" w:w="7300"/>
          </w:tcPr>
          <w:p>
            <w:r>
              <w:t xml:space="preserve">Activados, con moderación de palabras clave sensibles (nombres de marca + "demanda", "denuncia")</w:t>
            </w:r>
          </w:p>
        </w:tc>
      </w:tr>
      <w:tr>
        <w:tc>
          <w:tcPr>
            <w:tcW w:type="dxa" w:w="2200"/>
            <w:shd w:fill="F5F5F5" w:val="clear"/>
          </w:tcPr>
          <w:p>
            <w:r>
              <w:rPr>
                <w:b/>
                <w:bCs/>
              </w:rPr>
              <w:t xml:space="preserve">Pantalla final</w:t>
            </w:r>
          </w:p>
        </w:tc>
        <w:tc>
          <w:tcPr>
            <w:tcW w:type="dxa" w:w="7300"/>
          </w:tcPr>
          <w:p>
            <w:r>
              <w:t xml:space="preserve">Enlazar al vídeo de Aceite de Oliva (V1) — construir la sensación de serie</w:t>
            </w:r>
          </w:p>
        </w:tc>
      </w:tr>
      <w:tr>
        <w:tc>
          <w:tcPr>
            <w:tcW w:type="dxa" w:w="2200"/>
            <w:shd w:fill="F5F5F5" w:val="clear"/>
          </w:tcPr>
          <w:p>
            <w:r>
              <w:rPr>
                <w:b/>
                <w:bCs/>
              </w:rPr>
              <w:t xml:space="preserve">Tarjetas (cards)</w:t>
            </w:r>
          </w:p>
        </w:tc>
        <w:tc>
          <w:tcPr>
            <w:tcW w:type="dxa" w:w="7300"/>
          </w:tcPr>
          <w:p>
            <w:r>
              <w:t xml:space="preserve">Una tarjeta a mitad de vídeo enlazando a V1</w:t>
            </w:r>
          </w:p>
        </w:tc>
      </w:tr>
      <w:tr>
        <w:tc>
          <w:tcPr>
            <w:tcW w:type="dxa" w:w="2200"/>
            <w:shd w:fill="F5F5F5" w:val="clear"/>
          </w:tcPr>
          <w:p>
            <w:r>
              <w:rPr>
                <w:b/>
                <w:bCs/>
              </w:rPr>
              <w:t xml:space="preserve">Fecha/hora</w:t>
            </w:r>
          </w:p>
        </w:tc>
        <w:tc>
          <w:tcPr>
            <w:tcW w:type="dxa" w:w="7300"/>
          </w:tcPr>
          <w:p>
            <w:r>
              <w:t xml:space="preserve">A definir por el creador — sin cadencia fija todavía establecida para este canal</w:t>
            </w:r>
          </w:p>
        </w:tc>
      </w:tr>
    </w:tbl>
    <w:p>
      <w:pPr>
        <w:pStyle w:val="Heading1"/>
        <w:spacing w:after="150" w:before="300"/>
      </w:pPr>
      <w:r>
        <w:t xml:space="preserve">7. Checklist técnico antes de subir</w:t>
      </w:r>
    </w:p>
    <w:p>
      <w:pPr>
        <w:spacing w:after="60"/>
      </w:pPr>
      <w:r>
        <w:t xml:space="preserve">☐ Audio exportado desde ElevenLabs con Atun_ELEVENLABS.pdf (178 líneas, 4.368 palabras)</w:t>
      </w:r>
    </w:p>
    <w:p>
      <w:pPr>
        <w:spacing w:after="60"/>
      </w:pPr>
      <w:r>
        <w:t xml:space="preserve">☐ Duración final del montaje ≈ 26:00 (objetivo cumplido en el guion, verificar tras editar)</w:t>
      </w:r>
    </w:p>
    <w:p>
      <w:pPr>
        <w:spacing w:after="60"/>
      </w:pPr>
      <w:r>
        <w:t xml:space="preserve">☐ Los 46 shots de Atun_Shots_unicos.csv descargados vía stock_download antes de montar (las URLs firmadas caducan en horas)</w:t>
      </w:r>
    </w:p>
    <w:p>
      <w:pPr>
        <w:spacing w:after="60"/>
      </w:pPr>
      <w:r>
        <w:t xml:space="preserve">☐ Beat 1 muestra el producto real (mano sobre latas en el carrito) — no un plano genérico, lección aplicada de V1</w:t>
      </w:r>
    </w:p>
    <w:p>
      <w:pPr>
        <w:spacing w:after="60"/>
      </w:pPr>
      <w:r>
        <w:t xml:space="preserve">☐ CTA de suscripción presente y suena sutil, no forzado (≈34% del vídeo, justo antes de Carrefour)</w:t>
      </w:r>
    </w:p>
    <w:p>
      <w:pPr>
        <w:spacing w:after="60"/>
      </w:pPr>
      <w:r>
        <w:t xml:space="preserve">☐ Subtítulos/CC generados o revisados</w:t>
      </w:r>
    </w:p>
    <w:p>
      <w:pPr>
        <w:spacing w:after="60"/>
      </w:pPr>
      <w:r>
        <w:t xml:space="preserve">☐ Verificado que no queden porcentajes en la narración final (ya comprobado en el guion escrito)</w:t>
      </w:r>
    </w:p>
    <w:p>
      <w:pPr>
        <w:spacing w:after="60"/>
      </w:pPr>
      <w:r>
        <w:t xml:space="preserve">☐ Miniatura probada a tamaño móvil (200px de ancho)</w:t>
      </w:r>
    </w:p>
    <w:p>
      <w:pPr>
        <w:pStyle w:val="Heading1"/>
        <w:spacing w:after="150" w:before="300"/>
      </w:pPr>
      <w:r>
        <w:t xml:space="preserve">8. Fuentes verificadas (para responder comentarios o dudas)</w:t>
      </w:r>
    </w:p>
    <w:p>
      <w:pPr>
        <w:spacing w:after="120"/>
      </w:pPr>
      <w:r>
        <w:t xml:space="preserve">Guardar a mano por si hay comentarios pidiendo pruebas de las afirmaciones de propiedad:</w:t>
      </w:r>
    </w:p>
    <w:p>
      <w:pPr>
        <w:pStyle w:val="ListParagraph"/>
        <w:numPr>
          <w:ilvl w:val="0"/>
          <w:numId w:val="2"/>
        </w:numPr>
        <w:spacing w:after="60"/>
      </w:pPr>
      <w:r>
        <w:t xml:space="preserve">Hacendado → Conservas Escurís (Jealsa-Rianxeira): confirmado en memorias de sostenibilidad de Mercadona/Jealsa y cobertura de prensa española</w:t>
      </w:r>
    </w:p>
    <w:p>
      <w:pPr>
        <w:pStyle w:val="ListParagraph"/>
        <w:numPr>
          <w:ilvl w:val="0"/>
          <w:numId w:val="2"/>
        </w:numPr>
        <w:spacing w:after="60"/>
      </w:pPr>
      <w:r>
        <w:t xml:space="preserve">Robinson Crusoe → Jealsa desde 2004: cobertura de prensa chilena y gallega sobre la adquisición</w:t>
      </w:r>
    </w:p>
    <w:p>
      <w:pPr>
        <w:pStyle w:val="ListParagraph"/>
        <w:numPr>
          <w:ilvl w:val="0"/>
          <w:numId w:val="2"/>
        </w:numPr>
        <w:spacing w:after="60"/>
      </w:pPr>
      <w:r>
        <w:t xml:space="preserve">Isabel → Conservas Garavilla → Bolton Group (compra de la participación de control al fondo MCH): prensa económica española (infoRETAIL, Capital-Riesgo.es, Diario de Arousa)</w:t>
      </w:r>
    </w:p>
    <w:p>
      <w:pPr>
        <w:pStyle w:val="ListParagraph"/>
        <w:numPr>
          <w:ilvl w:val="0"/>
          <w:numId w:val="2"/>
        </w:numPr>
        <w:spacing w:after="60"/>
      </w:pPr>
      <w:r>
        <w:t xml:space="preserve">Bolton Group también posee Rio Mare (Italia) y Saupiquet (Francia): de dominio público, información corporativa de Bolton Food</w:t>
      </w:r>
    </w:p>
    <w:p>
      <w:pPr>
        <w:pStyle w:val="ListParagraph"/>
        <w:numPr>
          <w:ilvl w:val="0"/>
          <w:numId w:val="2"/>
        </w:numPr>
        <w:spacing w:after="60"/>
      </w:pPr>
      <w:r>
        <w:t xml:space="preserve">Grupo Calvo: fundación en los años 40, Nostromo comprada en 1993, Gomes da Costa comprada en 2004, participación de Bolton Group, protocolo familiar desde 2003: Wikipedia corporativa de Grupo Calvo y prensa centroamericana (El Financiero, El Economista, El Salvador.com)</w:t>
      </w:r>
    </w:p>
    <w:p>
      <w:pPr>
        <w:pStyle w:val="ListParagraph"/>
        <w:numPr>
          <w:ilvl w:val="0"/>
          <w:numId w:val="2"/>
        </w:numPr>
        <w:spacing w:after="60"/>
      </w:pPr>
      <w:r>
        <w:t xml:space="preserve">OCU 2024-2025: análisis de 32 marcas de atún en lata — cobertura en okdiario, El Español, Directo al Paladar</w:t>
      </w:r>
    </w:p>
    <w:p>
      <w:pPr>
        <w:spacing w:after="120"/>
      </w:pPr>
      <w:r>
        <w:rPr>
          <w:i/>
          <w:iCs/>
          <w:color w:val="555555"/>
        </w:rPr>
        <w:t xml:space="preserve">Nota: la participación exacta de Bolton Group en el capital de Grupo Calvo se dejó sin cifra concreta en el guion porque las fuentes disponibles se contradicen (una cifra de 2012 dice 40%; otra fuente más reciente sitúa a la familia en el 77,8%). Si surge la pregunta en comentarios, responder con "una participación relevante, sin cifra pública consistente" en vez de dar un número.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2026-08-02T11:06:36.553Z</dcterms:created>
  <dcterms:modified xsi:type="dcterms:W3CDTF">2026-08-02T11:06:36.553Z</dcterms:modified>
</cp:coreProperties>
</file>

<file path=docProps/custom.xml><?xml version="1.0" encoding="utf-8"?>
<Properties xmlns="http://schemas.openxmlformats.org/officeDocument/2006/custom-properties" xmlns:vt="http://schemas.openxmlformats.org/officeDocument/2006/docPropsVTypes"/>
</file>