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line="240" w:lineRule="auto"/>
      </w:pPr>
      <w:r>
        <w:rPr>
          <w:rFonts w:ascii="Calibri" w:hAnsi="Calibri"/>
          <w:b/>
          <w:color w:val="000000"/>
          <w:sz w:val="40"/>
        </w:rPr>
        <w:t>ASSET PURCHASE, MANAGEMENT TRANSFER, AND SELLER-FINANCED PAYMENT AGREEMENT</w:t>
      </w:r>
    </w:p>
    <w:p>
      <w:pPr>
        <w:spacing w:before="0" w:after="240" w:line="264" w:lineRule="auto"/>
        <w:pBdr>
          <w:bottom w:val="single" w:sz="8" w:space="6" w:color="D9E2EC"/>
        </w:pBdr>
      </w:pPr>
      <w:r>
        <w:rPr>
          <w:rFonts w:ascii="Calibri" w:hAnsi="Calibri"/>
          <w:i/>
          <w:color w:val="555555"/>
          <w:sz w:val="26"/>
        </w:rPr>
        <w:t>SNS Interiors Inc. DBA 805 Shutters - Attorney Review Draft</w:t>
      </w:r>
    </w:p>
    <w:tbl>
      <w:tblPr>
        <w:tblW w:type="dxa" w:w="9360"/>
        <w:tblLayout w:type="fixed"/>
        <w:tblLook w:firstColumn="1" w:firstRow="1" w:lastColumn="0" w:lastRow="0" w:noHBand="0" w:noVBand="1" w:val="04A0"/>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980"/>
        <w:gridCol w:w="7380"/>
      </w:tblGrid>
      <w:tr>
        <w:tc>
          <w:tcPr>
            <w:tcW w:type="dxa" w:w="1980"/>
            <w:vAlign w:val="center"/>
            <w:tcMar>
              <w:top w:w="80" w:type="dxa"/>
              <w:start w:w="120" w:type="dxa"/>
              <w:bottom w:w="80" w:type="dxa"/>
              <w:end w:w="120" w:type="dxa"/>
            </w:tcMar>
            <w:shd w:fill="F2F4F7"/>
          </w:tcPr>
          <w:p>
            <w:pPr>
              <w:spacing w:before="0" w:after="0" w:line="252" w:lineRule="auto"/>
            </w:pPr>
            <w:r>
              <w:rPr>
                <w:rFonts w:ascii="Calibri" w:hAnsi="Calibri"/>
                <w:b/>
                <w:color w:val="000000"/>
              </w:rPr>
              <w:t>Seller</w:t>
            </w:r>
          </w:p>
        </w:tc>
        <w:tc>
          <w:tcPr>
            <w:tcW w:type="dxa" w:w="7380"/>
            <w:vAlign w:val="center"/>
            <w:tcMar>
              <w:top w:w="80" w:type="dxa"/>
              <w:start w:w="120" w:type="dxa"/>
              <w:bottom w:w="80" w:type="dxa"/>
              <w:end w:w="120" w:type="dxa"/>
            </w:tcMar>
          </w:tcPr>
          <w:p>
            <w:pPr>
              <w:spacing w:before="0" w:after="0" w:line="252" w:lineRule="auto"/>
            </w:pPr>
            <w:r>
              <w:rPr>
                <w:rFonts w:ascii="Calibri" w:hAnsi="Calibri"/>
                <w:color w:val="000000"/>
              </w:rPr>
              <w:t>Ken Hill, individually and/or through the legal owner of SNS Interiors Inc. DBA 805 Shutters (legal name and entity to be confirmed by counsel)</w:t>
            </w:r>
          </w:p>
        </w:tc>
      </w:tr>
      <w:tr>
        <w:tc>
          <w:tcPr>
            <w:tcW w:type="dxa" w:w="1980"/>
            <w:vAlign w:val="center"/>
            <w:tcMar>
              <w:top w:w="80" w:type="dxa"/>
              <w:start w:w="120" w:type="dxa"/>
              <w:bottom w:w="80" w:type="dxa"/>
              <w:end w:w="120" w:type="dxa"/>
            </w:tcMar>
            <w:shd w:fill="F2F4F7"/>
          </w:tcPr>
          <w:p>
            <w:pPr>
              <w:spacing w:before="0" w:after="0" w:line="252" w:lineRule="auto"/>
            </w:pPr>
            <w:r>
              <w:rPr>
                <w:rFonts w:ascii="Calibri" w:hAnsi="Calibri"/>
                <w:b/>
                <w:color w:val="000000"/>
              </w:rPr>
              <w:t>Buyer</w:t>
            </w:r>
          </w:p>
        </w:tc>
        <w:tc>
          <w:tcPr>
            <w:tcW w:type="dxa" w:w="7380"/>
            <w:vAlign w:val="center"/>
            <w:tcMar>
              <w:top w:w="80" w:type="dxa"/>
              <w:start w:w="120" w:type="dxa"/>
              <w:bottom w:w="80" w:type="dxa"/>
              <w:end w:w="120" w:type="dxa"/>
            </w:tcMar>
          </w:tcPr>
          <w:p>
            <w:pPr>
              <w:spacing w:before="0" w:after="0" w:line="252" w:lineRule="auto"/>
            </w:pPr>
            <w:r>
              <w:rPr>
                <w:rFonts w:ascii="Calibri" w:hAnsi="Calibri"/>
                <w:color w:val="000000"/>
              </w:rPr>
              <w:t>Mike Shepard, or an acquisition entity designated by Mike Shepard before signing or closing</w:t>
            </w:r>
          </w:p>
        </w:tc>
      </w:tr>
      <w:tr>
        <w:tc>
          <w:tcPr>
            <w:tcW w:type="dxa" w:w="1980"/>
            <w:vAlign w:val="center"/>
            <w:tcMar>
              <w:top w:w="80" w:type="dxa"/>
              <w:start w:w="120" w:type="dxa"/>
              <w:bottom w:w="80" w:type="dxa"/>
              <w:end w:w="120" w:type="dxa"/>
            </w:tcMar>
            <w:shd w:fill="F2F4F7"/>
          </w:tcPr>
          <w:p>
            <w:pPr>
              <w:spacing w:before="0" w:after="0" w:line="252" w:lineRule="auto"/>
            </w:pPr>
            <w:r>
              <w:rPr>
                <w:rFonts w:ascii="Calibri" w:hAnsi="Calibri"/>
                <w:b/>
                <w:color w:val="000000"/>
              </w:rPr>
              <w:t>Business</w:t>
            </w:r>
          </w:p>
        </w:tc>
        <w:tc>
          <w:tcPr>
            <w:tcW w:type="dxa" w:w="7380"/>
            <w:vAlign w:val="center"/>
            <w:tcMar>
              <w:top w:w="80" w:type="dxa"/>
              <w:start w:w="120" w:type="dxa"/>
              <w:bottom w:w="80" w:type="dxa"/>
              <w:end w:w="120" w:type="dxa"/>
            </w:tcMar>
          </w:tcPr>
          <w:p>
            <w:pPr>
              <w:spacing w:before="0" w:after="0" w:line="252" w:lineRule="auto"/>
            </w:pPr>
            <w:r>
              <w:rPr>
                <w:rFonts w:ascii="Calibri" w:hAnsi="Calibri"/>
                <w:color w:val="000000"/>
              </w:rPr>
              <w:t>SNS Interiors Inc. DBA 805 Shutters, including its goodwill and operating ecosystem</w:t>
            </w:r>
          </w:p>
        </w:tc>
      </w:tr>
      <w:tr>
        <w:tc>
          <w:tcPr>
            <w:tcW w:type="dxa" w:w="1980"/>
            <w:vAlign w:val="center"/>
            <w:tcMar>
              <w:top w:w="80" w:type="dxa"/>
              <w:start w:w="120" w:type="dxa"/>
              <w:bottom w:w="80" w:type="dxa"/>
              <w:end w:w="120" w:type="dxa"/>
            </w:tcMar>
            <w:shd w:fill="F2F4F7"/>
          </w:tcPr>
          <w:p>
            <w:pPr>
              <w:spacing w:before="0" w:after="0" w:line="252" w:lineRule="auto"/>
            </w:pPr>
            <w:r>
              <w:rPr>
                <w:rFonts w:ascii="Calibri" w:hAnsi="Calibri"/>
                <w:b/>
                <w:color w:val="000000"/>
              </w:rPr>
              <w:t>Purchase Price</w:t>
            </w:r>
          </w:p>
        </w:tc>
        <w:tc>
          <w:tcPr>
            <w:tcW w:type="dxa" w:w="7380"/>
            <w:vAlign w:val="center"/>
            <w:tcMar>
              <w:top w:w="80" w:type="dxa"/>
              <w:start w:w="120" w:type="dxa"/>
              <w:bottom w:w="80" w:type="dxa"/>
              <w:end w:w="120" w:type="dxa"/>
            </w:tcMar>
          </w:tcPr>
          <w:p>
            <w:pPr>
              <w:spacing w:before="0" w:after="0" w:line="252" w:lineRule="auto"/>
            </w:pPr>
            <w:r>
              <w:rPr>
                <w:rFonts w:ascii="Calibri" w:hAnsi="Calibri"/>
                <w:color w:val="000000"/>
              </w:rPr>
              <w:t>$500,000 total, paid over time from 10% of gross revenue on closed and completed orders</w:t>
            </w:r>
          </w:p>
        </w:tc>
      </w:tr>
      <w:tr>
        <w:tc>
          <w:tcPr>
            <w:tcW w:type="dxa" w:w="1980"/>
            <w:vAlign w:val="center"/>
            <w:tcMar>
              <w:top w:w="80" w:type="dxa"/>
              <w:start w:w="120" w:type="dxa"/>
              <w:bottom w:w="80" w:type="dxa"/>
              <w:end w:w="120" w:type="dxa"/>
            </w:tcMar>
            <w:shd w:fill="F2F4F7"/>
          </w:tcPr>
          <w:p>
            <w:pPr>
              <w:spacing w:before="0" w:after="0" w:line="252" w:lineRule="auto"/>
            </w:pPr>
            <w:r>
              <w:rPr>
                <w:rFonts w:ascii="Calibri" w:hAnsi="Calibri"/>
                <w:b/>
                <w:color w:val="000000"/>
              </w:rPr>
              <w:t>Draft Status</w:t>
            </w:r>
          </w:p>
        </w:tc>
        <w:tc>
          <w:tcPr>
            <w:tcW w:type="dxa" w:w="7380"/>
            <w:vAlign w:val="center"/>
            <w:tcMar>
              <w:top w:w="80" w:type="dxa"/>
              <w:start w:w="120" w:type="dxa"/>
              <w:bottom w:w="80" w:type="dxa"/>
              <w:end w:w="120" w:type="dxa"/>
            </w:tcMar>
          </w:tcPr>
          <w:p>
            <w:pPr>
              <w:spacing w:before="0" w:after="0" w:line="252" w:lineRule="auto"/>
            </w:pPr>
            <w:r>
              <w:rPr>
                <w:rFonts w:ascii="Calibri" w:hAnsi="Calibri"/>
                <w:color w:val="000000"/>
              </w:rPr>
              <w:t>Prepared for business discussion and attorney review; do not sign until counsel approves final language</w:t>
            </w:r>
          </w:p>
        </w:tc>
      </w:tr>
    </w:tbl>
    <w:p>
      <w:pPr>
        <w:spacing w:before="200" w:after="120" w:line="264" w:lineRule="auto"/>
      </w:pPr>
      <w:r>
        <w:rPr>
          <w:rFonts w:ascii="Calibri" w:hAnsi="Calibri"/>
          <w:b/>
        </w:rPr>
        <w:t xml:space="preserve">Important Drafting Note. </w:t>
      </w:r>
      <w:r>
        <w:t>This document is a working business draft based on the terms provided by the parties. It is intended to be reviewed and revised by a licensed attorney before signature. The attorney should confirm the proper seller name, buyer entity, tax treatment, asset schedules, banking controls, phone-number transfer requirements, and enforceability under California law.</w:t>
      </w:r>
    </w:p>
    <w:p>
      <w:pPr>
        <w:pStyle w:val="Heading1"/>
      </w:pPr>
      <w:r>
        <w:t>1. Parties, Background, and Intent</w:t>
      </w:r>
    </w:p>
    <w:p>
      <w:pPr>
        <w:spacing w:before="0" w:after="120" w:line="264" w:lineRule="auto"/>
        <w:ind w:left="461" w:hanging="461"/>
      </w:pPr>
      <w:r>
        <w:rPr>
          <w:rFonts w:ascii="Calibri" w:hAnsi="Calibri"/>
          <w:b/>
          <w:color w:val="000000"/>
        </w:rPr>
        <w:t xml:space="preserve">1.1 Parties. </w:t>
      </w:r>
      <w:r>
        <w:t>This Asset Purchase, Management Transfer, and Seller-Financed Payment Agreement (the "Agreement") is entered into by and between Ken Hill ("Seller") and Mike Shepard ("Buyer"). If the legal owner of SNS Interiors Inc. DBA 805 Shutters is an entity, trust, spouse, or other party, that owner must also sign or otherwise approve this Agreement as required by counsel.</w:t>
      </w:r>
    </w:p>
    <w:p>
      <w:pPr>
        <w:spacing w:before="0" w:after="120" w:line="264" w:lineRule="auto"/>
        <w:ind w:left="461" w:hanging="461"/>
      </w:pPr>
      <w:r>
        <w:rPr>
          <w:rFonts w:ascii="Calibri" w:hAnsi="Calibri"/>
          <w:b/>
          <w:color w:val="000000"/>
        </w:rPr>
        <w:t xml:space="preserve">1.2 Business. </w:t>
      </w:r>
      <w:r>
        <w:t>Seller owns or controls the business formally known as SNS Interiors Inc. DBA 805 Shutters and commonly known as 805 Shutters, including its operating assets, customer relationships, goodwill, telephone numbers, website, online listings, vendor relationships, sales pipeline, records, and related business ecosystem (the "Business").</w:t>
      </w:r>
    </w:p>
    <w:p>
      <w:pPr>
        <w:spacing w:before="0" w:after="120" w:line="264" w:lineRule="auto"/>
        <w:ind w:left="461" w:hanging="461"/>
      </w:pPr>
      <w:r>
        <w:rPr>
          <w:rFonts w:ascii="Calibri" w:hAnsi="Calibri"/>
          <w:b/>
          <w:color w:val="000000"/>
        </w:rPr>
        <w:t xml:space="preserve">1.3 Transaction Intent. </w:t>
      </w:r>
      <w:r>
        <w:t>The parties intend for Buyer to acquire the Business and goodwill for a total purchase price of Five Hundred Thousand Dollars ($500,000), paid over time as described in this Agreement, with Buyer receiving immediate operational control and Seller retaining bookkeeping, bank-account administration, vendor transparency rights, and phone-number legal account ownership until the purchase price is paid in full.</w:t>
      </w:r>
    </w:p>
    <w:p>
      <w:pPr>
        <w:spacing w:before="0" w:after="120" w:line="264" w:lineRule="auto"/>
        <w:ind w:left="461" w:hanging="461"/>
      </w:pPr>
      <w:r>
        <w:rPr>
          <w:rFonts w:ascii="Calibri" w:hAnsi="Calibri"/>
          <w:b/>
          <w:color w:val="000000"/>
        </w:rPr>
        <w:t xml:space="preserve">1.4 Attorney Review. </w:t>
      </w:r>
      <w:r>
        <w:t>The parties acknowledge that this draft is intended to capture their business terms for review by counsel. The final document should be signed only after legal, tax, banking, and carrier-transfer issues have been reviewed and approved.</w:t>
      </w:r>
    </w:p>
    <w:p>
      <w:pPr>
        <w:pStyle w:val="Heading1"/>
      </w:pPr>
      <w:r>
        <w:t>2. Defined Terms</w:t>
      </w:r>
    </w:p>
    <w:p>
      <w:pPr>
        <w:spacing w:before="0" w:after="120" w:line="264" w:lineRule="auto"/>
        <w:ind w:left="461" w:hanging="461"/>
      </w:pPr>
      <w:r>
        <w:rPr>
          <w:rFonts w:ascii="Calibri" w:hAnsi="Calibri"/>
          <w:b/>
          <w:color w:val="000000"/>
        </w:rPr>
        <w:t xml:space="preserve">2.1 Purchased Assets. </w:t>
      </w:r>
      <w:r>
        <w:t>The "Purchased Assets" means all assets, rights, records, goodwill, and operating items used in or relating to the Business, whether tangible or intangible, except for Excluded Assets expressly listed in this Agreement or a final schedule approved by counsel.</w:t>
      </w:r>
    </w:p>
    <w:p>
      <w:pPr>
        <w:spacing w:before="0" w:after="80" w:line="264" w:lineRule="auto"/>
        <w:ind w:left="749" w:hanging="317"/>
      </w:pPr>
      <w:r>
        <w:rPr>
          <w:rFonts w:ascii="Calibri" w:hAnsi="Calibri"/>
          <w:b/>
        </w:rPr>
        <w:t xml:space="preserve">(a) </w:t>
      </w:r>
      <w:r>
        <w:t>The Purchased Assets include the SNS Interiors Inc. DBA 805 Shutters legal name, the 805 Shutters trade name, goodwill, customer lists, customer records, quote records, lead records, order records, CRM data, website backend data, marketing materials, photos, domains, website content, advertising accounts, online listings, Yelp account or listing control, Google Business Profile or similar profiles, social media accounts, email accounts, vendor relationships, vendor order history, contracts assignable to Buyer, intellectual property, and business know-how.</w:t>
      </w:r>
    </w:p>
    <w:p>
      <w:pPr>
        <w:spacing w:before="0" w:after="80" w:line="264" w:lineRule="auto"/>
        <w:ind w:left="749" w:hanging="317"/>
      </w:pPr>
      <w:r>
        <w:rPr>
          <w:rFonts w:ascii="Calibri" w:hAnsi="Calibri"/>
          <w:b/>
        </w:rPr>
        <w:t xml:space="preserve">(b) </w:t>
      </w:r>
      <w:r>
        <w:t>The Purchased Assets also include all phone numbers, call-routing rights, text-message channels, voicemail boxes, and related carrier accounts used for the Business, subject to Seller's temporary legal retention of those phone numbers until the Payoff Date.</w:t>
      </w:r>
    </w:p>
    <w:p>
      <w:pPr>
        <w:spacing w:before="0" w:after="80" w:line="264" w:lineRule="auto"/>
        <w:ind w:left="749" w:hanging="317"/>
      </w:pPr>
      <w:r>
        <w:rPr>
          <w:rFonts w:ascii="Calibri" w:hAnsi="Calibri"/>
          <w:b/>
        </w:rPr>
        <w:t xml:space="preserve">(c) </w:t>
      </w:r>
      <w:r>
        <w:t>The Purchased Assets include the benefit of the Business bank account as an operating account after the Effective Date, subject to Seller's temporary administrative control and bookkeeping rights until the Payoff Date.</w:t>
      </w:r>
    </w:p>
    <w:p>
      <w:pPr>
        <w:spacing w:before="0" w:after="120" w:line="264" w:lineRule="auto"/>
        <w:ind w:left="461" w:hanging="461"/>
      </w:pPr>
      <w:r>
        <w:rPr>
          <w:rFonts w:ascii="Calibri" w:hAnsi="Calibri"/>
          <w:b/>
          <w:color w:val="000000"/>
        </w:rPr>
        <w:t xml:space="preserve">2.2 Excluded Assets. </w:t>
      </w:r>
      <w:r>
        <w:t>Excluded Assets means Seller's personal assets, Seller's personal tax records, any assets not used in the Business, any pre-Effective Date cash balance that the parties separately identify as Seller's personal property, and any other items listed on an attorney-approved excluded-asset schedule. For clarity, the phone numbers and bank account are not excluded from the transaction; their final legal transfer is deferred until payoff as stated below.</w:t>
      </w:r>
    </w:p>
    <w:p>
      <w:pPr>
        <w:spacing w:before="0" w:after="120" w:line="264" w:lineRule="auto"/>
        <w:ind w:left="461" w:hanging="461"/>
      </w:pPr>
      <w:r>
        <w:rPr>
          <w:rFonts w:ascii="Calibri" w:hAnsi="Calibri"/>
          <w:b/>
          <w:color w:val="000000"/>
        </w:rPr>
        <w:t xml:space="preserve">2.3 Gross Order Revenue. </w:t>
      </w:r>
      <w:r>
        <w:t>"Gross Order Revenue" means the total customer price actually collected by the Business for a Closed Completed Order, before deducting cost of goods, installer labor, advertising, overhead, commissions, or other operating expenses. Gross Order Revenue excludes sales taxes collected for remittance to a taxing authority, refunds, credits, chargebacks, amounts never collected, and third-party financing or processing fees not retained by the Business.</w:t>
      </w:r>
    </w:p>
    <w:p>
      <w:pPr>
        <w:spacing w:before="0" w:after="120" w:line="264" w:lineRule="auto"/>
        <w:ind w:left="461" w:hanging="461"/>
      </w:pPr>
      <w:r>
        <w:rPr>
          <w:rFonts w:ascii="Calibri" w:hAnsi="Calibri"/>
          <w:b/>
          <w:color w:val="000000"/>
        </w:rPr>
        <w:t xml:space="preserve">2.4 Closed Completed Order. </w:t>
      </w:r>
      <w:r>
        <w:t>"Closed Completed Order" means an order for which the products or services have been fully delivered or installed, the job has been marked complete or closed in the Business records, and the customer amounts included in Gross Order Revenue have been collected. No Seller Payment is earned, accrued, payable, or required on deposits, estimates, pending orders, open orders, cancelled orders, incomplete jobs, disputed balances, unpaid balances, or any order before it is closed out and completed.</w:t>
      </w:r>
    </w:p>
    <w:p>
      <w:pPr>
        <w:spacing w:before="0" w:after="120" w:line="264" w:lineRule="auto"/>
        <w:ind w:left="461" w:hanging="461"/>
      </w:pPr>
      <w:r>
        <w:rPr>
          <w:rFonts w:ascii="Calibri" w:hAnsi="Calibri"/>
          <w:b/>
          <w:color w:val="000000"/>
        </w:rPr>
        <w:t xml:space="preserve">2.5 Website Ledger. </w:t>
      </w:r>
      <w:r>
        <w:t>"Website Ledger" means the ledger maintained in the website backend, CRM, or other Business backend system that tracks order status, payments, Gross Order Revenue, monthly Seller Payments, and the outstanding purchase-price balance.</w:t>
      </w:r>
    </w:p>
    <w:p>
      <w:pPr>
        <w:spacing w:before="0" w:after="120" w:line="264" w:lineRule="auto"/>
        <w:ind w:left="461" w:hanging="461"/>
      </w:pPr>
      <w:r>
        <w:rPr>
          <w:rFonts w:ascii="Calibri" w:hAnsi="Calibri"/>
          <w:b/>
          <w:color w:val="000000"/>
        </w:rPr>
        <w:t xml:space="preserve">2.6 Payoff Date. </w:t>
      </w:r>
      <w:r>
        <w:t>"Payoff Date" means the date on which Buyer has paid Seller an aggregate total of $500,000 under this Agreement, whether through monthly Seller Payments, voluntary prepayments, or another attorney-approved payment method.</w:t>
      </w:r>
    </w:p>
    <w:p>
      <w:pPr>
        <w:pStyle w:val="Heading1"/>
      </w:pPr>
      <w:r>
        <w:t>3. Purchase and Sale</w:t>
      </w:r>
    </w:p>
    <w:p>
      <w:pPr>
        <w:spacing w:before="0" w:after="120" w:line="264" w:lineRule="auto"/>
        <w:ind w:left="461" w:hanging="461"/>
      </w:pPr>
      <w:r>
        <w:rPr>
          <w:rFonts w:ascii="Calibri" w:hAnsi="Calibri"/>
          <w:b/>
          <w:color w:val="000000"/>
        </w:rPr>
        <w:t xml:space="preserve">3.1 Sale of Business and Goodwill. </w:t>
      </w:r>
      <w:r>
        <w:t>Subject to the terms of this Agreement, Seller sells, assigns, transfers, and conveys to Buyer, and Buyer purchases from Seller, the Purchased Assets and the goodwill of the Business.</w:t>
      </w:r>
    </w:p>
    <w:p>
      <w:pPr>
        <w:spacing w:before="0" w:after="120" w:line="264" w:lineRule="auto"/>
        <w:ind w:left="461" w:hanging="461"/>
      </w:pPr>
      <w:r>
        <w:rPr>
          <w:rFonts w:ascii="Calibri" w:hAnsi="Calibri"/>
          <w:b/>
          <w:color w:val="000000"/>
        </w:rPr>
        <w:t xml:space="preserve">3.2 Operational Transfer at Signing. </w:t>
      </w:r>
      <w:r>
        <w:t>Beginning on the Effective Date, Buyer will have full authority to operate, manage, improve, market, restructure, and direct the Business. Seller will cooperate in transitioning all operational responsibilities to Buyer except for Seller's retained bookkeeping, bank-account administration, vendor transparency, and payment-calculation responsibilities described in this Agreement.</w:t>
      </w:r>
    </w:p>
    <w:p>
      <w:pPr>
        <w:spacing w:before="0" w:after="120" w:line="264" w:lineRule="auto"/>
        <w:ind w:left="461" w:hanging="461"/>
      </w:pPr>
      <w:r>
        <w:rPr>
          <w:rFonts w:ascii="Calibri" w:hAnsi="Calibri"/>
          <w:b/>
          <w:color w:val="000000"/>
        </w:rPr>
        <w:t xml:space="preserve">3.3 Deferred Legal Transfer of Bank Account and Phone Numbers. </w:t>
      </w:r>
      <w:r>
        <w:t>Seller will retain legal account ownership or administrative control of the Business bank account and Business phone numbers until the Payoff Date. During that period, Buyer will have full operational control of the Business and exclusive operational use of the phone numbers, while Seller will maintain the bank account and phone-number accounts only for bookkeeping, transparency, continuity, and security of the unpaid purchase price.</w:t>
      </w:r>
    </w:p>
    <w:p>
      <w:pPr>
        <w:spacing w:before="0" w:after="120" w:line="264" w:lineRule="auto"/>
        <w:ind w:left="461" w:hanging="461"/>
      </w:pPr>
      <w:r>
        <w:rPr>
          <w:rFonts w:ascii="Calibri" w:hAnsi="Calibri"/>
          <w:b/>
          <w:color w:val="000000"/>
        </w:rPr>
        <w:t xml:space="preserve">3.4 Final Transfer After Payoff. </w:t>
      </w:r>
      <w:r>
        <w:t>Within five (5) business days after the Payoff Date, Seller will transfer, assign, endorse, release, or otherwise deliver to Buyer complete and full control of the Business bank account, Business phone numbers, carrier accounts, voicemail accounts, text-message services, and any remaining Purchased Assets still held in Seller's name, subject to banking, carrier, tax, and regulatory requirements.</w:t>
      </w:r>
    </w:p>
    <w:p>
      <w:pPr>
        <w:pStyle w:val="Heading1"/>
      </w:pPr>
      <w:r>
        <w:t>4. Purchase Price and Seller-Financed Payment Terms</w:t>
      </w:r>
    </w:p>
    <w:p>
      <w:pPr>
        <w:spacing w:before="0" w:after="120" w:line="264" w:lineRule="auto"/>
        <w:ind w:left="461" w:hanging="461"/>
      </w:pPr>
      <w:r>
        <w:rPr>
          <w:rFonts w:ascii="Calibri" w:hAnsi="Calibri"/>
          <w:b/>
          <w:color w:val="000000"/>
        </w:rPr>
        <w:t xml:space="preserve">4.1 Purchase Price. </w:t>
      </w:r>
      <w:r>
        <w:t>The total purchase price for the Business is Five Hundred Thousand Dollars ($500,000) (the "Purchase Price"). The Purchase Price will be paid over time as described in this Section 4. The parties intend the payment structure to function as seller financing.</w:t>
      </w:r>
    </w:p>
    <w:p>
      <w:pPr>
        <w:spacing w:before="0" w:after="120" w:line="264" w:lineRule="auto"/>
        <w:ind w:left="461" w:hanging="461"/>
      </w:pPr>
      <w:r>
        <w:rPr>
          <w:rFonts w:ascii="Calibri" w:hAnsi="Calibri"/>
          <w:b/>
          <w:color w:val="000000"/>
        </w:rPr>
        <w:t xml:space="preserve">4.2 No Fixed Maturity Date. </w:t>
      </w:r>
      <w:r>
        <w:t>There is no fixed maturity date and no outside time limit for payment of the Purchase Price. The outstanding balance will be reduced only by Seller Payments actually paid and credited, voluntary prepayments, or other credits agreed to in writing by both parties.</w:t>
      </w:r>
    </w:p>
    <w:p>
      <w:pPr>
        <w:spacing w:before="0" w:after="120" w:line="264" w:lineRule="auto"/>
        <w:ind w:left="461" w:hanging="461"/>
      </w:pPr>
      <w:r>
        <w:rPr>
          <w:rFonts w:ascii="Calibri" w:hAnsi="Calibri"/>
          <w:b/>
          <w:color w:val="000000"/>
        </w:rPr>
        <w:t xml:space="preserve">4.3 No Interest Unless Added by Counsel. </w:t>
      </w:r>
      <w:r>
        <w:t>The Purchase Price will not accrue interest unless a final attorney-approved version of this Agreement or a separate promissory note expressly states an interest rate.</w:t>
      </w:r>
    </w:p>
    <w:p>
      <w:pPr>
        <w:spacing w:before="0" w:after="120" w:line="264" w:lineRule="auto"/>
        <w:ind w:left="461" w:hanging="461"/>
      </w:pPr>
      <w:r>
        <w:rPr>
          <w:rFonts w:ascii="Calibri" w:hAnsi="Calibri"/>
          <w:b/>
          <w:color w:val="000000"/>
        </w:rPr>
        <w:t xml:space="preserve">4.4 Seller Payment Percentage. </w:t>
      </w:r>
      <w:r>
        <w:t>Until the Purchase Price has been paid in full, Seller will be paid an amount equal to ten percent (10%) of Gross Order Revenue for each Closed Completed Order (each amount, a "Seller Payment"). Seller Payments are capped at the unpaid balance of the Purchase Price. Once the aggregate amount paid to Seller equals $500,000, no further Seller Payments are owed.</w:t>
      </w:r>
    </w:p>
    <w:p>
      <w:pPr>
        <w:spacing w:before="0" w:after="120" w:line="264" w:lineRule="auto"/>
        <w:ind w:left="461" w:hanging="461"/>
      </w:pPr>
      <w:r>
        <w:rPr>
          <w:rFonts w:ascii="Calibri" w:hAnsi="Calibri"/>
          <w:b/>
          <w:color w:val="000000"/>
        </w:rPr>
        <w:t xml:space="preserve">4.5 Monthly Payment Date. </w:t>
      </w:r>
      <w:r>
        <w:t>Seller will be paid on the last calendar day of each month for the Seller Payments owed on Closed Completed Orders during that same month. If banking systems, weekends, or holidays prevent payment on the last calendar day, payment will be made on the next business day. Seller will not be paid before an order is closed out and completed.</w:t>
      </w:r>
    </w:p>
    <w:p>
      <w:pPr>
        <w:spacing w:before="0" w:after="120" w:line="264" w:lineRule="auto"/>
        <w:ind w:left="461" w:hanging="461"/>
      </w:pPr>
      <w:r>
        <w:rPr>
          <w:rFonts w:ascii="Calibri" w:hAnsi="Calibri"/>
          <w:b/>
          <w:color w:val="000000"/>
        </w:rPr>
        <w:t xml:space="preserve">4.6 No Payment on Open Orders. </w:t>
      </w:r>
      <w:r>
        <w:t>No Seller Payment will be due on a sale, deposit, quote, proposal, work-in-progress order, or any other transaction until it qualifies as a Closed Completed Order. If a customer pays a deposit in one month and the order is completed and closed in a later month, the applicable Seller Payment will be calculated and paid for the later month in which the order becomes a Closed Completed Order.</w:t>
      </w:r>
    </w:p>
    <w:p>
      <w:pPr>
        <w:spacing w:before="0" w:after="120" w:line="264" w:lineRule="auto"/>
        <w:ind w:left="461" w:hanging="461"/>
      </w:pPr>
      <w:r>
        <w:rPr>
          <w:rFonts w:ascii="Calibri" w:hAnsi="Calibri"/>
          <w:b/>
          <w:color w:val="000000"/>
        </w:rPr>
        <w:t xml:space="preserve">4.7 Ledger Reconciliation. </w:t>
      </w:r>
      <w:r>
        <w:t>At or before each monthly payment, the Website Ledger will show the Closed Completed Orders included in that month's calculation, the Gross Order Revenue for each order, the 10% Seller Payment for each order, any refunds or credits, the payment date, the cumulative amount paid toward the Purchase Price, and the remaining outstanding balance.</w:t>
      </w:r>
    </w:p>
    <w:p>
      <w:pPr>
        <w:spacing w:before="0" w:after="120" w:line="264" w:lineRule="auto"/>
        <w:ind w:left="461" w:hanging="461"/>
      </w:pPr>
      <w:r>
        <w:rPr>
          <w:rFonts w:ascii="Calibri" w:hAnsi="Calibri"/>
          <w:b/>
          <w:color w:val="000000"/>
        </w:rPr>
        <w:t xml:space="preserve">4.8 Prepayment. </w:t>
      </w:r>
      <w:r>
        <w:t>Buyer may prepay any portion of the unpaid Purchase Price at any time without penalty. Any prepayment will reduce the outstanding balance dollar-for-dollar.</w:t>
      </w:r>
    </w:p>
    <w:p>
      <w:pPr>
        <w:pStyle w:val="Heading1"/>
      </w:pPr>
      <w:r>
        <w:t>5. Control of Business Operations</w:t>
      </w:r>
    </w:p>
    <w:p>
      <w:pPr>
        <w:spacing w:before="0" w:after="120" w:line="264" w:lineRule="auto"/>
        <w:ind w:left="461" w:hanging="461"/>
      </w:pPr>
      <w:r>
        <w:rPr>
          <w:rFonts w:ascii="Calibri" w:hAnsi="Calibri"/>
          <w:b/>
          <w:color w:val="000000"/>
        </w:rPr>
        <w:t xml:space="preserve">5.1 Buyer's Full Operational Control. </w:t>
      </w:r>
      <w:r>
        <w:t>Beginning on the Effective Date, Buyer will have full and exclusive authority over all Business operations, strategy, systems, and decisions, except for the specific Seller-retained bookkeeping, bank-account administration, vendor transparency, and phone-number legal retention rights stated in this Agreement.</w:t>
      </w:r>
    </w:p>
    <w:p>
      <w:pPr>
        <w:spacing w:before="0" w:after="80" w:line="264" w:lineRule="auto"/>
        <w:ind w:left="749" w:hanging="317"/>
      </w:pPr>
      <w:r>
        <w:rPr>
          <w:rFonts w:ascii="Calibri" w:hAnsi="Calibri"/>
          <w:b/>
        </w:rPr>
        <w:t xml:space="preserve">(a) </w:t>
      </w:r>
      <w:r>
        <w:t>Buyer's operational control includes the website, website backend, domains, advertising, marketing, branding, sales process, pricing, customer communication philosophy, CRM, lead sources, Yelp, Google Business Profile, social media, email, vendor selection, product mix, service areas, operating policies, customer policies, design standards, staff responsibilities, and every other operational item in the SNS Interiors Inc. DBA 805 Shutters ecosystem.</w:t>
      </w:r>
    </w:p>
    <w:p>
      <w:pPr>
        <w:spacing w:before="0" w:after="80" w:line="264" w:lineRule="auto"/>
        <w:ind w:left="749" w:hanging="317"/>
      </w:pPr>
      <w:r>
        <w:rPr>
          <w:rFonts w:ascii="Calibri" w:hAnsi="Calibri"/>
          <w:b/>
        </w:rPr>
        <w:t xml:space="preserve">(b) </w:t>
      </w:r>
      <w:r>
        <w:t>Seller will not have approval rights, veto rights, management rights, control rights, or operational decision-making authority over the Business after the Effective Date, except as expressly stated in this Agreement for bookkeeping, bank-account administration, vendor transparency, phone-number continuity, and payment verification.</w:t>
      </w:r>
    </w:p>
    <w:p>
      <w:pPr>
        <w:spacing w:before="0" w:after="80" w:line="264" w:lineRule="auto"/>
        <w:ind w:left="749" w:hanging="317"/>
      </w:pPr>
      <w:r>
        <w:rPr>
          <w:rFonts w:ascii="Calibri" w:hAnsi="Calibri"/>
          <w:b/>
        </w:rPr>
        <w:t xml:space="preserve">(c) </w:t>
      </w:r>
      <w:r>
        <w:t>Seller acknowledges that Buyer may change the Business model, advertising strategy, website, lead flow, sales process, philosophy, staffing, vendors, tools, backend systems, customer-facing materials, and other operating systems at Buyer's sole discretion.</w:t>
      </w:r>
    </w:p>
    <w:p>
      <w:pPr>
        <w:spacing w:before="0" w:after="120" w:line="264" w:lineRule="auto"/>
        <w:ind w:left="461" w:hanging="461"/>
      </w:pPr>
      <w:r>
        <w:rPr>
          <w:rFonts w:ascii="Calibri" w:hAnsi="Calibri"/>
          <w:b/>
          <w:color w:val="000000"/>
        </w:rPr>
        <w:t xml:space="preserve">5.2 Employees, Staff, Contractors, and Partners. </w:t>
      </w:r>
      <w:r>
        <w:t>Buyer may hire, retain, terminate, engage, compensate, or partner with any employees, staff, contractors, installers, salespeople, agencies, advisors, investors, strategic partners, or other persons Buyer determines are necessary or useful to achieve Buyer's long-term vision for the Business. No such hire, engagement, or partnership will reduce the outstanding Purchase Price unless Seller expressly agrees in writing.</w:t>
      </w:r>
    </w:p>
    <w:p>
      <w:pPr>
        <w:spacing w:before="0" w:after="120" w:line="264" w:lineRule="auto"/>
        <w:ind w:left="461" w:hanging="461"/>
      </w:pPr>
      <w:r>
        <w:rPr>
          <w:rFonts w:ascii="Calibri" w:hAnsi="Calibri"/>
          <w:b/>
          <w:color w:val="000000"/>
        </w:rPr>
        <w:t xml:space="preserve">5.3 No Duty to Operate in Seller's Preferred Manner. </w:t>
      </w:r>
      <w:r>
        <w:t>Seller acknowledges that Buyer has no duty to operate the Business in the same manner Seller operated it, and Seller has no right to require Buyer to maintain any particular advertising spend, staffing level, vendor relationship, pricing structure, sales volume, or operating philosophy.</w:t>
      </w:r>
    </w:p>
    <w:p>
      <w:pPr>
        <w:spacing w:before="0" w:after="120" w:line="264" w:lineRule="auto"/>
        <w:ind w:left="461" w:hanging="461"/>
      </w:pPr>
      <w:r>
        <w:rPr>
          <w:rFonts w:ascii="Calibri" w:hAnsi="Calibri"/>
          <w:b/>
          <w:color w:val="000000"/>
          <w:sz w:val="22"/>
        </w:rPr>
        <w:t xml:space="preserve">5.4 Installation Work. </w:t>
      </w:r>
      <w:r>
        <w:rPr>
          <w:rFonts w:ascii="Calibri" w:hAnsi="Calibri"/>
          <w:b w:val="0"/>
          <w:color w:val="000000"/>
          <w:sz w:val="22"/>
        </w:rPr>
        <w:t>Buyer and the Business will subcontract all installation work to MTS Installations or another installation company that is properly licensed for the applicable installation work. The Business will not self-perform installation work and will operate as the sales, customer, administrative, vendor-management, and project-coordination business unless counsel approves a different structure in writing.</w:t>
      </w:r>
    </w:p>
    <w:p>
      <w:pPr>
        <w:pStyle w:val="Heading1"/>
      </w:pPr>
      <w:r>
        <w:t>6. Bookkeeping, Bank Account, and Financial Transparency</w:t>
      </w:r>
    </w:p>
    <w:p>
      <w:pPr>
        <w:spacing w:before="0" w:after="120" w:line="264" w:lineRule="auto"/>
        <w:ind w:left="461" w:hanging="461"/>
      </w:pPr>
      <w:r>
        <w:rPr>
          <w:rFonts w:ascii="Calibri" w:hAnsi="Calibri"/>
          <w:b/>
          <w:color w:val="000000"/>
        </w:rPr>
        <w:t xml:space="preserve">6.1 Seller-Retained Bookkeeping. </w:t>
      </w:r>
      <w:r>
        <w:t>Until the Payoff Date, Seller will retain responsibility for bookkeeping functions unless the parties agree otherwise in writing. Bookkeeping includes maintaining or supervising accurate financial records, reconciling the bank account, recording customer payments, recording vendor payments, calculating monthly Seller Payments, maintaining source documents, and supporting transparent review of Business revenue and expenses.</w:t>
      </w:r>
    </w:p>
    <w:p>
      <w:pPr>
        <w:spacing w:before="0" w:after="120" w:line="264" w:lineRule="auto"/>
        <w:ind w:left="461" w:hanging="461"/>
      </w:pPr>
      <w:r>
        <w:rPr>
          <w:rFonts w:ascii="Calibri" w:hAnsi="Calibri"/>
          <w:b/>
          <w:color w:val="000000"/>
        </w:rPr>
        <w:t xml:space="preserve">6.2 Bank Account Control for Transparency. </w:t>
      </w:r>
      <w:r>
        <w:t>Seller will retain full administrative control of the Business bank account until the Payoff Date so that transparency is optimized and Seller can verify revenue, expenses, customer collections, and Seller Payments. Seller's bank-account control is for bookkeeping, transparency, continuity, and security only; it does not give Seller operational control of the Business.</w:t>
      </w:r>
    </w:p>
    <w:p>
      <w:pPr>
        <w:spacing w:before="0" w:after="120" w:line="264" w:lineRule="auto"/>
        <w:ind w:left="461" w:hanging="461"/>
      </w:pPr>
      <w:r>
        <w:rPr>
          <w:rFonts w:ascii="Calibri" w:hAnsi="Calibri"/>
          <w:b/>
          <w:color w:val="000000"/>
        </w:rPr>
        <w:t xml:space="preserve">6.3 No Interference Through Bank Control. </w:t>
      </w:r>
      <w:r>
        <w:t>Seller will not use bank-account control to interfere with Buyer's management of the Business, block ordinary-course operating expenses, prevent vendor payments, prevent payroll or contractor payments, withhold operating funds, redirect Business revenue for personal use, or otherwise control Business decisions. Seller may withdraw or receive only the Seller Payments due under this Agreement and any other amounts approved in writing by Buyer.</w:t>
      </w:r>
    </w:p>
    <w:p>
      <w:pPr>
        <w:spacing w:before="0" w:after="120" w:line="264" w:lineRule="auto"/>
        <w:ind w:left="461" w:hanging="461"/>
      </w:pPr>
      <w:r>
        <w:rPr>
          <w:rFonts w:ascii="Calibri" w:hAnsi="Calibri"/>
          <w:b/>
          <w:color w:val="000000"/>
        </w:rPr>
        <w:t xml:space="preserve">6.4 Business Funds. </w:t>
      </w:r>
      <w:r>
        <w:t>After the Effective Date, customer payments and Business revenue will be treated as Business funds subject to Buyer's operational control, Seller's monthly Seller Payment rights, ordinary-course Business expenses, taxes, refunds, chargebacks, and other obligations of the Business.</w:t>
      </w:r>
    </w:p>
    <w:p>
      <w:pPr>
        <w:spacing w:before="0" w:after="120" w:line="264" w:lineRule="auto"/>
        <w:ind w:left="461" w:hanging="461"/>
      </w:pPr>
      <w:r>
        <w:rPr>
          <w:rFonts w:ascii="Calibri" w:hAnsi="Calibri"/>
          <w:b/>
          <w:color w:val="000000"/>
        </w:rPr>
        <w:t xml:space="preserve">6.5 Monthly Records. </w:t>
      </w:r>
      <w:r>
        <w:t>For each month, Seller and Buyer will use the Website Ledger and bank records to reconcile Closed Completed Orders, Gross Order Revenue, refunds, credits, Seller Payments, and the remaining Purchase Price balance. Either party may request reasonable supporting records for any monthly calculation.</w:t>
      </w:r>
    </w:p>
    <w:p>
      <w:pPr>
        <w:pStyle w:val="Heading1"/>
      </w:pPr>
      <w:r>
        <w:t>7. Website Ledger and Backend Access</w:t>
      </w:r>
    </w:p>
    <w:p>
      <w:pPr>
        <w:spacing w:before="0" w:after="120" w:line="264" w:lineRule="auto"/>
        <w:ind w:left="461" w:hanging="461"/>
      </w:pPr>
      <w:r>
        <w:rPr>
          <w:rFonts w:ascii="Calibri" w:hAnsi="Calibri"/>
          <w:b/>
          <w:color w:val="000000"/>
        </w:rPr>
        <w:t xml:space="preserve">7.1 Ledger Requirement. </w:t>
      </w:r>
      <w:r>
        <w:t>SNS Interiors Inc. DBA 805 Shutters will maintain a Website Ledger in the website backend, CRM, or other Business backend system. The ledger will track payments, order amounts, order status, completion and close-out status, Seller Payment calculations, payments made to Seller, and the outstanding Purchase Price balance.</w:t>
      </w:r>
    </w:p>
    <w:p>
      <w:pPr>
        <w:spacing w:before="0" w:after="120" w:line="264" w:lineRule="auto"/>
        <w:ind w:left="461" w:hanging="461"/>
      </w:pPr>
      <w:r>
        <w:rPr>
          <w:rFonts w:ascii="Calibri" w:hAnsi="Calibri"/>
          <w:b/>
          <w:color w:val="000000"/>
        </w:rPr>
        <w:t xml:space="preserve">7.2 Seller Access. </w:t>
      </w:r>
      <w:r>
        <w:t>Seller will have access to the Website Ledger for complete transparency until the Purchase Price is paid in full. Unless Buyer approves broader rights, Seller's ledger access will be read-only and export-capable, so Seller can review the information without changing Business records or operational systems.</w:t>
      </w:r>
    </w:p>
    <w:p>
      <w:pPr>
        <w:spacing w:before="0" w:after="120" w:line="264" w:lineRule="auto"/>
        <w:ind w:left="461" w:hanging="461"/>
      </w:pPr>
      <w:r>
        <w:rPr>
          <w:rFonts w:ascii="Calibri" w:hAnsi="Calibri"/>
          <w:b/>
          <w:color w:val="000000"/>
        </w:rPr>
        <w:t xml:space="preserve">7.3 Ledger Integrity. </w:t>
      </w:r>
      <w:r>
        <w:t>Buyer will not intentionally omit Closed Completed Orders from the Website Ledger, and Seller will not alter operational records without Buyer's written approval. Corrections to ledger errors will be made promptly and transparently, with the correction date and reason recorded where practical.</w:t>
      </w:r>
    </w:p>
    <w:p>
      <w:pPr>
        <w:spacing w:before="0" w:after="120" w:line="264" w:lineRule="auto"/>
        <w:ind w:left="461" w:hanging="461"/>
      </w:pPr>
      <w:r>
        <w:rPr>
          <w:rFonts w:ascii="Calibri" w:hAnsi="Calibri"/>
          <w:b/>
          <w:color w:val="000000"/>
        </w:rPr>
        <w:t xml:space="preserve">7.4 Backend Continuity. </w:t>
      </w:r>
      <w:r>
        <w:t>Buyer may replace, rebuild, migrate, or improve the website backend, CRM, or ledger system at any time, provided the replacement system continues to give Seller reasonable access to the information needed to verify Seller Payments and the outstanding Purchase Price balance.</w:t>
      </w:r>
    </w:p>
    <w:p>
      <w:pPr>
        <w:pStyle w:val="Heading1"/>
      </w:pPr>
      <w:r>
        <w:t>8. Vendors and Vendor Transparency</w:t>
      </w:r>
    </w:p>
    <w:p>
      <w:pPr>
        <w:spacing w:before="0" w:after="120" w:line="264" w:lineRule="auto"/>
        <w:ind w:left="461" w:hanging="461"/>
      </w:pPr>
      <w:r>
        <w:rPr>
          <w:rFonts w:ascii="Calibri" w:hAnsi="Calibri"/>
          <w:b/>
          <w:color w:val="000000"/>
        </w:rPr>
        <w:t xml:space="preserve">8.1 Seller Vendor Access. </w:t>
      </w:r>
      <w:r>
        <w:t>Seller will have complete access to vendor information, vendor portals, vendor invoices, vendor order histories, statements, and supporting records to optimize transparency and verify Business activity, vendor costs, order status, and payment calculations.</w:t>
      </w:r>
    </w:p>
    <w:p>
      <w:pPr>
        <w:spacing w:before="0" w:after="120" w:line="264" w:lineRule="auto"/>
        <w:ind w:left="461" w:hanging="461"/>
      </w:pPr>
      <w:r>
        <w:rPr>
          <w:rFonts w:ascii="Calibri" w:hAnsi="Calibri"/>
          <w:b/>
          <w:color w:val="000000"/>
        </w:rPr>
        <w:t xml:space="preserve">8.2 No Vendor Control. </w:t>
      </w:r>
      <w:r>
        <w:t>Seller's vendor access is for transparency and bookkeeping only. Seller will not direct vendors, override Buyer instructions, change vendor terms, cancel orders, delay orders, reroute vendor communications, or otherwise control vendor relationships unless Buyer authorizes that action in writing or the action is necessary to prevent fraud, account compromise, or material accounting error.</w:t>
      </w:r>
    </w:p>
    <w:p>
      <w:pPr>
        <w:spacing w:before="0" w:after="120" w:line="264" w:lineRule="auto"/>
        <w:ind w:left="461" w:hanging="461"/>
      </w:pPr>
      <w:r>
        <w:rPr>
          <w:rFonts w:ascii="Calibri" w:hAnsi="Calibri"/>
          <w:b/>
          <w:color w:val="000000"/>
        </w:rPr>
        <w:t xml:space="preserve">8.3 Buyer Vendor Authority. </w:t>
      </w:r>
      <w:r>
        <w:t>Buyer may add, remove, replace, negotiate with, or change vendors, product lines, workrooms, installers, and suppliers at Buyer's discretion. Seller will provide reasonable cooperation and account history needed for vendor onboarding, credit applications, account transfers, and continuity.</w:t>
      </w:r>
    </w:p>
    <w:p>
      <w:pPr>
        <w:pStyle w:val="Heading1"/>
      </w:pPr>
      <w:r>
        <w:t>9. Phone Numbers, Calls, and Customer Communications</w:t>
      </w:r>
    </w:p>
    <w:p>
      <w:pPr>
        <w:spacing w:before="0" w:after="120" w:line="264" w:lineRule="auto"/>
        <w:ind w:left="461" w:hanging="461"/>
      </w:pPr>
      <w:r>
        <w:rPr>
          <w:rFonts w:ascii="Calibri" w:hAnsi="Calibri"/>
          <w:b/>
          <w:color w:val="000000"/>
        </w:rPr>
        <w:t xml:space="preserve">9.1 Seller Temporary Retention. </w:t>
      </w:r>
      <w:r>
        <w:t>Seller will retain legal account ownership or carrier control of the Business phone numbers until the Payoff Date. Seller will keep all Business phone numbers active, paid, and in good standing during that period unless Buyer instructs otherwise in writing.</w:t>
      </w:r>
    </w:p>
    <w:p>
      <w:pPr>
        <w:spacing w:before="0" w:after="120" w:line="264" w:lineRule="auto"/>
        <w:ind w:left="461" w:hanging="461"/>
      </w:pPr>
      <w:r>
        <w:rPr>
          <w:rFonts w:ascii="Calibri" w:hAnsi="Calibri"/>
          <w:b/>
          <w:color w:val="000000"/>
        </w:rPr>
        <w:t xml:space="preserve">9.2 Buyer Exclusive Operational Use. </w:t>
      </w:r>
      <w:r>
        <w:t>Buyer will have exclusive operational use and control of the Business phone numbers, call routing, text messaging, voicemail, call tracking, lead intake, and customer communication systems after the Effective Date. Seller will not reroute, suspend, disable, transfer, port, monitor, or use the phone numbers in a way that interferes with Buyer's operation of the Business.</w:t>
      </w:r>
    </w:p>
    <w:p>
      <w:pPr>
        <w:spacing w:before="0" w:after="120" w:line="264" w:lineRule="auto"/>
        <w:ind w:left="461" w:hanging="461"/>
      </w:pPr>
      <w:r>
        <w:rPr>
          <w:rFonts w:ascii="Calibri" w:hAnsi="Calibri"/>
          <w:b/>
          <w:color w:val="000000"/>
        </w:rPr>
        <w:t xml:space="preserve">9.3 Transfer After Payoff. </w:t>
      </w:r>
      <w:r>
        <w:t>Within five (5) business days after the Payoff Date, Seller will take all steps reasonably required by carriers, service providers, or counsel to transfer complete and full control of the Business phone numbers and related communication services to Buyer.</w:t>
      </w:r>
    </w:p>
    <w:p>
      <w:pPr>
        <w:pStyle w:val="Heading1"/>
      </w:pPr>
      <w:r>
        <w:t>10. Transition Cooperation and Access</w:t>
      </w:r>
    </w:p>
    <w:p>
      <w:pPr>
        <w:spacing w:before="0" w:after="120" w:line="264" w:lineRule="auto"/>
        <w:ind w:left="461" w:hanging="461"/>
      </w:pPr>
      <w:r>
        <w:rPr>
          <w:rFonts w:ascii="Calibri" w:hAnsi="Calibri"/>
          <w:b/>
          <w:color w:val="000000"/>
        </w:rPr>
        <w:t xml:space="preserve">10.1 Initial Handover. </w:t>
      </w:r>
      <w:r>
        <w:t>Within three (3) business days after the Effective Date, Seller will provide Buyer with reasonable access to the Business's operational systems, including website backend, CRM, customer records, order records, vendor records, online listings, advertising accounts, social accounts, domains, email, phone routing, and other systems used to operate the Business.</w:t>
      </w:r>
    </w:p>
    <w:p>
      <w:pPr>
        <w:spacing w:before="0" w:after="120" w:line="264" w:lineRule="auto"/>
        <w:ind w:left="461" w:hanging="461"/>
      </w:pPr>
      <w:r>
        <w:rPr>
          <w:rFonts w:ascii="Calibri" w:hAnsi="Calibri"/>
          <w:b/>
          <w:color w:val="000000"/>
        </w:rPr>
        <w:t xml:space="preserve">10.2 Credentials and Multi-Factor Authentication. </w:t>
      </w:r>
      <w:r>
        <w:t>The parties will cooperate to transfer or share credentials, administrator rights, recovery email addresses, multi-factor authentication methods, API keys, and account ownership records as needed to effect the transition while preserving reasonable account security.</w:t>
      </w:r>
    </w:p>
    <w:p>
      <w:pPr>
        <w:spacing w:before="0" w:after="120" w:line="264" w:lineRule="auto"/>
        <w:ind w:left="461" w:hanging="461"/>
      </w:pPr>
      <w:r>
        <w:rPr>
          <w:rFonts w:ascii="Calibri" w:hAnsi="Calibri"/>
          <w:b/>
          <w:color w:val="000000"/>
        </w:rPr>
        <w:t xml:space="preserve">10.3 Further Assurances. </w:t>
      </w:r>
      <w:r>
        <w:t>Each party will sign and deliver additional documents and take reasonable additional actions necessary to carry out the intent of this Agreement, including bills of sale, assignment documents, account transfer forms, bank forms, carrier forms, vendor authorizations, and platform verification documents.</w:t>
      </w:r>
    </w:p>
    <w:p>
      <w:pPr>
        <w:pStyle w:val="Heading1"/>
      </w:pPr>
      <w:r>
        <w:t>11. Liabilities, Taxes, and Expenses</w:t>
      </w:r>
    </w:p>
    <w:p>
      <w:pPr>
        <w:spacing w:before="0" w:after="120" w:line="264" w:lineRule="auto"/>
        <w:ind w:left="461" w:hanging="461"/>
      </w:pPr>
      <w:r>
        <w:rPr>
          <w:rFonts w:ascii="Calibri" w:hAnsi="Calibri"/>
          <w:b/>
          <w:color w:val="000000"/>
        </w:rPr>
        <w:t xml:space="preserve">11.1 Pre-Effective Date Liabilities. </w:t>
      </w:r>
      <w:r>
        <w:t>Unless specifically listed in an attorney-approved schedule, Buyer does not assume debts, taxes, claims, refunds, chargebacks, penalties, payroll obligations, vendor balances, loans, leases, lawsuits, warranty obligations, or other liabilities arising before the Effective Date.</w:t>
      </w:r>
    </w:p>
    <w:p>
      <w:pPr>
        <w:spacing w:before="0" w:after="120" w:line="264" w:lineRule="auto"/>
        <w:ind w:left="461" w:hanging="461"/>
      </w:pPr>
      <w:r>
        <w:rPr>
          <w:rFonts w:ascii="Calibri" w:hAnsi="Calibri"/>
          <w:b/>
          <w:color w:val="000000"/>
        </w:rPr>
        <w:t xml:space="preserve">11.2 Post-Effective Date Operations. </w:t>
      </w:r>
      <w:r>
        <w:t>Buyer will be responsible for ordinary-course Business operations after the Effective Date, subject to the parties' final tax, payroll, vendor, and entity structure approved by counsel.</w:t>
      </w:r>
    </w:p>
    <w:p>
      <w:pPr>
        <w:spacing w:before="0" w:after="120" w:line="264" w:lineRule="auto"/>
        <w:ind w:left="461" w:hanging="461"/>
      </w:pPr>
      <w:r>
        <w:rPr>
          <w:rFonts w:ascii="Calibri" w:hAnsi="Calibri"/>
          <w:b/>
          <w:color w:val="000000"/>
        </w:rPr>
        <w:t xml:space="preserve">11.3 Taxes. </w:t>
      </w:r>
      <w:r>
        <w:t>The parties will cooperate with counsel and tax advisors to determine responsibility for sales taxes, income taxes, payroll taxes, transfer taxes, use taxes, and any other taxes relating to the Business, the Purchase Price, Seller Payments, and the transfer of assets.</w:t>
      </w:r>
    </w:p>
    <w:p>
      <w:pPr>
        <w:pStyle w:val="Heading1"/>
      </w:pPr>
      <w:r>
        <w:t>12. Representations and Warranties</w:t>
      </w:r>
    </w:p>
    <w:p>
      <w:pPr>
        <w:spacing w:before="0" w:after="120" w:line="264" w:lineRule="auto"/>
        <w:ind w:left="461" w:hanging="461"/>
      </w:pPr>
      <w:r>
        <w:rPr>
          <w:rFonts w:ascii="Calibri" w:hAnsi="Calibri"/>
          <w:b/>
          <w:color w:val="000000"/>
        </w:rPr>
        <w:t xml:space="preserve">12.1 Seller Representations. </w:t>
      </w:r>
      <w:r>
        <w:t>Seller represents that, to Seller's knowledge and except as disclosed in writing to Buyer, Seller owns or controls the Business and has authority to sell the Purchased Assets; the Purchased Assets are not subject to undisclosed liens or claims; Seller has not granted another person inconsistent rights to the Business; and Seller has disclosed material vendor, bank, phone, tax, litigation, platform, and contract issues known to Seller.</w:t>
      </w:r>
    </w:p>
    <w:p>
      <w:pPr>
        <w:spacing w:before="0" w:after="120" w:line="264" w:lineRule="auto"/>
        <w:ind w:left="461" w:hanging="461"/>
      </w:pPr>
      <w:r>
        <w:rPr>
          <w:rFonts w:ascii="Calibri" w:hAnsi="Calibri"/>
          <w:b/>
          <w:color w:val="000000"/>
        </w:rPr>
        <w:t xml:space="preserve">12.2 Buyer Representations. </w:t>
      </w:r>
      <w:r>
        <w:t>Buyer represents that Buyer has authority to enter into this Agreement, has had the opportunity to inspect the Business, and is relying on Buyer's own review and the express written representations in this Agreement.</w:t>
      </w:r>
    </w:p>
    <w:p>
      <w:pPr>
        <w:spacing w:before="0" w:after="120" w:line="264" w:lineRule="auto"/>
        <w:ind w:left="461" w:hanging="461"/>
      </w:pPr>
      <w:r>
        <w:rPr>
          <w:rFonts w:ascii="Calibri" w:hAnsi="Calibri"/>
          <w:b/>
          <w:color w:val="000000"/>
        </w:rPr>
        <w:t xml:space="preserve">12.3 Survival. </w:t>
      </w:r>
      <w:r>
        <w:t>The representations and warranties will survive signing for the period stated in the final attorney-approved version of this Agreement. Counsel should determine the appropriate survival period and remedy structure.</w:t>
      </w:r>
    </w:p>
    <w:p>
      <w:pPr>
        <w:pStyle w:val="Heading1"/>
      </w:pPr>
      <w:r>
        <w:t>13. Covenants</w:t>
      </w:r>
    </w:p>
    <w:p>
      <w:pPr>
        <w:spacing w:before="0" w:after="120" w:line="264" w:lineRule="auto"/>
        <w:ind w:left="461" w:hanging="461"/>
      </w:pPr>
      <w:r>
        <w:rPr>
          <w:rFonts w:ascii="Calibri" w:hAnsi="Calibri"/>
          <w:b/>
          <w:color w:val="000000"/>
        </w:rPr>
        <w:t xml:space="preserve">13.1 Seller Non-Interference. </w:t>
      </w:r>
      <w:r>
        <w:t>Seller will not interfere with Buyer's operation of the Business, redirect Business leads, misuse Business accounts, block customer communications, impair vendor relationships, restrict advertising, disable systems, withhold records, or take any action inconsistent with Buyer's operational control.</w:t>
      </w:r>
    </w:p>
    <w:p>
      <w:pPr>
        <w:spacing w:before="0" w:after="120" w:line="264" w:lineRule="auto"/>
        <w:ind w:left="461" w:hanging="461"/>
      </w:pPr>
      <w:r>
        <w:rPr>
          <w:rFonts w:ascii="Calibri" w:hAnsi="Calibri"/>
          <w:b/>
          <w:color w:val="000000"/>
        </w:rPr>
        <w:t xml:space="preserve">13.2 Goodwill Protection. </w:t>
      </w:r>
      <w:r>
        <w:t>Seller will not knowingly impair the goodwill sold to Buyer, misrepresent Buyer's authority to operate the Business, or tell customers, vendors, employees, platforms, or partners that Buyer lacks authority to operate SNS Interiors Inc. DBA 805 Shutters. Any broader non-competition, non-solicitation, or sale-of-goodwill covenant must be reviewed and drafted by counsel for compliance with California law.</w:t>
      </w:r>
    </w:p>
    <w:p>
      <w:pPr>
        <w:spacing w:before="0" w:after="120" w:line="264" w:lineRule="auto"/>
        <w:ind w:left="461" w:hanging="461"/>
      </w:pPr>
      <w:r>
        <w:rPr>
          <w:rFonts w:ascii="Calibri" w:hAnsi="Calibri"/>
          <w:b/>
          <w:color w:val="000000"/>
        </w:rPr>
        <w:t xml:space="preserve">13.3 Confidentiality. </w:t>
      </w:r>
      <w:r>
        <w:t>Each party will keep confidential non-public Business information, customer information, vendor information, bank records, backend records, pricing, strategy, and financial records, except as needed to operate the Business, maintain bookkeeping, obtain legal or tax advice, enforce this Agreement, or comply with law.</w:t>
      </w:r>
    </w:p>
    <w:p>
      <w:pPr>
        <w:spacing w:before="0" w:after="120" w:line="264" w:lineRule="auto"/>
        <w:ind w:left="461" w:hanging="461"/>
      </w:pPr>
      <w:r>
        <w:rPr>
          <w:rFonts w:ascii="Calibri" w:hAnsi="Calibri"/>
          <w:b/>
          <w:color w:val="000000"/>
        </w:rPr>
        <w:t xml:space="preserve">13.4 Records Preservation. </w:t>
      </w:r>
      <w:r>
        <w:t>Each party will preserve material Business records reasonably needed for bookkeeping, tax, customer service, vendor reconciliation, warranty support, Seller Payment calculations, and attorney review.</w:t>
      </w:r>
    </w:p>
    <w:p>
      <w:pPr>
        <w:pStyle w:val="Heading1"/>
      </w:pPr>
      <w:r>
        <w:t>14. Default and Remedies</w:t>
      </w:r>
    </w:p>
    <w:p>
      <w:pPr>
        <w:spacing w:before="0" w:after="120" w:line="264" w:lineRule="auto"/>
        <w:ind w:left="461" w:hanging="461"/>
      </w:pPr>
      <w:r>
        <w:rPr>
          <w:rFonts w:ascii="Calibri" w:hAnsi="Calibri"/>
          <w:b/>
          <w:color w:val="000000"/>
        </w:rPr>
        <w:t xml:space="preserve">14.1 Buyer Default. </w:t>
      </w:r>
      <w:r>
        <w:t>Buyer will be in default if Buyer fails to pay an undisputed Seller Payment when due and fails to cure within ten (10) business days after written notice; intentionally omits material Closed Completed Orders from the Website Ledger; materially blocks Seller's agreed transparency rights; or materially breaches another obligation under this Agreement and fails to cure within the applicable cure period set by counsel.</w:t>
      </w:r>
    </w:p>
    <w:p>
      <w:pPr>
        <w:spacing w:before="0" w:after="120" w:line="264" w:lineRule="auto"/>
        <w:ind w:left="461" w:hanging="461"/>
      </w:pPr>
      <w:r>
        <w:rPr>
          <w:rFonts w:ascii="Calibri" w:hAnsi="Calibri"/>
          <w:b/>
          <w:color w:val="000000"/>
        </w:rPr>
        <w:t xml:space="preserve">14.2 Seller Default. </w:t>
      </w:r>
      <w:r>
        <w:t>Seller will be in default if Seller materially interferes with Buyer's operation of the Business; misuses bank-account control; withholds required access; blocks vendor, phone, website, or backend systems; fails to transfer bank account or phone-number control after the Payoff Date; takes more than the Seller Payments due; or materially breaches another obligation under this Agreement and fails to cure within the applicable cure period set by counsel.</w:t>
      </w:r>
    </w:p>
    <w:p>
      <w:pPr>
        <w:spacing w:before="0" w:after="120" w:line="264" w:lineRule="auto"/>
        <w:ind w:left="461" w:hanging="461"/>
      </w:pPr>
      <w:r>
        <w:rPr>
          <w:rFonts w:ascii="Calibri" w:hAnsi="Calibri"/>
          <w:b/>
          <w:color w:val="000000"/>
        </w:rPr>
        <w:t xml:space="preserve">14.3 Remedies. </w:t>
      </w:r>
      <w:r>
        <w:t>Subject to final attorney review, available remedies may include specific performance, injunctive relief, accounting, repayment of improper withdrawals, correction of ledger records, damages, attorney fees where allowed by the final agreement, and other remedies available at law or in equity.</w:t>
      </w:r>
    </w:p>
    <w:p>
      <w:pPr>
        <w:pStyle w:val="Heading1"/>
      </w:pPr>
      <w:r>
        <w:t>15. Payoff and Final Ownership Transition</w:t>
      </w:r>
    </w:p>
    <w:p>
      <w:pPr>
        <w:spacing w:before="0" w:after="120" w:line="264" w:lineRule="auto"/>
        <w:ind w:left="461" w:hanging="461"/>
      </w:pPr>
      <w:r>
        <w:rPr>
          <w:rFonts w:ascii="Calibri" w:hAnsi="Calibri"/>
          <w:b/>
          <w:color w:val="000000"/>
        </w:rPr>
        <w:t xml:space="preserve">15.1 Payoff Confirmation. </w:t>
      </w:r>
      <w:r>
        <w:t>When the Website Ledger and payment records show that Seller has received an aggregate total of $500,000, the parties will sign a payoff acknowledgment confirming that the Purchase Price has been paid in full.</w:t>
      </w:r>
    </w:p>
    <w:p>
      <w:pPr>
        <w:spacing w:before="0" w:after="120" w:line="264" w:lineRule="auto"/>
        <w:ind w:left="461" w:hanging="461"/>
      </w:pPr>
      <w:r>
        <w:rPr>
          <w:rFonts w:ascii="Calibri" w:hAnsi="Calibri"/>
          <w:b/>
          <w:color w:val="000000"/>
        </w:rPr>
        <w:t xml:space="preserve">15.2 Final Control. </w:t>
      </w:r>
      <w:r>
        <w:t>After payoff, Buyer will have complete and full control of the Business bank account, Business phone numbers, website, backend systems, vendor accounts, customer records, online listings, advertising accounts, and all other Purchased Assets. Seller will have no continuing control rights except any rights expressly stated in a final written agreement signed after payoff.</w:t>
      </w:r>
    </w:p>
    <w:p>
      <w:pPr>
        <w:spacing w:before="0" w:after="120" w:line="264" w:lineRule="auto"/>
        <w:ind w:left="461" w:hanging="461"/>
      </w:pPr>
      <w:r>
        <w:rPr>
          <w:rFonts w:ascii="Calibri" w:hAnsi="Calibri"/>
          <w:b/>
          <w:color w:val="000000"/>
        </w:rPr>
        <w:t xml:space="preserve">15.3 Seller Release of Account Control. </w:t>
      </w:r>
      <w:r>
        <w:t>After payoff, Seller will promptly resign, remove himself, or convert to read-only status on bank, phone, vendor, website, backend, advertising, and platform accounts as necessary to give Buyer full control, unless Buyer requests Seller's continued limited access in writing.</w:t>
      </w:r>
    </w:p>
    <w:p>
      <w:pPr>
        <w:pStyle w:val="Heading1"/>
      </w:pPr>
      <w:r>
        <w:t>16. Miscellaneous</w:t>
      </w:r>
    </w:p>
    <w:p>
      <w:pPr>
        <w:spacing w:before="0" w:after="120" w:line="264" w:lineRule="auto"/>
        <w:ind w:left="461" w:hanging="461"/>
      </w:pPr>
      <w:r>
        <w:rPr>
          <w:rFonts w:ascii="Calibri" w:hAnsi="Calibri"/>
          <w:b/>
          <w:color w:val="000000"/>
        </w:rPr>
        <w:t xml:space="preserve">16.1 Governing Law. </w:t>
      </w:r>
      <w:r>
        <w:t>This Agreement will be governed by the laws of the State of California, without regard to conflicts of law principles, unless counsel determines a different governing law is required.</w:t>
      </w:r>
    </w:p>
    <w:p>
      <w:pPr>
        <w:spacing w:before="0" w:after="120" w:line="264" w:lineRule="auto"/>
        <w:ind w:left="461" w:hanging="461"/>
      </w:pPr>
      <w:r>
        <w:rPr>
          <w:rFonts w:ascii="Calibri" w:hAnsi="Calibri"/>
          <w:b/>
          <w:color w:val="000000"/>
        </w:rPr>
        <w:t xml:space="preserve">16.2 Venue. </w:t>
      </w:r>
      <w:r>
        <w:t>Any lawsuit or court proceeding relating to this Agreement will be brought in the state or federal courts serving Ventura County, California, unless counsel selects a different venue.</w:t>
      </w:r>
    </w:p>
    <w:p>
      <w:pPr>
        <w:spacing w:before="0" w:after="120" w:line="264" w:lineRule="auto"/>
        <w:ind w:left="461" w:hanging="461"/>
      </w:pPr>
      <w:r>
        <w:rPr>
          <w:rFonts w:ascii="Calibri" w:hAnsi="Calibri"/>
          <w:b/>
          <w:color w:val="000000"/>
        </w:rPr>
        <w:t xml:space="preserve">16.3 Entire Agreement. </w:t>
      </w:r>
      <w:r>
        <w:t>This Agreement, together with its schedules, exhibits, and any final promissory note or bill of sale, will constitute the entire agreement of the parties regarding the purchase and operation of the Business and will supersede prior oral or written understandings on that subject.</w:t>
      </w:r>
    </w:p>
    <w:p>
      <w:pPr>
        <w:spacing w:before="0" w:after="120" w:line="264" w:lineRule="auto"/>
        <w:ind w:left="461" w:hanging="461"/>
      </w:pPr>
      <w:r>
        <w:rPr>
          <w:rFonts w:ascii="Calibri" w:hAnsi="Calibri"/>
          <w:b/>
          <w:color w:val="000000"/>
        </w:rPr>
        <w:t xml:space="preserve">16.4 Amendments. </w:t>
      </w:r>
      <w:r>
        <w:t>This Agreement may be amended only by a written document signed by both parties.</w:t>
      </w:r>
    </w:p>
    <w:p>
      <w:pPr>
        <w:spacing w:before="0" w:after="120" w:line="264" w:lineRule="auto"/>
        <w:ind w:left="461" w:hanging="461"/>
      </w:pPr>
      <w:r>
        <w:rPr>
          <w:rFonts w:ascii="Calibri" w:hAnsi="Calibri"/>
          <w:b/>
          <w:color w:val="000000"/>
        </w:rPr>
        <w:t xml:space="preserve">16.5 Assignment. </w:t>
      </w:r>
      <w:r>
        <w:t>Buyer may assign this Agreement to an acquisition entity controlled by Buyer, provided Buyer remains responsible for the Purchase Price unless Seller releases Buyer in writing. Any sale of substantially all of the Business before the Payoff Date must require the transferee to assume this Agreement or must otherwise protect Seller's right to receive unpaid Seller Payments.</w:t>
      </w:r>
    </w:p>
    <w:p>
      <w:pPr>
        <w:spacing w:before="0" w:after="120" w:line="264" w:lineRule="auto"/>
        <w:ind w:left="461" w:hanging="461"/>
      </w:pPr>
      <w:r>
        <w:rPr>
          <w:rFonts w:ascii="Calibri" w:hAnsi="Calibri"/>
          <w:b/>
          <w:color w:val="000000"/>
        </w:rPr>
        <w:t xml:space="preserve">16.6 Counterparts and Electronic Signatures. </w:t>
      </w:r>
      <w:r>
        <w:t>This Agreement may be signed in counterparts and by electronic signature. All counterparts together will be treated as one agreement.</w:t>
      </w:r>
    </w:p>
    <w:p>
      <w:pPr>
        <w:spacing w:before="0" w:after="120" w:line="264" w:lineRule="auto"/>
        <w:ind w:left="461" w:hanging="461"/>
      </w:pPr>
      <w:r>
        <w:rPr>
          <w:rFonts w:ascii="Calibri" w:hAnsi="Calibri"/>
          <w:b/>
          <w:color w:val="000000"/>
        </w:rPr>
        <w:t xml:space="preserve">16.7 Severability. </w:t>
      </w:r>
      <w:r>
        <w:t>If any provision is held invalid or unenforceable, the remaining provisions will remain in effect to the fullest extent permitted by law, and the invalid provision will be revised only as necessary by a court or by the parties with counsel's advice.</w:t>
      </w:r>
    </w:p>
    <w:p>
      <w:pPr>
        <w:pStyle w:val="Heading1"/>
      </w:pPr>
      <w:r>
        <w:t>17. Attorney Review Checklist</w:t>
      </w:r>
    </w:p>
    <w:p>
      <w:pPr>
        <w:spacing w:before="0" w:after="80" w:line="264" w:lineRule="auto"/>
      </w:pPr>
      <w:r>
        <w:t>Before signing, counsel should review and complete at least the following items:</w:t>
      </w:r>
    </w:p>
    <w:p>
      <w:pPr>
        <w:spacing w:before="0" w:after="80" w:line="264" w:lineRule="auto"/>
        <w:ind w:left="749" w:hanging="317"/>
      </w:pPr>
      <w:r>
        <w:rPr>
          <w:rFonts w:ascii="Calibri" w:hAnsi="Calibri"/>
          <w:b/>
        </w:rPr>
        <w:t xml:space="preserve">(a) </w:t>
      </w:r>
      <w:r>
        <w:t>Confirm the exact legal name of Seller, the legal owner of SNS Interiors Inc. DBA 805 Shutters, and any spouse/entity signatures needed.</w:t>
      </w:r>
    </w:p>
    <w:p>
      <w:pPr>
        <w:spacing w:before="0" w:after="80" w:line="264" w:lineRule="auto"/>
        <w:ind w:left="749" w:hanging="317"/>
      </w:pPr>
      <w:r>
        <w:rPr>
          <w:rFonts w:ascii="Calibri" w:hAnsi="Calibri"/>
          <w:b/>
        </w:rPr>
        <w:t xml:space="preserve">(b) </w:t>
      </w:r>
      <w:r>
        <w:t>Confirm whether the transaction should be structured as an asset purchase, equity purchase, membership-interest transfer, or staged transfer.</w:t>
      </w:r>
    </w:p>
    <w:p>
      <w:pPr>
        <w:spacing w:before="0" w:after="80" w:line="264" w:lineRule="auto"/>
        <w:ind w:left="749" w:hanging="317"/>
      </w:pPr>
      <w:r>
        <w:rPr>
          <w:rFonts w:ascii="Calibri" w:hAnsi="Calibri"/>
          <w:b/>
        </w:rPr>
        <w:t xml:space="preserve">(c) </w:t>
      </w:r>
      <w:r>
        <w:t>Prepare or approve a bill of sale, assignment agreement, seller note, security agreement, payoff acknowledgment, and account-transfer forms.</w:t>
      </w:r>
    </w:p>
    <w:p>
      <w:pPr>
        <w:spacing w:before="0" w:after="80" w:line="264" w:lineRule="auto"/>
        <w:ind w:left="749" w:hanging="317"/>
      </w:pPr>
      <w:r>
        <w:rPr>
          <w:rFonts w:ascii="Calibri" w:hAnsi="Calibri"/>
          <w:b/>
        </w:rPr>
        <w:t xml:space="preserve">(d) </w:t>
      </w:r>
      <w:r>
        <w:t>Confirm whether a UCC security interest, personal guaranty, collateral assignment, or other seller protection is appropriate.</w:t>
      </w:r>
    </w:p>
    <w:p>
      <w:pPr>
        <w:spacing w:before="0" w:after="80" w:line="264" w:lineRule="auto"/>
        <w:ind w:left="749" w:hanging="317"/>
      </w:pPr>
      <w:r>
        <w:rPr>
          <w:rFonts w:ascii="Calibri" w:hAnsi="Calibri"/>
          <w:b/>
        </w:rPr>
        <w:t xml:space="preserve">(e) </w:t>
      </w:r>
      <w:r>
        <w:t>Review the no-maturity/no-interest seller-financing structure and confirm tax treatment for both parties.</w:t>
      </w:r>
    </w:p>
    <w:p>
      <w:pPr>
        <w:spacing w:before="0" w:after="80" w:line="264" w:lineRule="auto"/>
        <w:ind w:left="749" w:hanging="317"/>
      </w:pPr>
      <w:r>
        <w:rPr>
          <w:rFonts w:ascii="Calibri" w:hAnsi="Calibri"/>
          <w:b/>
        </w:rPr>
        <w:t xml:space="preserve">(f) </w:t>
      </w:r>
      <w:r>
        <w:t>Finalize responsibility for sales tax, income tax, payroll tax, open orders, customer warranties, refunds, chargebacks, and vendor balances.</w:t>
      </w:r>
    </w:p>
    <w:p>
      <w:pPr>
        <w:spacing w:before="0" w:after="80" w:line="264" w:lineRule="auto"/>
        <w:ind w:left="749" w:hanging="317"/>
      </w:pPr>
      <w:r>
        <w:rPr>
          <w:rFonts w:ascii="Calibri" w:hAnsi="Calibri"/>
          <w:b/>
        </w:rPr>
        <w:t xml:space="preserve">(g) </w:t>
      </w:r>
      <w:r>
        <w:t>Confirm enforceability of goodwill-protection, non-interference, non-solicitation, and any non-compete language under California law.</w:t>
      </w:r>
    </w:p>
    <w:p>
      <w:pPr>
        <w:spacing w:before="0" w:after="80" w:line="264" w:lineRule="auto"/>
        <w:ind w:left="749" w:hanging="317"/>
      </w:pPr>
      <w:r>
        <w:rPr>
          <w:rFonts w:ascii="Calibri" w:hAnsi="Calibri"/>
          <w:b/>
        </w:rPr>
        <w:t xml:space="preserve">(h) </w:t>
      </w:r>
      <w:r>
        <w:t>Confirm carrier, bank, vendor, Google, Yelp, domain, advertising, and website-backend transfer requirements.</w:t>
      </w:r>
    </w:p>
    <w:p>
      <w:pPr>
        <w:spacing w:before="0" w:after="80" w:line="264" w:lineRule="auto"/>
        <w:ind w:left="749" w:hanging="317"/>
      </w:pPr>
      <w:r>
        <w:rPr>
          <w:rFonts w:ascii="Calibri" w:hAnsi="Calibri"/>
          <w:b/>
        </w:rPr>
        <w:t xml:space="preserve">(i) </w:t>
      </w:r>
      <w:r>
        <w:t>Confirm the Website Ledger requirements, audit rights, export rights, and dispute process for monthly payment calculations.</w:t>
      </w:r>
    </w:p>
    <w:p>
      <w:r>
        <w:br w:type="page"/>
      </w:r>
    </w:p>
    <w:p>
      <w:pPr>
        <w:pStyle w:val="Heading1"/>
      </w:pPr>
      <w:r>
        <w:t>Exhibit A - Seller Note and Monthly Payment Schedule</w:t>
      </w:r>
    </w:p>
    <w:p>
      <w:pPr>
        <w:spacing w:before="0" w:after="120" w:line="264" w:lineRule="auto"/>
        <w:ind w:left="461" w:hanging="461"/>
      </w:pPr>
      <w:r>
        <w:rPr>
          <w:rFonts w:ascii="Calibri" w:hAnsi="Calibri"/>
          <w:b/>
          <w:color w:val="000000"/>
        </w:rPr>
        <w:t xml:space="preserve">A.1 Principal Amount. </w:t>
      </w:r>
      <w:r>
        <w:t>The seller-financed principal amount is $500,000.</w:t>
      </w:r>
    </w:p>
    <w:p>
      <w:pPr>
        <w:spacing w:before="0" w:after="120" w:line="264" w:lineRule="auto"/>
        <w:ind w:left="461" w:hanging="461"/>
      </w:pPr>
      <w:r>
        <w:rPr>
          <w:rFonts w:ascii="Calibri" w:hAnsi="Calibri"/>
          <w:b/>
          <w:color w:val="000000"/>
        </w:rPr>
        <w:t xml:space="preserve">A.2 Payment Formula. </w:t>
      </w:r>
      <w:r>
        <w:t>Monthly Seller Payment = 10% x Gross Order Revenue from Closed Completed Orders for that month, capped by the remaining outstanding Purchase Price balance.</w:t>
      </w:r>
    </w:p>
    <w:p>
      <w:pPr>
        <w:spacing w:before="0" w:after="120" w:line="264" w:lineRule="auto"/>
        <w:ind w:left="461" w:hanging="461"/>
      </w:pPr>
      <w:r>
        <w:rPr>
          <w:rFonts w:ascii="Calibri" w:hAnsi="Calibri"/>
          <w:b/>
          <w:color w:val="000000"/>
        </w:rPr>
        <w:t xml:space="preserve">A.3 Payment Timing. </w:t>
      </w:r>
      <w:r>
        <w:t>Payment is made on the last calendar day of each month, or the next business day if payment cannot be processed on the last calendar day. No payment is due before an order is completed, closed out, and included as a Closed Completed Order.</w:t>
      </w:r>
    </w:p>
    <w:p>
      <w:pPr>
        <w:spacing w:before="0" w:after="120" w:line="264" w:lineRule="auto"/>
        <w:ind w:left="461" w:hanging="461"/>
      </w:pPr>
      <w:r>
        <w:rPr>
          <w:rFonts w:ascii="Calibri" w:hAnsi="Calibri"/>
          <w:b/>
          <w:color w:val="000000"/>
        </w:rPr>
        <w:t xml:space="preserve">A.4 No Minimum Payment. </w:t>
      </w:r>
      <w:r>
        <w:t>If there are no Closed Completed Orders in a month, no Seller Payment is due for that month.</w:t>
      </w:r>
    </w:p>
    <w:p>
      <w:pPr>
        <w:spacing w:before="0" w:after="120" w:line="264" w:lineRule="auto"/>
        <w:ind w:left="461" w:hanging="461"/>
      </w:pPr>
      <w:r>
        <w:rPr>
          <w:rFonts w:ascii="Calibri" w:hAnsi="Calibri"/>
          <w:b/>
          <w:color w:val="000000"/>
        </w:rPr>
        <w:t xml:space="preserve">A.5 Sample Calculation. </w:t>
      </w:r>
      <w:r>
        <w:t>If three orders close and complete in a month with Gross Order Revenue of $8,000, $12,000, and $5,000, the month's Gross Order Revenue is $25,000 and the Seller Payment is $2,500, unless the remaining Purchase Price balance is less than $2,500.</w:t>
      </w:r>
    </w:p>
    <w:p>
      <w:pPr>
        <w:pStyle w:val="Heading1"/>
      </w:pPr>
      <w:r>
        <w:t>Exhibit B - Website Ledger Fields</w:t>
      </w:r>
    </w:p>
    <w:tbl>
      <w:tblPr>
        <w:tblW w:type="dxa" w:w="9360"/>
        <w:tblLayout w:type="fixed"/>
        <w:tblLook w:firstColumn="1" w:firstRow="1" w:lastColumn="0" w:lastRow="0" w:noHBand="0" w:noVBand="1" w:val="04A0"/>
        <w:tblInd w:type="dxa" w:w="120"/>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1980"/>
        <w:gridCol w:w="7380"/>
      </w:tblGrid>
      <w:tr>
        <w:tc>
          <w:tcPr>
            <w:tcW w:type="dxa" w:w="1980"/>
            <w:vAlign w:val="center"/>
            <w:tcMar>
              <w:top w:w="80" w:type="dxa"/>
              <w:start w:w="120" w:type="dxa"/>
              <w:bottom w:w="80" w:type="dxa"/>
              <w:end w:w="120" w:type="dxa"/>
            </w:tcMar>
            <w:shd w:fill="F2F4F7"/>
          </w:tcPr>
          <w:p>
            <w:pPr>
              <w:spacing w:before="0" w:after="0" w:line="252" w:lineRule="auto"/>
            </w:pPr>
            <w:r>
              <w:rPr>
                <w:rFonts w:ascii="Calibri" w:hAnsi="Calibri"/>
                <w:b/>
                <w:color w:val="000000"/>
              </w:rPr>
              <w:t>Order ID</w:t>
            </w:r>
          </w:p>
        </w:tc>
        <w:tc>
          <w:tcPr>
            <w:tcW w:type="dxa" w:w="7380"/>
            <w:vAlign w:val="center"/>
            <w:tcMar>
              <w:top w:w="80" w:type="dxa"/>
              <w:start w:w="120" w:type="dxa"/>
              <w:bottom w:w="80" w:type="dxa"/>
              <w:end w:w="120" w:type="dxa"/>
            </w:tcMar>
          </w:tcPr>
          <w:p>
            <w:pPr>
              <w:spacing w:before="0" w:after="0" w:line="252" w:lineRule="auto"/>
            </w:pPr>
            <w:r>
              <w:rPr>
                <w:rFonts w:ascii="Calibri" w:hAnsi="Calibri"/>
                <w:color w:val="000000"/>
              </w:rPr>
              <w:t>Unique order, job, or invoice identifier.</w:t>
            </w:r>
          </w:p>
        </w:tc>
      </w:tr>
      <w:tr>
        <w:tc>
          <w:tcPr>
            <w:tcW w:type="dxa" w:w="1980"/>
            <w:vAlign w:val="center"/>
            <w:tcMar>
              <w:top w:w="80" w:type="dxa"/>
              <w:start w:w="120" w:type="dxa"/>
              <w:bottom w:w="80" w:type="dxa"/>
              <w:end w:w="120" w:type="dxa"/>
            </w:tcMar>
            <w:shd w:fill="F2F4F7"/>
          </w:tcPr>
          <w:p>
            <w:pPr>
              <w:spacing w:before="0" w:after="0" w:line="252" w:lineRule="auto"/>
            </w:pPr>
            <w:r>
              <w:rPr>
                <w:rFonts w:ascii="Calibri" w:hAnsi="Calibri"/>
                <w:b/>
                <w:color w:val="000000"/>
              </w:rPr>
              <w:t>Customer</w:t>
            </w:r>
          </w:p>
        </w:tc>
        <w:tc>
          <w:tcPr>
            <w:tcW w:type="dxa" w:w="7380"/>
            <w:vAlign w:val="center"/>
            <w:tcMar>
              <w:top w:w="80" w:type="dxa"/>
              <w:start w:w="120" w:type="dxa"/>
              <w:bottom w:w="80" w:type="dxa"/>
              <w:end w:w="120" w:type="dxa"/>
            </w:tcMar>
          </w:tcPr>
          <w:p>
            <w:pPr>
              <w:spacing w:before="0" w:after="0" w:line="252" w:lineRule="auto"/>
            </w:pPr>
            <w:r>
              <w:rPr>
                <w:rFonts w:ascii="Calibri" w:hAnsi="Calibri"/>
                <w:color w:val="000000"/>
              </w:rPr>
              <w:t>Customer name or internal customer reference.</w:t>
            </w:r>
          </w:p>
        </w:tc>
      </w:tr>
      <w:tr>
        <w:tc>
          <w:tcPr>
            <w:tcW w:type="dxa" w:w="1980"/>
            <w:vAlign w:val="center"/>
            <w:tcMar>
              <w:top w:w="80" w:type="dxa"/>
              <w:start w:w="120" w:type="dxa"/>
              <w:bottom w:w="80" w:type="dxa"/>
              <w:end w:w="120" w:type="dxa"/>
            </w:tcMar>
            <w:shd w:fill="F2F4F7"/>
          </w:tcPr>
          <w:p>
            <w:pPr>
              <w:spacing w:before="0" w:after="0" w:line="252" w:lineRule="auto"/>
            </w:pPr>
            <w:r>
              <w:rPr>
                <w:rFonts w:ascii="Calibri" w:hAnsi="Calibri"/>
                <w:b/>
                <w:color w:val="000000"/>
              </w:rPr>
              <w:t>Sale Date</w:t>
            </w:r>
          </w:p>
        </w:tc>
        <w:tc>
          <w:tcPr>
            <w:tcW w:type="dxa" w:w="7380"/>
            <w:vAlign w:val="center"/>
            <w:tcMar>
              <w:top w:w="80" w:type="dxa"/>
              <w:start w:w="120" w:type="dxa"/>
              <w:bottom w:w="80" w:type="dxa"/>
              <w:end w:w="120" w:type="dxa"/>
            </w:tcMar>
          </w:tcPr>
          <w:p>
            <w:pPr>
              <w:spacing w:before="0" w:after="0" w:line="252" w:lineRule="auto"/>
            </w:pPr>
            <w:r>
              <w:rPr>
                <w:rFonts w:ascii="Calibri" w:hAnsi="Calibri"/>
                <w:color w:val="000000"/>
              </w:rPr>
              <w:t>Date the order was sold or accepted.</w:t>
            </w:r>
          </w:p>
        </w:tc>
      </w:tr>
      <w:tr>
        <w:tc>
          <w:tcPr>
            <w:tcW w:type="dxa" w:w="1980"/>
            <w:vAlign w:val="center"/>
            <w:tcMar>
              <w:top w:w="80" w:type="dxa"/>
              <w:start w:w="120" w:type="dxa"/>
              <w:bottom w:w="80" w:type="dxa"/>
              <w:end w:w="120" w:type="dxa"/>
            </w:tcMar>
            <w:shd w:fill="F2F4F7"/>
          </w:tcPr>
          <w:p>
            <w:pPr>
              <w:spacing w:before="0" w:after="0" w:line="252" w:lineRule="auto"/>
            </w:pPr>
            <w:r>
              <w:rPr>
                <w:rFonts w:ascii="Calibri" w:hAnsi="Calibri"/>
                <w:b/>
                <w:color w:val="000000"/>
              </w:rPr>
              <w:t>Completion Date</w:t>
            </w:r>
          </w:p>
        </w:tc>
        <w:tc>
          <w:tcPr>
            <w:tcW w:type="dxa" w:w="7380"/>
            <w:vAlign w:val="center"/>
            <w:tcMar>
              <w:top w:w="80" w:type="dxa"/>
              <w:start w:w="120" w:type="dxa"/>
              <w:bottom w:w="80" w:type="dxa"/>
              <w:end w:w="120" w:type="dxa"/>
            </w:tcMar>
          </w:tcPr>
          <w:p>
            <w:pPr>
              <w:spacing w:before="0" w:after="0" w:line="252" w:lineRule="auto"/>
            </w:pPr>
            <w:r>
              <w:rPr>
                <w:rFonts w:ascii="Calibri" w:hAnsi="Calibri"/>
                <w:color w:val="000000"/>
              </w:rPr>
              <w:t>Date products or services were fully delivered or installed.</w:t>
            </w:r>
          </w:p>
        </w:tc>
      </w:tr>
      <w:tr>
        <w:tc>
          <w:tcPr>
            <w:tcW w:type="dxa" w:w="1980"/>
            <w:vAlign w:val="center"/>
            <w:tcMar>
              <w:top w:w="80" w:type="dxa"/>
              <w:start w:w="120" w:type="dxa"/>
              <w:bottom w:w="80" w:type="dxa"/>
              <w:end w:w="120" w:type="dxa"/>
            </w:tcMar>
            <w:shd w:fill="F2F4F7"/>
          </w:tcPr>
          <w:p>
            <w:pPr>
              <w:spacing w:before="0" w:after="0" w:line="252" w:lineRule="auto"/>
            </w:pPr>
            <w:r>
              <w:rPr>
                <w:rFonts w:ascii="Calibri" w:hAnsi="Calibri"/>
                <w:b/>
                <w:color w:val="000000"/>
              </w:rPr>
              <w:t>Close-Out Date</w:t>
            </w:r>
          </w:p>
        </w:tc>
        <w:tc>
          <w:tcPr>
            <w:tcW w:type="dxa" w:w="7380"/>
            <w:vAlign w:val="center"/>
            <w:tcMar>
              <w:top w:w="80" w:type="dxa"/>
              <w:start w:w="120" w:type="dxa"/>
              <w:bottom w:w="80" w:type="dxa"/>
              <w:end w:w="120" w:type="dxa"/>
            </w:tcMar>
          </w:tcPr>
          <w:p>
            <w:pPr>
              <w:spacing w:before="0" w:after="0" w:line="252" w:lineRule="auto"/>
            </w:pPr>
            <w:r>
              <w:rPr>
                <w:rFonts w:ascii="Calibri" w:hAnsi="Calibri"/>
                <w:color w:val="000000"/>
              </w:rPr>
              <w:t>Date the order was marked closed/completed in the backend.</w:t>
            </w:r>
          </w:p>
        </w:tc>
      </w:tr>
      <w:tr>
        <w:tc>
          <w:tcPr>
            <w:tcW w:type="dxa" w:w="1980"/>
            <w:vAlign w:val="center"/>
            <w:tcMar>
              <w:top w:w="80" w:type="dxa"/>
              <w:start w:w="120" w:type="dxa"/>
              <w:bottom w:w="80" w:type="dxa"/>
              <w:end w:w="120" w:type="dxa"/>
            </w:tcMar>
            <w:shd w:fill="F2F4F7"/>
          </w:tcPr>
          <w:p>
            <w:pPr>
              <w:spacing w:before="0" w:after="0" w:line="252" w:lineRule="auto"/>
            </w:pPr>
            <w:r>
              <w:rPr>
                <w:rFonts w:ascii="Calibri" w:hAnsi="Calibri"/>
                <w:b/>
                <w:color w:val="000000"/>
              </w:rPr>
              <w:t>Order Status</w:t>
            </w:r>
          </w:p>
        </w:tc>
        <w:tc>
          <w:tcPr>
            <w:tcW w:type="dxa" w:w="7380"/>
            <w:vAlign w:val="center"/>
            <w:tcMar>
              <w:top w:w="80" w:type="dxa"/>
              <w:start w:w="120" w:type="dxa"/>
              <w:bottom w:w="80" w:type="dxa"/>
              <w:end w:w="120" w:type="dxa"/>
            </w:tcMar>
          </w:tcPr>
          <w:p>
            <w:pPr>
              <w:spacing w:before="0" w:after="0" w:line="252" w:lineRule="auto"/>
            </w:pPr>
            <w:r>
              <w:rPr>
                <w:rFonts w:ascii="Calibri" w:hAnsi="Calibri"/>
                <w:color w:val="000000"/>
              </w:rPr>
              <w:t>Open, pending, completed, closed, cancelled, disputed, refunded, or similar status.</w:t>
            </w:r>
          </w:p>
        </w:tc>
      </w:tr>
      <w:tr>
        <w:tc>
          <w:tcPr>
            <w:tcW w:type="dxa" w:w="1980"/>
            <w:vAlign w:val="center"/>
            <w:tcMar>
              <w:top w:w="80" w:type="dxa"/>
              <w:start w:w="120" w:type="dxa"/>
              <w:bottom w:w="80" w:type="dxa"/>
              <w:end w:w="120" w:type="dxa"/>
            </w:tcMar>
            <w:shd w:fill="F2F4F7"/>
          </w:tcPr>
          <w:p>
            <w:pPr>
              <w:spacing w:before="0" w:after="0" w:line="252" w:lineRule="auto"/>
            </w:pPr>
            <w:r>
              <w:rPr>
                <w:rFonts w:ascii="Calibri" w:hAnsi="Calibri"/>
                <w:b/>
                <w:color w:val="000000"/>
              </w:rPr>
              <w:t>Gross Order Revenue</w:t>
            </w:r>
          </w:p>
        </w:tc>
        <w:tc>
          <w:tcPr>
            <w:tcW w:type="dxa" w:w="7380"/>
            <w:vAlign w:val="center"/>
            <w:tcMar>
              <w:top w:w="80" w:type="dxa"/>
              <w:start w:w="120" w:type="dxa"/>
              <w:bottom w:w="80" w:type="dxa"/>
              <w:end w:w="120" w:type="dxa"/>
            </w:tcMar>
          </w:tcPr>
          <w:p>
            <w:pPr>
              <w:spacing w:before="0" w:after="0" w:line="252" w:lineRule="auto"/>
            </w:pPr>
            <w:r>
              <w:rPr>
                <w:rFonts w:ascii="Calibri" w:hAnsi="Calibri"/>
                <w:color w:val="000000"/>
              </w:rPr>
              <w:t>Total qualifying customer revenue actually collected for the Closed Completed Order.</w:t>
            </w:r>
          </w:p>
        </w:tc>
      </w:tr>
      <w:tr>
        <w:tc>
          <w:tcPr>
            <w:tcW w:type="dxa" w:w="1980"/>
            <w:vAlign w:val="center"/>
            <w:tcMar>
              <w:top w:w="80" w:type="dxa"/>
              <w:start w:w="120" w:type="dxa"/>
              <w:bottom w:w="80" w:type="dxa"/>
              <w:end w:w="120" w:type="dxa"/>
            </w:tcMar>
            <w:shd w:fill="F2F4F7"/>
          </w:tcPr>
          <w:p>
            <w:pPr>
              <w:spacing w:before="0" w:after="0" w:line="252" w:lineRule="auto"/>
            </w:pPr>
            <w:r>
              <w:rPr>
                <w:rFonts w:ascii="Calibri" w:hAnsi="Calibri"/>
                <w:b/>
                <w:color w:val="000000"/>
              </w:rPr>
              <w:t>Deposits Collected</w:t>
            </w:r>
          </w:p>
        </w:tc>
        <w:tc>
          <w:tcPr>
            <w:tcW w:type="dxa" w:w="7380"/>
            <w:vAlign w:val="center"/>
            <w:tcMar>
              <w:top w:w="80" w:type="dxa"/>
              <w:start w:w="120" w:type="dxa"/>
              <w:bottom w:w="80" w:type="dxa"/>
              <w:end w:w="120" w:type="dxa"/>
            </w:tcMar>
          </w:tcPr>
          <w:p>
            <w:pPr>
              <w:spacing w:before="0" w:after="0" w:line="252" w:lineRule="auto"/>
            </w:pPr>
            <w:r>
              <w:rPr>
                <w:rFonts w:ascii="Calibri" w:hAnsi="Calibri"/>
                <w:color w:val="000000"/>
              </w:rPr>
              <w:t>Deposits received before completion, if any.</w:t>
            </w:r>
          </w:p>
        </w:tc>
      </w:tr>
      <w:tr>
        <w:tc>
          <w:tcPr>
            <w:tcW w:type="dxa" w:w="1980"/>
            <w:vAlign w:val="center"/>
            <w:tcMar>
              <w:top w:w="80" w:type="dxa"/>
              <w:start w:w="120" w:type="dxa"/>
              <w:bottom w:w="80" w:type="dxa"/>
              <w:end w:w="120" w:type="dxa"/>
            </w:tcMar>
            <w:shd w:fill="F2F4F7"/>
          </w:tcPr>
          <w:p>
            <w:pPr>
              <w:spacing w:before="0" w:after="0" w:line="252" w:lineRule="auto"/>
            </w:pPr>
            <w:r>
              <w:rPr>
                <w:rFonts w:ascii="Calibri" w:hAnsi="Calibri"/>
                <w:b/>
                <w:color w:val="000000"/>
              </w:rPr>
              <w:t>Balance Collected</w:t>
            </w:r>
          </w:p>
        </w:tc>
        <w:tc>
          <w:tcPr>
            <w:tcW w:type="dxa" w:w="7380"/>
            <w:vAlign w:val="center"/>
            <w:tcMar>
              <w:top w:w="80" w:type="dxa"/>
              <w:start w:w="120" w:type="dxa"/>
              <w:bottom w:w="80" w:type="dxa"/>
              <w:end w:w="120" w:type="dxa"/>
            </w:tcMar>
          </w:tcPr>
          <w:p>
            <w:pPr>
              <w:spacing w:before="0" w:after="0" w:line="252" w:lineRule="auto"/>
            </w:pPr>
            <w:r>
              <w:rPr>
                <w:rFonts w:ascii="Calibri" w:hAnsi="Calibri"/>
                <w:color w:val="000000"/>
              </w:rPr>
              <w:t>Final balance collected before the order became a Closed Completed Order.</w:t>
            </w:r>
          </w:p>
        </w:tc>
      </w:tr>
      <w:tr>
        <w:tc>
          <w:tcPr>
            <w:tcW w:type="dxa" w:w="1980"/>
            <w:vAlign w:val="center"/>
            <w:tcMar>
              <w:top w:w="80" w:type="dxa"/>
              <w:start w:w="120" w:type="dxa"/>
              <w:bottom w:w="80" w:type="dxa"/>
              <w:end w:w="120" w:type="dxa"/>
            </w:tcMar>
            <w:shd w:fill="F2F4F7"/>
          </w:tcPr>
          <w:p>
            <w:pPr>
              <w:spacing w:before="0" w:after="0" w:line="252" w:lineRule="auto"/>
            </w:pPr>
            <w:r>
              <w:rPr>
                <w:rFonts w:ascii="Calibri" w:hAnsi="Calibri"/>
                <w:b/>
                <w:color w:val="000000"/>
              </w:rPr>
              <w:t>Refunds/Credits</w:t>
            </w:r>
          </w:p>
        </w:tc>
        <w:tc>
          <w:tcPr>
            <w:tcW w:type="dxa" w:w="7380"/>
            <w:vAlign w:val="center"/>
            <w:tcMar>
              <w:top w:w="80" w:type="dxa"/>
              <w:start w:w="120" w:type="dxa"/>
              <w:bottom w:w="80" w:type="dxa"/>
              <w:end w:w="120" w:type="dxa"/>
            </w:tcMar>
          </w:tcPr>
          <w:p>
            <w:pPr>
              <w:spacing w:before="0" w:after="0" w:line="252" w:lineRule="auto"/>
            </w:pPr>
            <w:r>
              <w:rPr>
                <w:rFonts w:ascii="Calibri" w:hAnsi="Calibri"/>
                <w:color w:val="000000"/>
              </w:rPr>
              <w:t>Refunds, chargebacks, credits, or other reductions excluded from Seller Payment calculation.</w:t>
            </w:r>
          </w:p>
        </w:tc>
      </w:tr>
      <w:tr>
        <w:tc>
          <w:tcPr>
            <w:tcW w:type="dxa" w:w="1980"/>
            <w:vAlign w:val="center"/>
            <w:tcMar>
              <w:top w:w="80" w:type="dxa"/>
              <w:start w:w="120" w:type="dxa"/>
              <w:bottom w:w="80" w:type="dxa"/>
              <w:end w:w="120" w:type="dxa"/>
            </w:tcMar>
            <w:shd w:fill="F2F4F7"/>
          </w:tcPr>
          <w:p>
            <w:pPr>
              <w:spacing w:before="0" w:after="0" w:line="252" w:lineRule="auto"/>
            </w:pPr>
            <w:r>
              <w:rPr>
                <w:rFonts w:ascii="Calibri" w:hAnsi="Calibri"/>
                <w:b/>
                <w:color w:val="000000"/>
              </w:rPr>
              <w:t>Seller Payment</w:t>
            </w:r>
          </w:p>
        </w:tc>
        <w:tc>
          <w:tcPr>
            <w:tcW w:type="dxa" w:w="7380"/>
            <w:vAlign w:val="center"/>
            <w:tcMar>
              <w:top w:w="80" w:type="dxa"/>
              <w:start w:w="120" w:type="dxa"/>
              <w:bottom w:w="80" w:type="dxa"/>
              <w:end w:w="120" w:type="dxa"/>
            </w:tcMar>
          </w:tcPr>
          <w:p>
            <w:pPr>
              <w:spacing w:before="0" w:after="0" w:line="252" w:lineRule="auto"/>
            </w:pPr>
            <w:r>
              <w:rPr>
                <w:rFonts w:ascii="Calibri" w:hAnsi="Calibri"/>
                <w:color w:val="000000"/>
              </w:rPr>
              <w:t>10% of Gross Order Revenue owed for that Closed Completed Order.</w:t>
            </w:r>
          </w:p>
        </w:tc>
      </w:tr>
      <w:tr>
        <w:tc>
          <w:tcPr>
            <w:tcW w:type="dxa" w:w="1980"/>
            <w:vAlign w:val="center"/>
            <w:tcMar>
              <w:top w:w="80" w:type="dxa"/>
              <w:start w:w="120" w:type="dxa"/>
              <w:bottom w:w="80" w:type="dxa"/>
              <w:end w:w="120" w:type="dxa"/>
            </w:tcMar>
            <w:shd w:fill="F2F4F7"/>
          </w:tcPr>
          <w:p>
            <w:pPr>
              <w:spacing w:before="0" w:after="0" w:line="252" w:lineRule="auto"/>
            </w:pPr>
            <w:r>
              <w:rPr>
                <w:rFonts w:ascii="Calibri" w:hAnsi="Calibri"/>
                <w:b/>
                <w:color w:val="000000"/>
              </w:rPr>
              <w:t>Payment Date</w:t>
            </w:r>
          </w:p>
        </w:tc>
        <w:tc>
          <w:tcPr>
            <w:tcW w:type="dxa" w:w="7380"/>
            <w:vAlign w:val="center"/>
            <w:tcMar>
              <w:top w:w="80" w:type="dxa"/>
              <w:start w:w="120" w:type="dxa"/>
              <w:bottom w:w="80" w:type="dxa"/>
              <w:end w:w="120" w:type="dxa"/>
            </w:tcMar>
          </w:tcPr>
          <w:p>
            <w:pPr>
              <w:spacing w:before="0" w:after="0" w:line="252" w:lineRule="auto"/>
            </w:pPr>
            <w:r>
              <w:rPr>
                <w:rFonts w:ascii="Calibri" w:hAnsi="Calibri"/>
                <w:color w:val="000000"/>
              </w:rPr>
              <w:t>Date the Seller Payment was paid or credited.</w:t>
            </w:r>
          </w:p>
        </w:tc>
      </w:tr>
      <w:tr>
        <w:tc>
          <w:tcPr>
            <w:tcW w:type="dxa" w:w="1980"/>
            <w:vAlign w:val="center"/>
            <w:tcMar>
              <w:top w:w="80" w:type="dxa"/>
              <w:start w:w="120" w:type="dxa"/>
              <w:bottom w:w="80" w:type="dxa"/>
              <w:end w:w="120" w:type="dxa"/>
            </w:tcMar>
            <w:shd w:fill="F2F4F7"/>
          </w:tcPr>
          <w:p>
            <w:pPr>
              <w:spacing w:before="0" w:after="0" w:line="252" w:lineRule="auto"/>
            </w:pPr>
            <w:r>
              <w:rPr>
                <w:rFonts w:ascii="Calibri" w:hAnsi="Calibri"/>
                <w:b/>
                <w:color w:val="000000"/>
              </w:rPr>
              <w:t>Cumulative Paid</w:t>
            </w:r>
          </w:p>
        </w:tc>
        <w:tc>
          <w:tcPr>
            <w:tcW w:type="dxa" w:w="7380"/>
            <w:vAlign w:val="center"/>
            <w:tcMar>
              <w:top w:w="80" w:type="dxa"/>
              <w:start w:w="120" w:type="dxa"/>
              <w:bottom w:w="80" w:type="dxa"/>
              <w:end w:w="120" w:type="dxa"/>
            </w:tcMar>
          </w:tcPr>
          <w:p>
            <w:pPr>
              <w:spacing w:before="0" w:after="0" w:line="252" w:lineRule="auto"/>
            </w:pPr>
            <w:r>
              <w:rPr>
                <w:rFonts w:ascii="Calibri" w:hAnsi="Calibri"/>
                <w:color w:val="000000"/>
              </w:rPr>
              <w:t>Aggregate amount paid toward the $500,000 Purchase Price.</w:t>
            </w:r>
          </w:p>
        </w:tc>
      </w:tr>
      <w:tr>
        <w:tc>
          <w:tcPr>
            <w:tcW w:type="dxa" w:w="1980"/>
            <w:vAlign w:val="center"/>
            <w:tcMar>
              <w:top w:w="80" w:type="dxa"/>
              <w:start w:w="120" w:type="dxa"/>
              <w:bottom w:w="80" w:type="dxa"/>
              <w:end w:w="120" w:type="dxa"/>
            </w:tcMar>
            <w:shd w:fill="F2F4F7"/>
          </w:tcPr>
          <w:p>
            <w:pPr>
              <w:spacing w:before="0" w:after="0" w:line="252" w:lineRule="auto"/>
            </w:pPr>
            <w:r>
              <w:rPr>
                <w:rFonts w:ascii="Calibri" w:hAnsi="Calibri"/>
                <w:b/>
                <w:color w:val="000000"/>
              </w:rPr>
              <w:t>Outstanding Balance</w:t>
            </w:r>
          </w:p>
        </w:tc>
        <w:tc>
          <w:tcPr>
            <w:tcW w:type="dxa" w:w="7380"/>
            <w:vAlign w:val="center"/>
            <w:tcMar>
              <w:top w:w="80" w:type="dxa"/>
              <w:start w:w="120" w:type="dxa"/>
              <w:bottom w:w="80" w:type="dxa"/>
              <w:end w:w="120" w:type="dxa"/>
            </w:tcMar>
          </w:tcPr>
          <w:p>
            <w:pPr>
              <w:spacing w:before="0" w:after="0" w:line="252" w:lineRule="auto"/>
            </w:pPr>
            <w:r>
              <w:rPr>
                <w:rFonts w:ascii="Calibri" w:hAnsi="Calibri"/>
                <w:color w:val="000000"/>
              </w:rPr>
              <w:t>Remaining unpaid Purchase Price balance after each payment.</w:t>
            </w:r>
          </w:p>
        </w:tc>
      </w:tr>
    </w:tbl>
    <w:p>
      <w:pPr>
        <w:pStyle w:val="Heading1"/>
      </w:pPr>
      <w:r>
        <w:t>Exhibit C - Bank, Phone, and Vendor Transition Protocol</w:t>
      </w:r>
    </w:p>
    <w:p>
      <w:pPr>
        <w:spacing w:before="0" w:after="120" w:line="264" w:lineRule="auto"/>
        <w:ind w:left="461" w:hanging="461"/>
      </w:pPr>
      <w:r>
        <w:rPr>
          <w:rFonts w:ascii="Calibri" w:hAnsi="Calibri"/>
          <w:b/>
          <w:color w:val="000000"/>
        </w:rPr>
        <w:t xml:space="preserve">C.1 Bank Account. </w:t>
      </w:r>
      <w:r>
        <w:t>Seller retains administrative control until payoff for bookkeeping and transparency. Buyer controls ordinary-course business decisions and use of Business funds. Seller may not use account control to override Buyer's operational decisions.</w:t>
      </w:r>
    </w:p>
    <w:p>
      <w:pPr>
        <w:spacing w:before="0" w:after="120" w:line="264" w:lineRule="auto"/>
        <w:ind w:left="461" w:hanging="461"/>
      </w:pPr>
      <w:r>
        <w:rPr>
          <w:rFonts w:ascii="Calibri" w:hAnsi="Calibri"/>
          <w:b/>
          <w:color w:val="000000"/>
        </w:rPr>
        <w:t xml:space="preserve">C.2 Phone Numbers. </w:t>
      </w:r>
      <w:r>
        <w:t>Seller retains legal account ownership until payoff. Buyer receives exclusive operational use and control immediately. Seller must keep the numbers active and transfer full control after payoff.</w:t>
      </w:r>
    </w:p>
    <w:p>
      <w:pPr>
        <w:spacing w:before="0" w:after="120" w:line="264" w:lineRule="auto"/>
        <w:ind w:left="461" w:hanging="461"/>
      </w:pPr>
      <w:r>
        <w:rPr>
          <w:rFonts w:ascii="Calibri" w:hAnsi="Calibri"/>
          <w:b/>
          <w:color w:val="000000"/>
        </w:rPr>
        <w:t xml:space="preserve">C.3 Vendors. </w:t>
      </w:r>
      <w:r>
        <w:t>Seller receives complete transparency access to vendor information and order history. Buyer controls vendor selection, instructions, pricing decisions, and operational vendor relationships.</w:t>
      </w:r>
    </w:p>
    <w:p>
      <w:pPr>
        <w:spacing w:before="0" w:after="120" w:line="264" w:lineRule="auto"/>
        <w:ind w:left="461" w:hanging="461"/>
      </w:pPr>
      <w:r>
        <w:rPr>
          <w:rFonts w:ascii="Calibri" w:hAnsi="Calibri"/>
          <w:b/>
          <w:color w:val="000000"/>
        </w:rPr>
        <w:t xml:space="preserve">C.4 Website Backend. </w:t>
      </w:r>
      <w:r>
        <w:t>The backend must maintain the Website Ledger or an equivalent ledger so Seller can verify monthly Seller Payments and remaining Purchase Price balance.</w:t>
      </w:r>
    </w:p>
    <w:p>
      <w:r>
        <w:br w:type="page"/>
      </w:r>
    </w:p>
    <w:p>
      <w:pPr>
        <w:pStyle w:val="Heading1"/>
      </w:pPr>
      <w:r>
        <w:t>Signature Page</w:t>
      </w:r>
    </w:p>
    <w:p>
      <w:pPr>
        <w:spacing w:before="0" w:after="240" w:line="264" w:lineRule="auto"/>
      </w:pPr>
      <w:r>
        <w:t>The parties intend to be bound by the final version of this Agreement only after attorney review and signature by all required parties.</w:t>
      </w:r>
    </w:p>
    <w:p>
      <w:pPr>
        <w:spacing w:before="240" w:after="40" w:line="240" w:lineRule="auto"/>
      </w:pPr>
      <w:r>
        <w:rPr>
          <w:rFonts w:ascii="Calibri" w:hAnsi="Calibri"/>
          <w:sz w:val="22"/>
        </w:rPr>
        <w:t>______________________________________________</w:t>
      </w:r>
    </w:p>
    <w:p>
      <w:pPr>
        <w:spacing w:before="0" w:after="40" w:line="240" w:lineRule="auto"/>
      </w:pPr>
      <w:r>
        <w:rPr>
          <w:rFonts w:ascii="Calibri" w:hAnsi="Calibri"/>
          <w:b/>
        </w:rPr>
        <w:t>Ken Hill</w:t>
      </w:r>
    </w:p>
    <w:p>
      <w:pPr>
        <w:spacing w:before="0" w:after="120" w:line="240" w:lineRule="auto"/>
      </w:pPr>
      <w:r>
        <w:t>Seller</w:t>
      </w:r>
    </w:p>
    <w:p>
      <w:pPr>
        <w:spacing w:before="0" w:after="160" w:line="240" w:lineRule="auto"/>
      </w:pPr>
      <w:r>
        <w:t>Date: ______________________________</w:t>
      </w:r>
    </w:p>
    <w:p>
      <w:pPr>
        <w:spacing w:before="240" w:after="40" w:line="240" w:lineRule="auto"/>
      </w:pPr>
      <w:r>
        <w:rPr>
          <w:rFonts w:ascii="Calibri" w:hAnsi="Calibri"/>
          <w:sz w:val="22"/>
        </w:rPr>
        <w:t>______________________________________________</w:t>
      </w:r>
    </w:p>
    <w:p>
      <w:pPr>
        <w:spacing w:before="0" w:after="40" w:line="240" w:lineRule="auto"/>
      </w:pPr>
      <w:r>
        <w:rPr>
          <w:rFonts w:ascii="Calibri" w:hAnsi="Calibri"/>
          <w:b/>
        </w:rPr>
        <w:t>Mike Shepard</w:t>
      </w:r>
    </w:p>
    <w:p>
      <w:pPr>
        <w:spacing w:before="0" w:after="120" w:line="240" w:lineRule="auto"/>
      </w:pPr>
      <w:r>
        <w:t>Buyer</w:t>
      </w:r>
    </w:p>
    <w:p>
      <w:pPr>
        <w:spacing w:before="0" w:after="160" w:line="240" w:lineRule="auto"/>
      </w:pPr>
      <w:r>
        <w:t>Date: ______________________________</w:t>
      </w:r>
    </w:p>
    <w:p>
      <w:pPr>
        <w:spacing w:before="240" w:after="40" w:line="240" w:lineRule="auto"/>
      </w:pPr>
      <w:r>
        <w:rPr>
          <w:rFonts w:ascii="Calibri" w:hAnsi="Calibri"/>
          <w:sz w:val="22"/>
        </w:rPr>
        <w:t>______________________________________________</w:t>
      </w:r>
    </w:p>
    <w:p>
      <w:pPr>
        <w:spacing w:before="0" w:after="40" w:line="240" w:lineRule="auto"/>
      </w:pPr>
      <w:r>
        <w:rPr>
          <w:rFonts w:ascii="Calibri" w:hAnsi="Calibri"/>
          <w:b/>
        </w:rPr>
        <w:t>SNS Interiors Inc. DBA 805 Shutters legal owner or entity, if different from Ken Hill</w:t>
      </w:r>
    </w:p>
    <w:p>
      <w:pPr>
        <w:spacing w:before="0" w:after="120" w:line="240" w:lineRule="auto"/>
      </w:pPr>
      <w:r>
        <w:t>Seller Entity / Required Additional Signatory</w:t>
      </w:r>
    </w:p>
    <w:p>
      <w:pPr>
        <w:spacing w:before="0" w:after="160" w:line="240" w:lineRule="auto"/>
      </w:pPr>
      <w:r>
        <w:t>Date: ______________________________</w:t>
      </w:r>
    </w:p>
    <w:sectPr w:rsidR="00FC693F" w:rsidRPr="0006063C" w:rsidSect="00034616">
      <w:footerReference w:type="default" r:id="rId9"/>
      <w:head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Calibri" w:hAnsi="Calibri"/>
        <w:color w:val="555555"/>
        <w:sz w:val="18"/>
      </w:rPr>
      <w:t xml:space="preserve">DRAFT - Attorney Review Required | SNS Interiors Inc. DBA 805 Shutters Purchase Agreement | Page </w:t>
    </w:r>
    <w:r>
      <w:rPr>
        <w:rFonts w:ascii="Calibri" w:hAnsi="Calibri"/>
        <w:color w:val="555555"/>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SNS Interiors Inc. DBA 805 Shutters Purchase Agreement - Attorney Review Draft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