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94069" w14:textId="77777777" w:rsidR="00371CCC" w:rsidRPr="00741753" w:rsidRDefault="00371CCC"/>
    <w:p w14:paraId="6148C50C" w14:textId="77777777" w:rsidR="00371CCC" w:rsidRPr="00741753" w:rsidRDefault="00371CCC"/>
    <w:p w14:paraId="3FBC5372" w14:textId="77777777" w:rsidR="00371CCC" w:rsidRPr="00741753" w:rsidRDefault="00FF24E5">
      <w:pPr>
        <w:spacing w:before="240" w:after="160"/>
        <w:jc w:val="center"/>
        <w:rPr>
          <w:lang w:val="es-CO"/>
        </w:rPr>
      </w:pPr>
      <w:r w:rsidRPr="00741753">
        <w:rPr>
          <w:b/>
          <w:lang w:val="es-CO"/>
        </w:rPr>
        <w:t>TALLER EVALUATIVO No. 3</w:t>
      </w:r>
    </w:p>
    <w:p w14:paraId="36DA2072" w14:textId="77777777" w:rsidR="00371CCC" w:rsidRPr="00741753" w:rsidRDefault="00FF24E5">
      <w:pPr>
        <w:spacing w:before="60" w:after="400"/>
        <w:jc w:val="center"/>
        <w:rPr>
          <w:lang w:val="es-CO"/>
        </w:rPr>
      </w:pPr>
      <w:r w:rsidRPr="00741753">
        <w:rPr>
          <w:b/>
          <w:lang w:val="es-CO"/>
        </w:rPr>
        <w:t>MIGRACIÓN DE SQL SERVER A MONGODB</w:t>
      </w:r>
    </w:p>
    <w:p w14:paraId="691B7BB2" w14:textId="77777777" w:rsidR="00371CCC" w:rsidRPr="00741753" w:rsidRDefault="00FF24E5">
      <w:pPr>
        <w:spacing w:before="40" w:after="480"/>
        <w:jc w:val="center"/>
        <w:rPr>
          <w:lang w:val="es-CO"/>
        </w:rPr>
      </w:pPr>
      <w:r w:rsidRPr="00741753">
        <w:rPr>
          <w:lang w:val="es-CO"/>
        </w:rPr>
        <w:t>Bases de Datos II</w:t>
      </w:r>
    </w:p>
    <w:p w14:paraId="5A3D6C89" w14:textId="4385AE62" w:rsidR="000969C2" w:rsidRDefault="000969C2">
      <w:pPr>
        <w:spacing w:after="300"/>
        <w:jc w:val="center"/>
        <w:rPr>
          <w:b/>
          <w:lang w:val="es-CO"/>
        </w:rPr>
      </w:pPr>
    </w:p>
    <w:p w14:paraId="7A7FCDC0" w14:textId="14052B06" w:rsidR="00976932" w:rsidRDefault="00976932">
      <w:pPr>
        <w:spacing w:after="300"/>
        <w:jc w:val="center"/>
        <w:rPr>
          <w:b/>
          <w:lang w:val="es-CO"/>
        </w:rPr>
      </w:pPr>
    </w:p>
    <w:p w14:paraId="25504ACA" w14:textId="77777777" w:rsidR="00976932" w:rsidRDefault="00976932">
      <w:pPr>
        <w:spacing w:after="300"/>
        <w:jc w:val="center"/>
        <w:rPr>
          <w:b/>
          <w:lang w:val="es-CO"/>
        </w:rPr>
      </w:pPr>
    </w:p>
    <w:p w14:paraId="7399BA31" w14:textId="3E089B11" w:rsidR="00976932" w:rsidRDefault="00976932">
      <w:pPr>
        <w:spacing w:after="60"/>
        <w:jc w:val="center"/>
        <w:rPr>
          <w:lang w:val="es-CO"/>
        </w:rPr>
      </w:pPr>
      <w:r>
        <w:rPr>
          <w:lang w:val="es-CO"/>
        </w:rPr>
        <w:t xml:space="preserve">Sebastian Gonzalez </w:t>
      </w:r>
    </w:p>
    <w:p w14:paraId="6B31B756" w14:textId="7C6A023E" w:rsidR="00976932" w:rsidRDefault="00976932">
      <w:pPr>
        <w:spacing w:after="60"/>
        <w:jc w:val="center"/>
        <w:rPr>
          <w:lang w:val="es-CO"/>
        </w:rPr>
      </w:pPr>
      <w:r>
        <w:rPr>
          <w:lang w:val="es-CO"/>
        </w:rPr>
        <w:t>Jose Bermudez</w:t>
      </w:r>
    </w:p>
    <w:p w14:paraId="2D879B69" w14:textId="06851F20" w:rsidR="00976932" w:rsidRDefault="00976932">
      <w:pPr>
        <w:spacing w:after="300"/>
        <w:jc w:val="center"/>
        <w:rPr>
          <w:lang w:val="es-CO"/>
        </w:rPr>
      </w:pPr>
    </w:p>
    <w:p w14:paraId="3C07B956" w14:textId="0F5DE040" w:rsidR="00976932" w:rsidRDefault="00976932">
      <w:pPr>
        <w:spacing w:after="300"/>
        <w:jc w:val="center"/>
        <w:rPr>
          <w:lang w:val="es-CO"/>
        </w:rPr>
      </w:pPr>
    </w:p>
    <w:p w14:paraId="1F70C015" w14:textId="77777777" w:rsidR="00976932" w:rsidRDefault="00976932">
      <w:pPr>
        <w:spacing w:after="300"/>
        <w:jc w:val="center"/>
        <w:rPr>
          <w:lang w:val="es-CO"/>
        </w:rPr>
      </w:pPr>
    </w:p>
    <w:p w14:paraId="7ECC572B" w14:textId="64E4EE5B" w:rsidR="00371CCC" w:rsidRPr="00741753" w:rsidRDefault="00976932">
      <w:pPr>
        <w:spacing w:after="300"/>
        <w:jc w:val="center"/>
        <w:rPr>
          <w:lang w:val="es-CO"/>
        </w:rPr>
      </w:pPr>
      <w:r>
        <w:rPr>
          <w:lang w:val="es-CO"/>
        </w:rPr>
        <w:t>Universidad Católica Luis Amigo</w:t>
      </w:r>
    </w:p>
    <w:p w14:paraId="16C4F401" w14:textId="50E1EE70" w:rsidR="00371CCC" w:rsidRPr="00741753" w:rsidRDefault="00976932" w:rsidP="00976932">
      <w:pPr>
        <w:spacing w:after="600"/>
        <w:jc w:val="center"/>
        <w:rPr>
          <w:lang w:val="es-CO"/>
        </w:rPr>
      </w:pPr>
      <w:r>
        <w:rPr>
          <w:lang w:val="es-CO"/>
        </w:rPr>
        <w:t>23/10/2026</w:t>
      </w:r>
      <w:r w:rsidR="00FF24E5" w:rsidRPr="00741753">
        <w:rPr>
          <w:lang w:val="es-CO"/>
        </w:rPr>
        <w:br w:type="page"/>
      </w:r>
    </w:p>
    <w:p w14:paraId="1CD18988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lastRenderedPageBreak/>
        <w:t>1. Resumen del proyecto</w:t>
      </w:r>
    </w:p>
    <w:p w14:paraId="2D95DE9B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El proyecto transforma la base de datos TiendaOnline de SQL Server en una base documental llamada tienda_online en MongoDB. La migración se realiza con Python y reorganiza la información mediante documentos embebidos y referencias. Después se verifican los datos y se ejecutan consultas de agregación para obtener información útil para el negocio.</w:t>
      </w:r>
    </w:p>
    <w:p w14:paraId="69899CA0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t>2. Archivos principales</w:t>
      </w:r>
    </w:p>
    <w:p w14:paraId="5F4A886E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01_schema.sql: crea la base de datos y las tablas en SQL Server.</w:t>
      </w:r>
    </w:p>
    <w:p w14:paraId="4960C9CA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02_generate_data.py: genera los datos de prueba.</w:t>
      </w:r>
    </w:p>
    <w:p w14:paraId="212A1E74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03_migrate.py: transforma y migra los datos a MongoDB.</w:t>
      </w:r>
    </w:p>
    <w:p w14:paraId="67DF1A56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04_verify.py: verifica conteos, arreglos embebidos y referencias.</w:t>
      </w:r>
    </w:p>
    <w:p w14:paraId="71535919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README.md: describe el modelo, las decisiones y cómo ejecutar el proyecto.</w:t>
      </w:r>
    </w:p>
    <w:p w14:paraId="258E08E6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requirements.txt: lista las librerías necesarias.</w:t>
      </w:r>
    </w:p>
    <w:p w14:paraId="54F819EC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t>3. Modelo relacional de origen</w:t>
      </w:r>
    </w:p>
    <w:p w14:paraId="4D075FAE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La base de datos TiendaOnline está compuesta por diez entidades: Categoria, Proveedor, MetodoPago, Producto, Cliente, Direccion, Pedido, DetallePedido, Pago y Resena.</w:t>
      </w:r>
    </w:p>
    <w:p w14:paraId="0CE8AD6A" w14:textId="7C4736C1" w:rsidR="00371CCC" w:rsidRPr="00741753" w:rsidRDefault="0067415C" w:rsidP="00741753">
      <w:pPr>
        <w:spacing w:before="160" w:after="40"/>
        <w:jc w:val="center"/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3C656BC3" wp14:editId="3873D754">
            <wp:extent cx="5575300" cy="2901987"/>
            <wp:effectExtent l="0" t="0" r="635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121" cy="2908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51762D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t>4. Modelo documental de MongoDB</w:t>
      </w:r>
    </w:p>
    <w:p w14:paraId="312F7ECE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La base de datos tienda_online contiene seis colecciones: clientes, productos, proveedores, metodos_pago, pedidos y resenas.</w:t>
      </w:r>
    </w:p>
    <w:p w14:paraId="0620723E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Las direcciones se embeben en clientes; los productos incluyen la categoría y referencian al proveedor; los pedidos incluyen artículos, pago y dirección de envío, y referencian al cliente; las reseñas referencian al cliente y al producto.</w:t>
      </w:r>
    </w:p>
    <w:p w14:paraId="6D021ED9" w14:textId="77777777" w:rsidR="00741753" w:rsidRDefault="00741753">
      <w:pPr>
        <w:spacing w:before="160" w:after="40"/>
        <w:jc w:val="center"/>
        <w:rPr>
          <w:i/>
          <w:lang w:val="es-CO"/>
        </w:rPr>
      </w:pPr>
    </w:p>
    <w:p w14:paraId="43F12BA4" w14:textId="77777777" w:rsidR="00741753" w:rsidRDefault="00741753">
      <w:pPr>
        <w:spacing w:before="160" w:after="40"/>
        <w:jc w:val="center"/>
        <w:rPr>
          <w:i/>
          <w:lang w:val="es-CO"/>
        </w:rPr>
      </w:pPr>
      <w:r w:rsidRPr="00741753">
        <w:rPr>
          <w:i/>
          <w:noProof/>
          <w:lang w:val="es-CO"/>
        </w:rPr>
        <w:lastRenderedPageBreak/>
        <w:drawing>
          <wp:inline distT="0" distB="0" distL="0" distR="0" wp14:anchorId="7C0F0355" wp14:editId="155F6F25">
            <wp:extent cx="2927350" cy="1961947"/>
            <wp:effectExtent l="0" t="0" r="635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0882" cy="196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58CD" w14:textId="77777777" w:rsidR="00741753" w:rsidRDefault="00741753">
      <w:pPr>
        <w:spacing w:before="160" w:after="40"/>
        <w:jc w:val="center"/>
        <w:rPr>
          <w:i/>
          <w:lang w:val="es-CO"/>
        </w:rPr>
      </w:pPr>
    </w:p>
    <w:p w14:paraId="48920C8F" w14:textId="00E69CD9" w:rsidR="00741753" w:rsidRDefault="00741753">
      <w:pPr>
        <w:spacing w:before="160" w:after="40"/>
        <w:jc w:val="center"/>
        <w:rPr>
          <w:i/>
          <w:lang w:val="es-CO"/>
        </w:rPr>
      </w:pPr>
      <w:r>
        <w:rPr>
          <w:i/>
          <w:noProof/>
          <w:lang w:val="es-CO"/>
        </w:rPr>
        <w:drawing>
          <wp:inline distT="0" distB="0" distL="0" distR="0" wp14:anchorId="7893BBBE" wp14:editId="17837975">
            <wp:extent cx="4754880" cy="316992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853" cy="31799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07D370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t>5. Proceso y verificación de la migración</w:t>
      </w:r>
    </w:p>
    <w:p w14:paraId="644744A7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El proceso se ejecuta en este orden:</w:t>
      </w:r>
    </w:p>
    <w:p w14:paraId="1D21BA20" w14:textId="77777777" w:rsidR="00371CCC" w:rsidRPr="00741753" w:rsidRDefault="00FF24E5">
      <w:pPr>
        <w:spacing w:after="40"/>
      </w:pPr>
      <w:r w:rsidRPr="00741753">
        <w:t>• Ejecutar 01_schema.sql en SQL Server Management Studio.</w:t>
      </w:r>
    </w:p>
    <w:p w14:paraId="31EE0FFA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Ejecutar python 02_generate_data.py.</w:t>
      </w:r>
    </w:p>
    <w:p w14:paraId="14E7C60F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Ejecutar python 03_migrate.py.</w:t>
      </w:r>
    </w:p>
    <w:p w14:paraId="6C252E10" w14:textId="6158D45A" w:rsidR="00371CCC" w:rsidRPr="00741753" w:rsidRDefault="00FF24E5">
      <w:pPr>
        <w:spacing w:after="40"/>
        <w:rPr>
          <w:lang w:val="es-CO"/>
        </w:rPr>
      </w:pPr>
      <w:r w:rsidRPr="00741753">
        <w:rPr>
          <w:lang w:val="es-CO"/>
        </w:rPr>
        <w:t>• Ejecutar python 04_verify.py.</w:t>
      </w:r>
    </w:p>
    <w:p w14:paraId="69651C63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El script de verificación revisa conteos, datos embebidos, sumas y referencias. De acuerdo con la ejecución reportada, las verificaciones finalizaron correctamente.</w:t>
      </w:r>
    </w:p>
    <w:p w14:paraId="4BFB3499" w14:textId="77777777" w:rsidR="00741753" w:rsidRDefault="00741753">
      <w:pPr>
        <w:spacing w:before="160" w:after="40"/>
        <w:jc w:val="center"/>
        <w:rPr>
          <w:i/>
          <w:lang w:val="es-CO"/>
        </w:rPr>
      </w:pPr>
      <w:r w:rsidRPr="00741753">
        <w:rPr>
          <w:i/>
          <w:noProof/>
          <w:lang w:val="es-CO"/>
        </w:rPr>
        <w:lastRenderedPageBreak/>
        <w:drawing>
          <wp:inline distT="0" distB="0" distL="0" distR="0" wp14:anchorId="3213B240" wp14:editId="38AA0CDA">
            <wp:extent cx="6217920" cy="145351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1753">
        <w:rPr>
          <w:i/>
          <w:lang w:val="es-CO"/>
        </w:rPr>
        <w:t xml:space="preserve"> </w:t>
      </w:r>
    </w:p>
    <w:p w14:paraId="2941233E" w14:textId="640DDECC" w:rsidR="00371CCC" w:rsidRPr="00741753" w:rsidRDefault="00741753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noProof/>
          <w:color w:val="auto"/>
          <w:lang w:val="es-CO"/>
        </w:rPr>
        <w:drawing>
          <wp:inline distT="0" distB="0" distL="0" distR="0" wp14:anchorId="03291806" wp14:editId="574B5845">
            <wp:extent cx="6217920" cy="51720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24E5" w:rsidRPr="00741753">
        <w:rPr>
          <w:rFonts w:ascii="Arial" w:eastAsia="Arial" w:hAnsi="Arial"/>
          <w:color w:val="auto"/>
          <w:lang w:val="es-CO"/>
        </w:rPr>
        <w:t>6. Decisiones de Embedding y Referencing</w:t>
      </w:r>
    </w:p>
    <w:p w14:paraId="42F1C569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Embedding: se usa para datos que suelen consultarse junto con el documento principal. Por eso las direcciones forman parte del cliente y los artículos, el pago y la dirección de envío forman parte del pedido.</w:t>
      </w:r>
    </w:p>
    <w:p w14:paraId="2ABA1445" w14:textId="77777777" w:rsidR="000969C2" w:rsidRDefault="00FF24E5" w:rsidP="000969C2">
      <w:pPr>
        <w:rPr>
          <w:lang w:val="es-CO"/>
        </w:rPr>
      </w:pPr>
      <w:r w:rsidRPr="00741753">
        <w:rPr>
          <w:lang w:val="es-CO"/>
        </w:rPr>
        <w:t>Referencing: se usa para mantener documentos independientes y relacionarlos mediante identificadores. Los productos referencian a proveedores; los pedidos, a clientes; y las reseñas, a clientes y productos.</w:t>
      </w:r>
    </w:p>
    <w:p w14:paraId="7B966101" w14:textId="6CA901E1" w:rsidR="00371CCC" w:rsidRPr="00741753" w:rsidRDefault="00FF24E5" w:rsidP="000969C2">
      <w:pPr>
        <w:rPr>
          <w:lang w:val="es-CO"/>
        </w:rPr>
      </w:pPr>
      <w:r w:rsidRPr="00741753">
        <w:rPr>
          <w:i/>
          <w:lang w:val="es-CO"/>
        </w:rPr>
        <w:t>.</w:t>
      </w:r>
    </w:p>
    <w:p w14:paraId="53145182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lastRenderedPageBreak/>
        <w:t>7. Consultas de agregación</w:t>
      </w:r>
    </w:p>
    <w:p w14:paraId="6F2368E1" w14:textId="77777777" w:rsidR="00D44815" w:rsidRDefault="00D44815">
      <w:pPr>
        <w:spacing w:after="40"/>
        <w:rPr>
          <w:lang w:val="es-CO"/>
        </w:rPr>
      </w:pPr>
    </w:p>
    <w:p w14:paraId="6C43D6D0" w14:textId="6E488501" w:rsidR="00371CCC" w:rsidRPr="00741753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1. Productos más vendidos: </w:t>
      </w:r>
      <w:r w:rsidRPr="00741753">
        <w:rPr>
          <w:lang w:val="es-CO"/>
        </w:rPr>
        <w:t>ayuda a planear inventario y reposición.</w:t>
      </w:r>
    </w:p>
    <w:p w14:paraId="0194C85A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2. Ingresos por categoría: </w:t>
      </w:r>
      <w:r w:rsidRPr="00741753">
        <w:rPr>
          <w:lang w:val="es-CO"/>
        </w:rPr>
        <w:t>permite comparar el aporte de cada categoría.</w:t>
      </w:r>
    </w:p>
    <w:p w14:paraId="43D6CFA1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3. Mejores clientes: </w:t>
      </w:r>
      <w:r w:rsidRPr="00741753">
        <w:rPr>
          <w:lang w:val="es-CO"/>
        </w:rPr>
        <w:t>apoya acciones de fidelización.</w:t>
      </w:r>
    </w:p>
    <w:p w14:paraId="22E83067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4. Ventas mensuales: </w:t>
      </w:r>
      <w:r w:rsidRPr="00741753">
        <w:rPr>
          <w:lang w:val="es-CO"/>
        </w:rPr>
        <w:t>facilita observar tendencias y planear campañas.</w:t>
      </w:r>
    </w:p>
    <w:p w14:paraId="4095A759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5. Productos mejor calificados y proveedores: </w:t>
      </w:r>
      <w:r w:rsidRPr="00741753">
        <w:rPr>
          <w:lang w:val="es-CO"/>
        </w:rPr>
        <w:t>ayuda a identificar productos bien valorados.</w:t>
      </w:r>
    </w:p>
    <w:p w14:paraId="4841E98F" w14:textId="77777777" w:rsidR="00371CCC" w:rsidRPr="00741753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6. Pagos rechazados con cliente y método de pago: </w:t>
      </w:r>
      <w:r w:rsidRPr="00741753">
        <w:rPr>
          <w:lang w:val="es-CO"/>
        </w:rPr>
        <w:t>apoya la revisión de incidencias.</w:t>
      </w:r>
    </w:p>
    <w:p w14:paraId="23A9DFD4" w14:textId="6E092105" w:rsidR="00371CCC" w:rsidRDefault="00FF24E5">
      <w:pPr>
        <w:spacing w:after="40"/>
        <w:rPr>
          <w:lang w:val="es-CO"/>
        </w:rPr>
      </w:pPr>
      <w:r w:rsidRPr="00741753">
        <w:rPr>
          <w:b/>
          <w:lang w:val="es-CO"/>
        </w:rPr>
        <w:t xml:space="preserve">7. Ventas por ciudad: </w:t>
      </w:r>
      <w:r w:rsidRPr="00741753">
        <w:rPr>
          <w:lang w:val="es-CO"/>
        </w:rPr>
        <w:t>muestra la distribución geográfica de las ventas.</w:t>
      </w:r>
    </w:p>
    <w:p w14:paraId="6F44B73F" w14:textId="77777777" w:rsidR="009D6770" w:rsidRPr="00741753" w:rsidRDefault="009D6770">
      <w:pPr>
        <w:spacing w:after="40"/>
        <w:rPr>
          <w:lang w:val="es-CO"/>
        </w:rPr>
      </w:pPr>
    </w:p>
    <w:p w14:paraId="31687878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t>8. Conclusión</w:t>
      </w:r>
    </w:p>
    <w:p w14:paraId="0FE25AC7" w14:textId="77777777" w:rsidR="00371CCC" w:rsidRPr="00741753" w:rsidRDefault="00FF24E5">
      <w:pPr>
        <w:rPr>
          <w:lang w:val="es-CO"/>
        </w:rPr>
      </w:pPr>
      <w:r w:rsidRPr="00741753">
        <w:rPr>
          <w:lang w:val="es-CO"/>
        </w:rPr>
        <w:t>La migración permitió reorganizar los datos relacionales en un modelo documental adaptado a las consultas del sistema. El uso de embedding facilita recuperar información relacionada en un mismo documento, mientras que referencing conserva relaciones entre documentos independientes. La verificación y las consultas de agregación permiten comprobar el resultado y obtener información útil para el análisis del negocio.</w:t>
      </w:r>
    </w:p>
    <w:p w14:paraId="79C14D32" w14:textId="77777777" w:rsidR="00371CCC" w:rsidRPr="00741753" w:rsidRDefault="00FF24E5">
      <w:pPr>
        <w:pStyle w:val="Ttulo1"/>
        <w:spacing w:before="100" w:after="60"/>
        <w:rPr>
          <w:color w:val="auto"/>
          <w:lang w:val="es-CO"/>
        </w:rPr>
      </w:pPr>
      <w:r w:rsidRPr="00741753">
        <w:rPr>
          <w:rFonts w:ascii="Arial" w:eastAsia="Arial" w:hAnsi="Arial"/>
          <w:color w:val="auto"/>
          <w:lang w:val="es-CO"/>
        </w:rPr>
        <w:t>9. Evidencias adicionales</w:t>
      </w:r>
    </w:p>
    <w:p w14:paraId="07BB6D41" w14:textId="3E8EA404" w:rsidR="00741753" w:rsidRPr="00741753" w:rsidRDefault="00741753" w:rsidP="00741753">
      <w:pPr>
        <w:spacing w:before="160" w:after="40"/>
        <w:jc w:val="center"/>
        <w:rPr>
          <w:lang w:val="es-CO"/>
        </w:rPr>
      </w:pPr>
      <w:r w:rsidRPr="00741753">
        <w:rPr>
          <w:noProof/>
          <w:lang w:val="es-CO"/>
        </w:rPr>
        <w:drawing>
          <wp:inline distT="0" distB="0" distL="0" distR="0" wp14:anchorId="0136F683" wp14:editId="0E0D3963">
            <wp:extent cx="6217920" cy="246316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1448" w14:textId="00862ED4" w:rsidR="00371CCC" w:rsidRPr="00741753" w:rsidRDefault="00371CCC">
      <w:pPr>
        <w:jc w:val="center"/>
        <w:rPr>
          <w:lang w:val="es-CO"/>
        </w:rPr>
      </w:pPr>
    </w:p>
    <w:sectPr w:rsidR="00371CCC" w:rsidRPr="00741753" w:rsidSect="00034616">
      <w:footerReference w:type="default" r:id="rId14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5488C4" w14:textId="77777777" w:rsidR="002F14EB" w:rsidRDefault="002F14EB">
      <w:pPr>
        <w:spacing w:after="0" w:line="240" w:lineRule="auto"/>
      </w:pPr>
      <w:r>
        <w:separator/>
      </w:r>
    </w:p>
  </w:endnote>
  <w:endnote w:type="continuationSeparator" w:id="0">
    <w:p w14:paraId="2271F06B" w14:textId="77777777" w:rsidR="002F14EB" w:rsidRDefault="002F1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18A90" w14:textId="64BEED77" w:rsidR="00371CCC" w:rsidRPr="00741753" w:rsidRDefault="00371CCC">
    <w:pPr>
      <w:pStyle w:val="Piedepgina"/>
      <w:jc w:val="center"/>
      <w:rPr>
        <w:lang w:val="es-C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FFC353" w14:textId="77777777" w:rsidR="002F14EB" w:rsidRDefault="002F14EB">
      <w:pPr>
        <w:spacing w:after="0" w:line="240" w:lineRule="auto"/>
      </w:pPr>
      <w:r>
        <w:separator/>
      </w:r>
    </w:p>
  </w:footnote>
  <w:footnote w:type="continuationSeparator" w:id="0">
    <w:p w14:paraId="102DAB64" w14:textId="77777777" w:rsidR="002F14EB" w:rsidRDefault="002F1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9C2"/>
    <w:rsid w:val="00107FEB"/>
    <w:rsid w:val="0015074B"/>
    <w:rsid w:val="0029639D"/>
    <w:rsid w:val="002F14EB"/>
    <w:rsid w:val="00326F90"/>
    <w:rsid w:val="00371CCC"/>
    <w:rsid w:val="00410DB4"/>
    <w:rsid w:val="0067415C"/>
    <w:rsid w:val="00741753"/>
    <w:rsid w:val="0097292E"/>
    <w:rsid w:val="00976932"/>
    <w:rsid w:val="009C4AA9"/>
    <w:rsid w:val="009D6770"/>
    <w:rsid w:val="00AA1D8D"/>
    <w:rsid w:val="00B47730"/>
    <w:rsid w:val="00C84519"/>
    <w:rsid w:val="00CB0664"/>
    <w:rsid w:val="00D44815"/>
    <w:rsid w:val="00D97773"/>
    <w:rsid w:val="00DD45BB"/>
    <w:rsid w:val="00EF736F"/>
    <w:rsid w:val="00FC693F"/>
    <w:rsid w:val="00FF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87C058"/>
  <w14:defaultImageDpi w14:val="300"/>
  <w15:docId w15:val="{7B565479-C1CA-4B39-BF8B-5D9DBF03E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5</Pages>
  <Words>523</Words>
  <Characters>2880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Gonzalez</cp:lastModifiedBy>
  <cp:revision>14</cp:revision>
  <dcterms:created xsi:type="dcterms:W3CDTF">2013-12-23T23:15:00Z</dcterms:created>
  <dcterms:modified xsi:type="dcterms:W3CDTF">2026-10-23T00:33:00Z</dcterms:modified>
  <cp:category/>
</cp:coreProperties>
</file>