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40"/>
          <w:szCs w:val="40"/>
        </w:rPr>
        <w:t xml:space="preserve">西藏充氧宝科技有限公司 · OPC进化营项目</w:t>
      </w:r>
    </w:p>
    <w:p>
      <w:pPr>
        <w:spacing w:after="40"/>
        <w:jc w:val="center"/>
      </w:pPr>
      <w:r>
        <w:rPr>
          <w:b/>
          <w:bCs/>
          <w:color w:val="2E86AB"/>
          <w:sz w:val="30"/>
          <w:szCs w:val="30"/>
        </w:rPr>
        <w:t xml:space="preserve">资料总结与项目规划（初步整理稿）</w:t>
      </w:r>
    </w:p>
    <w:p>
      <w:pPr>
        <w:spacing w:after="400"/>
        <w:jc w:val="center"/>
      </w:pPr>
      <w:r>
        <w:rPr>
          <w:color w:val="595959"/>
          <w:sz w:val="19"/>
          <w:szCs w:val="19"/>
        </w:rPr>
        <w:t xml:space="preserve">整理日期：2026年7月20日　|　执笔：杨子涵（产品端负责人）</w:t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一、项目全景：这是一个什么项目</w:t>
      </w:r>
    </w:p>
    <w:p>
      <w:pPr>
        <w:spacing w:after="120" w:line="300"/>
      </w:pPr>
      <w:r>
        <w:rPr>
          <w:sz w:val="21"/>
          <w:szCs w:val="21"/>
        </w:rPr>
        <w:t xml:space="preserve">本项目是「北京大学生超级个体（OPC）创业大赛·进化营」的产业场景实践任务，核心机制是：企业提出真实业务问题（"小切口"），高校选手在4-6周内用AI能力完成"问题定义→任务拆解→AI工作流设计→轻量化验证→阶段性交付"，产出可演示、可复核的成果，而非完整的企业级系统开发或外包。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40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42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34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甲方（企业场景方）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珠海横琴我可爱科技有限公司 / 西藏充氧宝科技有限公司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统一社会信用代码：91440400MAC5XMWB76；旗下代表产品 Work Air 充氧宝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乙方（OPC选手）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杨子涵（北京工商大学）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任务书签约人，产品端负责人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见证方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北京大学生OPC创业大赛组委会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赛事监督与成果评审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决策人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严磊哥 / 颜伟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整体方向与资源协调（不同文件中出现的企业侧决策人）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日常联系人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费明玉（待与"待确认"对齐）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资料对接、进度反馈</w:t>
            </w:r>
          </w:p>
        </w:tc>
      </w:tr>
    </w:tbl>
    <w:p>
      <w:pPr>
        <w:spacing w:after="200"/>
      </w:pPr>
      <w:r>
        <w:rPr>
          <w:i/>
          <w:iCs/>
          <w:color w:val="595959"/>
          <w:sz w:val="19"/>
          <w:szCs w:val="19"/>
        </w:rPr>
        <w:t xml:space="preserve">提示：任务书与AI赋能计划书中的企业名称、决策人姓名存在细微差异（"珠海横琴我可爱科技" vs "西藏充氧宝科技"；"严磊哥" vs "颜伟"），建议第一次沟通时向甲方确认统一口径，避免后续交付物出现主体不一致。</w:t>
      </w:r>
    </w:p>
    <w:p>
      <w:pPr>
        <w:spacing w:after="120" w:line="300"/>
      </w:pPr>
      <w:r>
        <w:rPr>
          <w:sz w:val="21"/>
          <w:szCs w:val="21"/>
        </w:rPr>
        <w:t xml:space="preserve">项目周期：2026年7月16日 – 8月27日/31日（约6周）。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1.1 协作网络（团队分工）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540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22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负责人</w:t>
            </w:r>
          </w:p>
        </w:tc>
        <w:tc>
          <w:tcPr>
            <w:tcW w:type="dxa" w:w="54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对接内容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产品/情绪AI（本任务主线）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杨子涵、江雨涵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情绪识别系统设计与开发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硬件/传感器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张博、祖内亚提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脑电波传感器选型，与情绪识别的硬件接口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大模型/技术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兰溪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大模型部署与调用支持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中医/精油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郭壮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中医客观化诊断、精油模块，作为情绪调节内容的参考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文创/打印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君宇、佘微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文创产品设计，与情绪识别结果的联动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视频/营销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小唐、兰溪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视频脚本、虚拟形象，情绪调节内容的呈现载体</w:t>
            </w:r>
          </w:p>
        </w:tc>
      </w:tr>
    </w:tbl>
    <w:p>
      <w:pPr>
        <w:pStyle w:val="Heading1"/>
        <w:pBdr>
          <w:bottom w:val="single" w:color="2E86AB" w:sz="8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二、已收到资料盘点</w:t>
      </w:r>
    </w:p>
    <w:p>
      <w:pPr>
        <w:spacing w:after="120" w:line="300"/>
      </w:pPr>
      <w:r>
        <w:rPr>
          <w:sz w:val="21"/>
          <w:szCs w:val="21"/>
        </w:rPr>
        <w:t xml:space="preserve">共收到 8 份材料，可分为四类：正式任务文件、企业整体AI赋能方案、四大场景专项方案、企业素材包。逐一概览如下：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5400"/>
      </w:tblGrid>
      <w:tr>
        <w:trPr>
          <w:tblHeader/>
        </w:trPr>
        <w:tc>
          <w:tcPr>
            <w:tcW w:type="dxa" w:w="30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18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54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核心内容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OPC进化营产业场景验证任务书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正式协议文件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甲乙双方权责、任务周期、六周交付物清单、验收与保密条款——是本任务的"合同"依据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西藏充氧宝·AI赋能计划书07-14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企业整体方案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覆盖"AI辅助博主筛选"与"AI辅助视频剪辑与热点捕捉"两大场景，含现状痛点、指标对照表、六周实施步骤（企业整体内容营销侧的方案，非本任务书直接对象）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场景一：高原场景方案计划书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场景专项方案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高原游客/驻派人群的情绪与内容营销方案（KOL筛选+视频剪辑角度）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场景二：运动场景方案计划书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场景专项方案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运动人群的恢复/补氧需求与内容营销方案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场景三：脑疲劳场景方案计划书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场景专项方案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加班/备考人群的"补氧醒脑"需求与内容营销方案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场景四：银发人群方案计划书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场景专项方案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中老年/孝心经济人群的需求与内容营销方案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产品研讨会议纪要（听脑AI生成）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会议记录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2026-07-16 全员会议，明确脑疲劳监测、情绪识别、中医结合、文创定制四大拓展方向及分工待办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 Air充氧宝相关材料介绍（压缩包）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企业素材包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品牌介绍/Logo、三款产品实拍图（零售机WA-X/WA-01、共享租赁机WA-R）、技术原理视频、6份第三方实测报告（运动恢复、脑疲劳缓解、高原测试等）、典型应用场景说明</w:t>
            </w:r>
          </w:p>
        </w:tc>
      </w:tr>
    </w:tbl>
    <w:p>
      <w:pPr>
        <w:spacing w:after="200"/>
      </w:pPr>
      <w:r>
        <w:rPr>
          <w:i/>
          <w:iCs/>
          <w:color w:val="595959"/>
          <w:sz w:val="19"/>
          <w:szCs w:val="19"/>
        </w:rPr>
        <w:t xml:space="preserve">压缩包内的实测报告（如"低浓度富氧空气缓解脑疲劳研究报告""稻城亚丁测试结果""布达拉宫测试"）是难得的第三方背书素材，可直接作为情绪调节话术"科学依据"引用，也是四大场景内容营销的核心素材源；如需要我进一步提取某一份PDF的具体数据，可以告诉我。</w:t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三、主线任务：情绪健康AI监测及调节系统</w:t>
      </w:r>
    </w:p>
    <w:p>
      <w:pPr>
        <w:spacing w:after="120" w:line="300"/>
      </w:pPr>
      <w:r>
        <w:rPr>
          <w:sz w:val="21"/>
          <w:szCs w:val="21"/>
        </w:rPr>
        <w:t xml:space="preserve">这是任务书正式签约的场景，也是杨子涵个人在OPC进化营中的核心交付责任。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3.1 问题背景</w:t>
      </w:r>
    </w:p>
    <w:p>
      <w:pPr>
        <w:spacing w:after="120" w:line="300"/>
      </w:pPr>
      <w:r>
        <w:rPr>
          <w:sz w:val="21"/>
          <w:szCs w:val="21"/>
        </w:rPr>
        <w:t xml:space="preserve">充氧宝当前的内容与AI工具体系（博主筛选、视频剪辑）只覆盖"生理补氧"维度，四大场景下都伴生着未被满足的情绪问题：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0"/>
      </w:tblGrid>
      <w:tr>
        <w:trPr>
          <w:tblHeader/>
        </w:trPr>
        <w:tc>
          <w:tcPr>
            <w:tcW w:type="dxa" w:w="28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74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核心情绪问题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高原场景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游客因高反产生焦虑、紧张情绪，影响旅行体验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脑疲劳场景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加班/备考人群长期高压，伴随注意力下降、烦躁、情绪低落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运动场景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运动后疲劳影响恢复心态，长期训练可能导致倦怠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银发场景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中老年人因身体不适产生孤独、抑郁倾向；子女关注父母情绪健康</w:t>
            </w:r>
          </w:p>
        </w:tc>
      </w:tr>
    </w:tbl>
    <w:p>
      <w:pPr>
        <w:spacing w:after="120" w:line="300"/>
      </w:pPr>
      <w:r>
        <w:rPr>
          <w:sz w:val="21"/>
          <w:szCs w:val="21"/>
        </w:rPr>
        <w:t xml:space="preserve">另外存在四点系统性缺口：情绪数据未被系统采集；内容缺乏情绪洞察；情绪状态下缺乏调节内容触达；品牌尚未建立"情绪陪伴型补氧"的差异化心智。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3.2 项目目标</w:t>
      </w:r>
    </w:p>
    <w:p>
      <w:pPr>
        <w:spacing w:after="120" w:line="300"/>
      </w:pPr>
      <w:r>
        <w:rPr>
          <w:sz w:val="21"/>
          <w:szCs w:val="21"/>
        </w:rPr>
        <w:t xml:space="preserve">在4-6周内，用轻量级AI能力构建"情绪感知→洞察输出→内容推荐"的初步验证能力，最终交付一个可演示的小程序原型，推动充氧宝从"生理补氧工具"升级为"生理补氧+情绪陪伴"双轮品牌心智。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3.3 产品设计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00"/>
      </w:tblGrid>
      <w:tr>
        <w:trPr>
          <w:tblHeader/>
        </w:trPr>
        <w:tc>
          <w:tcPr>
            <w:tcW w:type="dxa" w:w="24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功能模块</w:t>
            </w:r>
          </w:p>
        </w:tc>
        <w:tc>
          <w:tcPr>
            <w:tcW w:type="dxa" w:w="78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情绪识别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用户拍照/录音/文字输入 → AI识别情绪状态（焦虑/烦躁/倦怠/孤独等）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趣味解读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结合星座、命理、运势生成个性化"电子算命"式解读，用于引流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调节建议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根据情绪状态推送针对性内容（视频/文章/话术）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产品引导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调节建议中自然融入充氧宝产品推荐，形成引流闭环</w:t>
            </w:r>
          </w:p>
        </w:tc>
      </w:tr>
    </w:tbl>
    <w:p>
      <w:pPr>
        <w:spacing w:after="120" w:line="300"/>
      </w:pPr>
      <w:r>
        <w:rPr>
          <w:sz w:val="21"/>
          <w:szCs w:val="21"/>
        </w:rPr>
        <w:t xml:space="preserve">用户流程：打开小程序 → 拍照/录音/文字输入 → AI分析情绪 → 输出情绪标签+置信度 → 趣味解读 → 调节建议 → 产品推荐。</w:t>
      </w:r>
    </w:p>
    <w:p>
      <w:pPr>
        <w:spacing w:after="120" w:line="300"/>
      </w:pPr>
      <w:r>
        <w:rPr>
          <w:sz w:val="21"/>
          <w:szCs w:val="21"/>
        </w:rPr>
        <w:t xml:space="preserve">技术路径：文本情绪识别用 DeepSeek/Claude API + Prompt工程；语音/面部情绪识别调用现成开源模型或API（面部识别为备选，视进度决定是否纳入MVP）。核心原则：不训练模型，调用现成能力快速验证。</w:t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四、六周实施计划（主线任务）</w:t>
      </w:r>
    </w:p>
    <w:p>
      <w:pPr>
        <w:spacing w:after="120" w:line="300"/>
      </w:pPr>
      <w:r>
        <w:rPr>
          <w:sz w:val="21"/>
          <w:szCs w:val="21"/>
        </w:rPr>
        <w:t xml:space="preserve">以下计划综合了《任务书》与《项目说明书》两份文件中略有出入的周计划表述，以更严格的任务书验收口径为准。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4700"/>
        <w:gridCol w:w="2600"/>
      </w:tblGrid>
      <w:tr>
        <w:trPr>
          <w:tblHeader/>
        </w:trPr>
        <w:tc>
          <w:tcPr>
            <w:tcW w:type="dxa" w:w="13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周次</w:t>
            </w:r>
          </w:p>
        </w:tc>
        <w:tc>
          <w:tcPr>
            <w:tcW w:type="dxa" w:w="16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47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核心任务/交付物</w:t>
            </w:r>
          </w:p>
        </w:tc>
        <w:tc>
          <w:tcPr>
            <w:tcW w:type="dxa" w:w="26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验收口径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第1周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需求调研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《四大场景情绪痛点地图》《可用数据源清单》——梳理用户评论/客服记录/互动数据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覆盖≥3类来源；标注≥50条真实情绪样本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第2周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数据准备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《情绪标注规范V1.0》《情绪样本数据集≥200条》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标注一致性≥80%；覆盖焦虑/烦躁/倦怠/孤独四类情绪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第3-4周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原型搭建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情绪识别MVP（文本/语音→情绪标签+置信度+调节建议），小程序可演示界面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对测试样本准确率≥70%（人工复核），MVP基线接受≥60%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第5周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内容测试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《情绪调节内容模板库》≥20条 + 与现有AI工具（博主筛选/视频剪辑）的联动方案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模板覆盖四大场景；企业确认联动方案可行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第6周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集成封装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《情绪健康AI工具使用手册》+ 决赛PPT/演示视频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手册可独立指导运营；含Demo演示视频</w:t>
            </w:r>
          </w:p>
        </w:tc>
      </w:tr>
    </w:tbl>
    <w:p>
      <w:pPr>
        <w:spacing w:after="200"/>
      </w:pPr>
      <w:r>
        <w:rPr>
          <w:i/>
          <w:iCs/>
          <w:color w:val="595959"/>
          <w:sz w:val="19"/>
          <w:szCs w:val="19"/>
        </w:rPr>
        <w:t xml:space="preserve">典型演示场景（任务书原文）：用户西藏旅行途中打开小程序 → AI通过文字描述识别"高反焦虑"状态 → 自动推送针对性调节内容与产品建议。这是决赛展示的核心叙事线，建议第6周围绕它设计演示脚本。</w:t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五、团队并行方向（项目生态背景，供理解全局）</w:t>
      </w:r>
    </w:p>
    <w:p>
      <w:pPr>
        <w:spacing w:after="120" w:line="300"/>
      </w:pPr>
      <w:r>
        <w:rPr>
          <w:sz w:val="21"/>
          <w:szCs w:val="21"/>
        </w:rPr>
        <w:t xml:space="preserve">以下内容并非杨子涵任务书的直接交付对象，但与主线任务存在明确接口，建议了解以便协同：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4200"/>
      </w:tblGrid>
      <w:tr>
        <w:trPr>
          <w:tblHeader/>
        </w:trPr>
        <w:tc>
          <w:tcPr>
            <w:tcW w:type="dxa" w:w="40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方向</w:t>
            </w:r>
          </w:p>
        </w:tc>
        <w:tc>
          <w:tcPr>
            <w:tcW w:type="dxa" w:w="22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负责人</w:t>
            </w:r>
          </w:p>
        </w:tc>
        <w:tc>
          <w:tcPr>
            <w:tcW w:type="dxa" w:w="42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与情绪识别系统的接口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脑疲劳监测硬件（贴片式脑电波传感器）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张博、祖内亚提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硬件采集的疲劳信号可作为情绪识别的输入数据之一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中医/精油模块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郭壮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情绪识别结果可作为精油推荐（助眠/提神）的触发条件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文创定制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君宇、佘微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情绪识别可作为文创产品个性化推荐的依据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AI辅助博主筛选 + 视频剪辑（四大场景内容营销）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兰溪、小唐（企业整体AI赋能计划书对象）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情绪调节内容模板库直接服务于视频脚本与营销内容生产；四份场景方案（高原/运动/脑疲劳/银发）中的KOL画像与爆款元素可复用于情绪调节内容的分发渠道</w:t>
            </w:r>
          </w:p>
        </w:tc>
      </w:tr>
    </w:tbl>
    <w:p>
      <w:pPr>
        <w:spacing w:after="120" w:line="300"/>
      </w:pPr>
      <w:r>
        <w:rPr>
          <w:sz w:val="21"/>
          <w:szCs w:val="21"/>
        </w:rPr>
        <w:t xml:space="preserve">四大场景专项方案的共性结构值得借鉴到情绪任务的呈现中：均包含"场景概述→人群画像→核心痛点→产品价值主张→内容营销落地→六周验证目标→资料边界→风险应对→量化成功标准"九段式框架，且共同的验收硬指标是 KOL匹配准确率≥70%、月度对接博主≥30人、视频产量提升≥2倍、热点发现延迟≤6小时。若决赛展示需要与企业整体项目呼应，可以借用这套指标语言来描述情绪识别系统对内容营销的赋能效果。</w:t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六、关键风险与应对（主线任务）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520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W w:type="dxa" w:w="26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影响</w:t>
            </w:r>
          </w:p>
        </w:tc>
        <w:tc>
          <w:tcPr>
            <w:tcW w:type="dxa" w:w="52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应对策略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企业资料获取滞后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第1周交付物无法按时完成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先用公开数据和通用情绪模板推进，后续替换为真实数据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情绪识别准确率不达预期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MVP验收失败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MVP阶段接受≥60%基线+人工复核模式，不追求全自动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技术链路跑不通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小程序无法交付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备选：纯文本情绪识别（大模型Prompt），确保至少一条可演示路径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4-6周做不完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交付物缩水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MVP范围锁定"文本情绪识别+调节建议生成"，不做多模态、不做个性化推荐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数据安全/隐私风险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合规问题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半私有化部署，用户数据本地存储，处理后删除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合规/宣称风险（继承四大场景共性风险）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情绪/健康类话题易触碰"治疗/治愈"红线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统一措辞为"辅助缓解、非医疗器械"，涉及中老年/慢病场景需加"请遵医嘱"</w:t>
            </w:r>
          </w:p>
        </w:tc>
      </w:tr>
    </w:tbl>
    <w:p>
      <w:pPr>
        <w:pStyle w:val="Heading1"/>
        <w:pBdr>
          <w:bottom w:val="single" w:color="2E86AB" w:sz="8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七、当前需要的资料与本周行动清单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7.1 待向甲方索取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数据类：用户评论数据（抖音/小红书/视频号，近1-2个月）、客服对话记录（脱敏）、产品反馈问卷数据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内容类：四大场景产品卖点话术库、历史内容素材库、现有AI工具（博主筛选/视频剪辑）的使用流程或接口说明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权限类：企业资料边界确认（哪些可开放/不可开放）、如有内部工具或平台需确认账号权限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对接确认：统一"甲方主体名称"与"决策人"的口径（珠海横琴我可爱科技/西藏充氧宝科技；严磊哥/颜伟）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7.2 本周（第1周）行动清单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完成首次需求沟通：确认任务背景理解、资料需求清单、交付节奏（任务书要求本周内完成）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启动《四大场景情绪痛点地图》和《可用数据源清单》的编写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从压缩包内的实测报告中提取可用于情绪调节话术的科学依据（如脑疲劳缓解研究、高原测试结果）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在OPC平台建立工作日志，明确周报提交节奏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7.3 协作方式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日常：OPC平台记录工作日志，按组委会要求提交周报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每周：输出阶段进展摘要（已完成事项/下周计划/当前卡点与所需支持），微信群同步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里程碑：第1、2、4、6周分别完成对应交付物，需企业方配合验收确认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2026-07-20T06:32:43.856Z</dcterms:created>
  <dcterms:modified xsi:type="dcterms:W3CDTF">2026-07-20T06:32:43.868Z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