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情绪健康AI监测及调节系统</w:t>
      </w:r>
    </w:p>
    <w:p>
      <w:pPr>
        <w:spacing w:after="40"/>
        <w:jc w:val="center"/>
      </w:pPr>
      <w:r>
        <w:rPr>
          <w:b/>
          <w:bCs/>
          <w:color w:val="2E86AB"/>
          <w:sz w:val="28"/>
          <w:szCs w:val="28"/>
        </w:rPr>
        <w:t xml:space="preserve">第1周交付物：四大场景情绪痛点地图 + 可用数据源清单（初稿）</w:t>
      </w:r>
    </w:p>
    <w:p>
      <w:pPr>
        <w:spacing w:after="400"/>
        <w:jc w:val="center"/>
      </w:pPr>
      <w:r>
        <w:rPr>
          <w:color w:val="595959"/>
          <w:sz w:val="19"/>
          <w:szCs w:val="19"/>
        </w:rPr>
        <w:t xml:space="preserve">整理日期：2026年7月20日　|　执笔：杨子涵</w:t>
      </w:r>
    </w:p>
    <w:p>
      <w:pPr>
        <w:spacing w:after="120" w:line="300"/>
      </w:pPr>
      <w:r>
        <w:rPr>
          <w:sz w:val="21"/>
          <w:szCs w:val="21"/>
        </w:rPr>
        <w:t xml:space="preserve">说明：本稿基于现有材料（四份场景方案计划书、企业实测报告、品牌介绍等）先行搭建框架与初步内容，用于对齐讨论；标注【待企业确认/补充】处仍需企业方提供真实用户数据（评论、客服记录）后替换或加强。</w:t>
      </w:r>
    </w:p>
    <w:p>
      <w:pPr>
        <w:pStyle w:val="Heading1"/>
        <w:pBdr>
          <w:bottom w:val="single" w:color="2E86AB" w:sz="8" w:space="4"/>
        </w:pBdr>
        <w:spacing w:after="160" w:before="360"/>
      </w:pPr>
      <w:r>
        <w:rPr>
          <w:b/>
          <w:bCs/>
          <w:color w:val="1F4E5F"/>
          <w:sz w:val="30"/>
          <w:szCs w:val="30"/>
        </w:rPr>
        <w:t xml:space="preserve">一、四大场景情绪痛点地图</w:t>
      </w:r>
    </w:p>
    <w:p>
      <w:pPr>
        <w:pStyle w:val="Heading2"/>
        <w:spacing w:after="120" w:before="260"/>
      </w:pPr>
      <w:r>
        <w:rPr>
          <w:b/>
          <w:bCs/>
          <w:color w:val="8E5A3C"/>
          <w:sz w:val="24"/>
          <w:szCs w:val="24"/>
        </w:rPr>
        <w:t xml:space="preserve">■ 高原场景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color="auto" w:val="clear"/>
            <w:tcMar>
              <w:top w:type="dxa" w:w="80"/>
              <w:left w:type="dxa" w:w="100"/>
              <w:bottom w:type="dxa" w:w="80"/>
              <w:right w:type="dxa" w:w="100"/>
            </w:tcMar>
            <w:vAlign w:val="center"/>
          </w:tcPr>
          <w:p>
            <w:pPr>
              <w:jc w:val="left"/>
            </w:pPr>
            <w:r>
              <w:rPr>
                <w:b/>
                <w:bCs/>
                <w:color w:val="FFFFFF"/>
                <w:sz w:val="19"/>
                <w:szCs w:val="19"/>
              </w:rPr>
              <w:t xml:space="preserve">维度</w:t>
            </w:r>
          </w:p>
        </w:tc>
        <w:tc>
          <w:tcPr>
            <w:tcW w:type="dxa" w:w="6600"/>
            <w:shd w:fill="1F4E5F" w:color="auto" w:val="clear"/>
            <w:tcMar>
              <w:top w:type="dxa" w:w="80"/>
              <w:left w:type="dxa" w:w="100"/>
              <w:bottom w:type="dxa" w:w="80"/>
              <w:right w:type="dxa" w:w="100"/>
            </w:tcMar>
            <w:vAlign w:val="center"/>
          </w:tcPr>
          <w:p>
            <w:pPr>
              <w:jc w:val="left"/>
            </w:pPr>
            <w:r>
              <w:rPr>
                <w:b/>
                <w:bCs/>
                <w:color w:val="FFFFFF"/>
                <w:sz w:val="19"/>
                <w:szCs w:val="19"/>
              </w:rPr>
              <w:t xml:space="preserve">内容</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人群画像</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进藏/入高原游客（25-55岁）、高原自驾/骑行/户外玩家、高原驻派与务工人员、高原康养旅居人群</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情绪触发路径（生理→情绪）</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海拔升高→血氧饱和度下降→头痛/气短/失眠/乏力/食欲下降（生理反应）→担心"不敢去/玩不尽兴/出事"的预期焦虑 + 高反发作时的紧张恐慌（情绪反应）</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典型情绪关键词（候选标签）</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焦虑、紧张、恐慌、担忧、不安（出发前）；烦躁、崩溃、后悔（高反发作中）；庆幸、安心（缓解后）</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情绪表达常见场景/渠道</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小红书"进藏攻略"评论区、抖音"高原反应"话题、旅行社/向导客服咨询、高反救治中心/景区应急救援场景</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可引用的产品科学依据</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布达拉宫实地测试（武警西藏总队医院三级氧疗中心出具报告）；稻城亚丁产品使用情况分析；2026年被纳入西藏"高高海拔景区供氧应急救援示范项目"（冈仁波齐/羊卓雍错/纳木错）</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内容/话术切入方向</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"出发前的心安"——把"能不能扛住高反"的焦虑，转化为"随身有保障"的确定感；素材可用真实景区应急案例背书</w:t>
            </w:r>
          </w:p>
        </w:tc>
      </w:tr>
    </w:tbl>
    <w:p>
      <w:pPr>
        <w:spacing w:after="200"/>
      </w:pPr>
      <w:r>
        <w:t xml:space="preserve"/>
      </w:r>
    </w:p>
    <w:p>
      <w:pPr>
        <w:pStyle w:val="Heading2"/>
        <w:spacing w:after="120" w:before="260"/>
      </w:pPr>
      <w:r>
        <w:rPr>
          <w:b/>
          <w:bCs/>
          <w:color w:val="2E7D32"/>
          <w:sz w:val="24"/>
          <w:szCs w:val="24"/>
        </w:rPr>
        <w:t xml:space="preserve">■ 运动场景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color="auto" w:val="clear"/>
            <w:tcMar>
              <w:top w:type="dxa" w:w="80"/>
              <w:left w:type="dxa" w:w="100"/>
              <w:bottom w:type="dxa" w:w="80"/>
              <w:right w:type="dxa" w:w="100"/>
            </w:tcMar>
            <w:vAlign w:val="center"/>
          </w:tcPr>
          <w:p>
            <w:pPr>
              <w:jc w:val="left"/>
            </w:pPr>
            <w:r>
              <w:rPr>
                <w:b/>
                <w:bCs/>
                <w:color w:val="FFFFFF"/>
                <w:sz w:val="19"/>
                <w:szCs w:val="19"/>
              </w:rPr>
              <w:t xml:space="preserve">维度</w:t>
            </w:r>
          </w:p>
        </w:tc>
        <w:tc>
          <w:tcPr>
            <w:tcW w:type="dxa" w:w="6600"/>
            <w:shd w:fill="1F4E5F" w:color="auto" w:val="clear"/>
            <w:tcMar>
              <w:top w:type="dxa" w:w="80"/>
              <w:left w:type="dxa" w:w="100"/>
              <w:bottom w:type="dxa" w:w="80"/>
              <w:right w:type="dxa" w:w="100"/>
            </w:tcMar>
            <w:vAlign w:val="center"/>
          </w:tcPr>
          <w:p>
            <w:pPr>
              <w:jc w:val="left"/>
            </w:pPr>
            <w:r>
              <w:rPr>
                <w:b/>
                <w:bCs/>
                <w:color w:val="FFFFFF"/>
                <w:sz w:val="19"/>
                <w:szCs w:val="19"/>
              </w:rPr>
              <w:t xml:space="preserve">内容</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人群画像</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跑步/马拉松/越野跑爱好者（18-40岁）、健身房力量训练/HYROX人群、骑行/户外/登山运动者、运动达人/教练/康复科普博主</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情绪触发路径（生理→情绪）</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高强度运动→耗氧量增加、乳酸堆积→肌肉疲劳、心率上升（生理反应）→恢复慢带来的沮丧、长期训练的倦怠感、赛前对表现的焦虑（情绪反应）</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典型情绪关键词（候选标签）</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疲惫、倦怠、沮丧（恢复慢）；焦虑、紧张（赛前状态）；轻松、振奋（恢复后/表现提升）</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情绪表达常见场景/渠道</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健身/跑步社群讨论、赛事前后社交平台发帖、教练/康复类账号评论区</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可引用的产品科学依据</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华南师范大学体育科学学院王松涛教授课题组《运动能力研究报告》《运动恢复研究报告》：富氧组血乳酸峰值较安慰剂组/对照组分别降低约4.95%与4.61%；运动中使用可降低心率与血压上升幅度、减缓疲劳感出现</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内容/话术切入方向</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"恢复不慢、状态不崩"——用可量化的乳酸/心率数据佐证"补氧=更快恢复"，切入训练后情绪低谷的安抚</w:t>
            </w:r>
          </w:p>
        </w:tc>
      </w:tr>
    </w:tbl>
    <w:p>
      <w:pPr>
        <w:spacing w:after="200"/>
      </w:pPr>
      <w:r>
        <w:t xml:space="preserve"/>
      </w:r>
    </w:p>
    <w:p>
      <w:pPr>
        <w:pStyle w:val="Heading2"/>
        <w:spacing w:after="120" w:before="260"/>
      </w:pPr>
      <w:r>
        <w:rPr>
          <w:b/>
          <w:bCs/>
          <w:color w:val="5B4B8A"/>
          <w:sz w:val="24"/>
          <w:szCs w:val="24"/>
        </w:rPr>
        <w:t xml:space="preserve">■ 脑疲劳场景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color="auto" w:val="clear"/>
            <w:tcMar>
              <w:top w:type="dxa" w:w="80"/>
              <w:left w:type="dxa" w:w="100"/>
              <w:bottom w:type="dxa" w:w="80"/>
              <w:right w:type="dxa" w:w="100"/>
            </w:tcMar>
            <w:vAlign w:val="center"/>
          </w:tcPr>
          <w:p>
            <w:pPr>
              <w:jc w:val="left"/>
            </w:pPr>
            <w:r>
              <w:rPr>
                <w:b/>
                <w:bCs/>
                <w:color w:val="FFFFFF"/>
                <w:sz w:val="19"/>
                <w:szCs w:val="19"/>
              </w:rPr>
              <w:t xml:space="preserve">维度</w:t>
            </w:r>
          </w:p>
        </w:tc>
        <w:tc>
          <w:tcPr>
            <w:tcW w:type="dxa" w:w="6600"/>
            <w:shd w:fill="1F4E5F" w:color="auto" w:val="clear"/>
            <w:tcMar>
              <w:top w:type="dxa" w:w="80"/>
              <w:left w:type="dxa" w:w="100"/>
              <w:bottom w:type="dxa" w:w="80"/>
              <w:right w:type="dxa" w:w="100"/>
            </w:tcMar>
            <w:vAlign w:val="center"/>
          </w:tcPr>
          <w:p>
            <w:pPr>
              <w:jc w:val="left"/>
            </w:pPr>
            <w:r>
              <w:rPr>
                <w:b/>
                <w:bCs/>
                <w:color w:val="FFFFFF"/>
                <w:sz w:val="19"/>
                <w:szCs w:val="19"/>
              </w:rPr>
              <w:t xml:space="preserve">内容</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人群画像</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职场白领（22-40岁，加班族）、学生/考研考公人群、程序员/设计师/内容创作者、知识/学习/职场类博主受众</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情绪触发路径（生理→情绪）</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长时间高强度用脑→脑供氧相对不足→注意力下降、反应变慢、脑雾（生理反应）→烦躁、情绪低落、效率焦虑、自我怀疑（情绪反应）</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典型情绪关键词（候选标签）</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烦躁、脑雾、犯困、低落、焦虑（deadline临近）、无力感</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情绪表达常见场景/渠道</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职场/考研社群吐槽、深夜/午后社交平台发帖、效率工具类内容评论区、客服"用了没效果"类反馈</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可引用的产品科学依据</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低浓度富氧空气缓解脑力疲劳的研究》（16名受试者）：Stroop任务诱导疲劳后，主观疲劳量表VAS、嗜睡量表SSS较基线显著变化（p&lt;0.01）；10分钟富氧干预后主观疲劳感和反应时下降，认知任务正确率显著提高（p&lt;0.05）</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内容/话术切入方向</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"不咖啡、不心悸的清醒"——直接对标咖啡因焦虑/心悸的负面情绪，用真实实验数据支撑"物理提神不添堵"</w:t>
            </w:r>
          </w:p>
        </w:tc>
      </w:tr>
    </w:tbl>
    <w:p>
      <w:pPr>
        <w:spacing w:after="200"/>
      </w:pPr>
      <w:r>
        <w:t xml:space="preserve"/>
      </w:r>
    </w:p>
    <w:p>
      <w:pPr>
        <w:pStyle w:val="Heading2"/>
        <w:spacing w:after="120" w:before="260"/>
      </w:pPr>
      <w:r>
        <w:rPr>
          <w:b/>
          <w:bCs/>
          <w:color w:val="B0451E"/>
          <w:sz w:val="24"/>
          <w:szCs w:val="24"/>
        </w:rPr>
        <w:t xml:space="preserve">■ 银发场景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color="auto" w:val="clear"/>
            <w:tcMar>
              <w:top w:type="dxa" w:w="80"/>
              <w:left w:type="dxa" w:w="100"/>
              <w:bottom w:type="dxa" w:w="80"/>
              <w:right w:type="dxa" w:w="100"/>
            </w:tcMar>
            <w:vAlign w:val="center"/>
          </w:tcPr>
          <w:p>
            <w:pPr>
              <w:jc w:val="left"/>
            </w:pPr>
            <w:r>
              <w:rPr>
                <w:b/>
                <w:bCs/>
                <w:color w:val="FFFFFF"/>
                <w:sz w:val="19"/>
                <w:szCs w:val="19"/>
              </w:rPr>
              <w:t xml:space="preserve">维度</w:t>
            </w:r>
          </w:p>
        </w:tc>
        <w:tc>
          <w:tcPr>
            <w:tcW w:type="dxa" w:w="6600"/>
            <w:shd w:fill="1F4E5F" w:color="auto" w:val="clear"/>
            <w:tcMar>
              <w:top w:type="dxa" w:w="80"/>
              <w:left w:type="dxa" w:w="100"/>
              <w:bottom w:type="dxa" w:w="80"/>
              <w:right w:type="dxa" w:w="100"/>
            </w:tcMar>
            <w:vAlign w:val="center"/>
          </w:tcPr>
          <w:p>
            <w:pPr>
              <w:jc w:val="left"/>
            </w:pPr>
            <w:r>
              <w:rPr>
                <w:b/>
                <w:bCs/>
                <w:color w:val="FFFFFF"/>
                <w:sz w:val="19"/>
                <w:szCs w:val="19"/>
              </w:rPr>
              <w:t xml:space="preserve">内容</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人群画像</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50-75岁中老年人（日常气短/睡眠缺氧/胸闷）、子女购买决策方（25-45岁）、心肺/呼吸系统敏感人群、养生/家庭类博主受众</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情绪触发路径（生理→情绪）</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心肺功能下降/慢病→日常缺氧不适（胸闷、气短、睡眠差）（生理反应）→孤独、抑郁倾向（长辈自身情绪）+ 子女因牵挂产生的担忧、愧疚（"没能常陪在身边"）</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典型情绪关键词（候选标签）</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孤独、闷、烦闷、担心（长辈）；愧疚、牵挂、不放心（子女视角）；安心、放心（购买/使用后）</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情绪表达常见场景/渠道</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子女视角的"孝心好物"分享、中老年健康科普评论区、家庭群/朋友圈转发场景</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可引用的产品科学依据</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2025年Work Air入选"中国老龄产业品牌库"；核心功效说明中提及"助力银发人群的居家保健、日常出行、健身活动、棋牌娱乐、旅游观光"</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内容/话术切入方向</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双主角叙事——同时安抚长辈的"孤独/不适"和子女的"愧疚/担心"，情绪调节内容需要同时服务两个视角</w:t>
            </w:r>
          </w:p>
        </w:tc>
      </w:tr>
    </w:tbl>
    <w:p>
      <w:pPr>
        <w:spacing w:after="200"/>
      </w:pPr>
      <w:r>
        <w:t xml:space="preserve"/>
      </w:r>
    </w:p>
    <w:p>
      <w:pPr>
        <w:spacing w:after="200"/>
      </w:pPr>
      <w:r>
        <w:rPr>
          <w:i/>
          <w:iCs/>
          <w:color w:val="595959"/>
          <w:sz w:val="19"/>
          <w:szCs w:val="19"/>
        </w:rPr>
        <w:t xml:space="preserve">以上情绪关键词与触发路径为基于现有场景方案文档整理的假设性框架，属于第1周"标注前的预研"，仍需要用真实评论/客服数据做校准——这正是第2周《情绪标注规范》和≥200条样本要解决的问题。</w:t>
      </w:r>
    </w:p>
    <w:p>
      <w:pPr>
        <w:pStyle w:val="Heading1"/>
        <w:pBdr>
          <w:bottom w:val="single" w:color="2E86AB" w:sz="8" w:space="4"/>
        </w:pBdr>
        <w:spacing w:after="160" w:before="360"/>
      </w:pPr>
      <w:r>
        <w:rPr>
          <w:b/>
          <w:bCs/>
          <w:color w:val="1F4E5F"/>
          <w:sz w:val="30"/>
          <w:szCs w:val="30"/>
        </w:rPr>
        <w:t xml:space="preserve">二、可用数据源清单</w:t>
      </w:r>
    </w:p>
    <w:p>
      <w:pPr>
        <w:pStyle w:val="Heading2"/>
        <w:spacing w:after="120" w:before="260"/>
      </w:pPr>
      <w:r>
        <w:rPr>
          <w:b/>
          <w:bCs/>
          <w:color w:val="2E86AB"/>
          <w:sz w:val="24"/>
          <w:szCs w:val="24"/>
        </w:rPr>
        <w:t xml:space="preserve">2.1 已确认可获取（企业已开放或材料中已提供）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800"/>
        <w:gridCol w:w="1600"/>
      </w:tblGrid>
      <w:tr>
        <w:trPr>
          <w:tblHeader/>
        </w:trPr>
        <w:tc>
          <w:tcPr>
            <w:tcW w:type="dxa" w:w="2200"/>
            <w:shd w:fill="1F4E5F" w:color="auto" w:val="clear"/>
            <w:tcMar>
              <w:top w:type="dxa" w:w="80"/>
              <w:left w:type="dxa" w:w="100"/>
              <w:bottom w:type="dxa" w:w="80"/>
              <w:right w:type="dxa" w:w="100"/>
            </w:tcMar>
            <w:vAlign w:val="center"/>
          </w:tcPr>
          <w:p>
            <w:pPr>
              <w:jc w:val="left"/>
            </w:pPr>
            <w:r>
              <w:rPr>
                <w:b/>
                <w:bCs/>
                <w:color w:val="FFFFFF"/>
                <w:sz w:val="19"/>
                <w:szCs w:val="19"/>
              </w:rPr>
              <w:t xml:space="preserve">数据源</w:t>
            </w:r>
          </w:p>
        </w:tc>
        <w:tc>
          <w:tcPr>
            <w:tcW w:type="dxa" w:w="3800"/>
            <w:shd w:fill="1F4E5F" w:color="auto" w:val="clear"/>
            <w:tcMar>
              <w:top w:type="dxa" w:w="80"/>
              <w:left w:type="dxa" w:w="100"/>
              <w:bottom w:type="dxa" w:w="80"/>
              <w:right w:type="dxa" w:w="100"/>
            </w:tcMar>
            <w:vAlign w:val="center"/>
          </w:tcPr>
          <w:p>
            <w:pPr>
              <w:jc w:val="left"/>
            </w:pPr>
            <w:r>
              <w:rPr>
                <w:b/>
                <w:bCs/>
                <w:color w:val="FFFFFF"/>
                <w:sz w:val="19"/>
                <w:szCs w:val="19"/>
              </w:rPr>
              <w:t xml:space="preserve">字段/内容</w:t>
            </w:r>
          </w:p>
        </w:tc>
        <w:tc>
          <w:tcPr>
            <w:tcW w:type="dxa" w:w="1800"/>
            <w:shd w:fill="1F4E5F" w:color="auto" w:val="clear"/>
            <w:tcMar>
              <w:top w:type="dxa" w:w="80"/>
              <w:left w:type="dxa" w:w="100"/>
              <w:bottom w:type="dxa" w:w="80"/>
              <w:right w:type="dxa" w:w="100"/>
            </w:tcMar>
            <w:vAlign w:val="center"/>
          </w:tcPr>
          <w:p>
            <w:pPr>
              <w:jc w:val="left"/>
            </w:pPr>
            <w:r>
              <w:rPr>
                <w:b/>
                <w:bCs/>
                <w:color w:val="FFFFFF"/>
                <w:sz w:val="19"/>
                <w:szCs w:val="19"/>
              </w:rPr>
              <w:t xml:space="preserve">获取方式</w:t>
            </w:r>
          </w:p>
        </w:tc>
        <w:tc>
          <w:tcPr>
            <w:tcW w:type="dxa" w:w="1600"/>
            <w:shd w:fill="1F4E5F" w:color="auto" w:val="clear"/>
            <w:tcMar>
              <w:top w:type="dxa" w:w="80"/>
              <w:left w:type="dxa" w:w="100"/>
              <w:bottom w:type="dxa" w:w="80"/>
              <w:right w:type="dxa" w:w="100"/>
            </w:tcMar>
            <w:vAlign w:val="center"/>
          </w:tcPr>
          <w:p>
            <w:pPr>
              <w:jc w:val="left"/>
            </w:pPr>
            <w:r>
              <w:rPr>
                <w:b/>
                <w:bCs/>
                <w:color w:val="FFFFFF"/>
                <w:sz w:val="19"/>
                <w:szCs w:val="19"/>
              </w:rPr>
              <w:t xml:space="preserve">当前状态</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企业实测报告（PDF）</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运动能力/运动恢复/脑疲劳缓解等研究数据（VAS、SSS、血乳酸、心率、认知正确率等）</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企业素材包，已获取</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可直接使用，作为情绪调节话术"科学依据"</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品牌与产品资料</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产品参数、核心功效、荣誉资质、典型场景描述</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企业素材包，已获取</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可直接使用，用于生成"产品引导"文案</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四大场景方案计划书</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人群画像、痛点描述、KOL筛选维度、内容营销角度</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OPC任务对接材料，已获取</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已用于本痛点地图初稿</w:t>
            </w:r>
          </w:p>
        </w:tc>
      </w:tr>
    </w:tbl>
    <w:p>
      <w:pPr>
        <w:pStyle w:val="Heading2"/>
        <w:spacing w:after="120" w:before="260"/>
      </w:pPr>
      <w:r>
        <w:rPr>
          <w:b/>
          <w:bCs/>
          <w:color w:val="2E86AB"/>
          <w:sz w:val="24"/>
          <w:szCs w:val="24"/>
        </w:rPr>
        <w:t xml:space="preserve">2.2 待企业提供【需第1周内确认】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1400"/>
      </w:tblGrid>
      <w:tr>
        <w:trPr>
          <w:tblHeader/>
        </w:trPr>
        <w:tc>
          <w:tcPr>
            <w:tcW w:type="dxa" w:w="2600"/>
            <w:shd w:fill="1F4E5F" w:color="auto" w:val="clear"/>
            <w:tcMar>
              <w:top w:type="dxa" w:w="80"/>
              <w:left w:type="dxa" w:w="100"/>
              <w:bottom w:type="dxa" w:w="80"/>
              <w:right w:type="dxa" w:w="100"/>
            </w:tcMar>
            <w:vAlign w:val="center"/>
          </w:tcPr>
          <w:p>
            <w:pPr>
              <w:jc w:val="left"/>
            </w:pPr>
            <w:r>
              <w:rPr>
                <w:b/>
                <w:bCs/>
                <w:color w:val="FFFFFF"/>
                <w:sz w:val="19"/>
                <w:szCs w:val="19"/>
              </w:rPr>
              <w:t xml:space="preserve">数据源</w:t>
            </w:r>
          </w:p>
        </w:tc>
        <w:tc>
          <w:tcPr>
            <w:tcW w:type="dxa" w:w="2800"/>
            <w:shd w:fill="1F4E5F" w:color="auto" w:val="clear"/>
            <w:tcMar>
              <w:top w:type="dxa" w:w="80"/>
              <w:left w:type="dxa" w:w="100"/>
              <w:bottom w:type="dxa" w:w="80"/>
              <w:right w:type="dxa" w:w="100"/>
            </w:tcMar>
            <w:vAlign w:val="center"/>
          </w:tcPr>
          <w:p>
            <w:pPr>
              <w:jc w:val="left"/>
            </w:pPr>
            <w:r>
              <w:rPr>
                <w:b/>
                <w:bCs/>
                <w:color w:val="FFFFFF"/>
                <w:sz w:val="19"/>
                <w:szCs w:val="19"/>
              </w:rPr>
              <w:t xml:space="preserve">字段/内容</w:t>
            </w:r>
          </w:p>
        </w:tc>
        <w:tc>
          <w:tcPr>
            <w:tcW w:type="dxa" w:w="2600"/>
            <w:shd w:fill="1F4E5F" w:color="auto" w:val="clear"/>
            <w:tcMar>
              <w:top w:type="dxa" w:w="80"/>
              <w:left w:type="dxa" w:w="100"/>
              <w:bottom w:type="dxa" w:w="80"/>
              <w:right w:type="dxa" w:w="100"/>
            </w:tcMar>
            <w:vAlign w:val="center"/>
          </w:tcPr>
          <w:p>
            <w:pPr>
              <w:jc w:val="left"/>
            </w:pPr>
            <w:r>
              <w:rPr>
                <w:b/>
                <w:bCs/>
                <w:color w:val="FFFFFF"/>
                <w:sz w:val="19"/>
                <w:szCs w:val="19"/>
              </w:rPr>
              <w:t xml:space="preserve">用途</w:t>
            </w:r>
          </w:p>
        </w:tc>
        <w:tc>
          <w:tcPr>
            <w:tcW w:type="dxa" w:w="1400"/>
            <w:shd w:fill="1F4E5F" w:color="auto" w:val="clear"/>
            <w:tcMar>
              <w:top w:type="dxa" w:w="80"/>
              <w:left w:type="dxa" w:w="100"/>
              <w:bottom w:type="dxa" w:w="80"/>
              <w:right w:type="dxa" w:w="100"/>
            </w:tcMar>
            <w:vAlign w:val="center"/>
          </w:tcPr>
          <w:p>
            <w:pPr>
              <w:jc w:val="left"/>
            </w:pPr>
            <w:r>
              <w:rPr>
                <w:b/>
                <w:bCs/>
                <w:color w:val="FFFFFF"/>
                <w:sz w:val="19"/>
                <w:szCs w:val="19"/>
              </w:rPr>
              <w:t xml:space="preserve">优先级</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用户评论数据（抖音/小红书/视频号，近1-2个月）</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评论文本、点赞数、发布时间、关联视频场景</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情绪关键词校准、标注样本主要来源</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高</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客服对话记录（脱敏）</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用户咨询内容、情绪表达片段、问题类型</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覆盖售前咨询、售后使用问题中的情绪信号</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高</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产品反馈问卷数据（如有）</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结构化满意度/体验反馈</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补充非结构化数据不足场景</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中</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历史内容素材库/已发布视频数据</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文案、评论区互动、播放/点赞/转化</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情绪调节内容模板库素材来源（第5周）</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中</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现有AI工具（博主筛选/视频剪辑）接口说明</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输入输出格式、可对接字段</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第5周联动方案设计依据</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低（可延后到第4-5周）</w:t>
            </w:r>
          </w:p>
        </w:tc>
      </w:tr>
    </w:tbl>
    <w:p>
      <w:pPr>
        <w:spacing w:after="200"/>
      </w:pPr>
      <w:r>
        <w:rPr>
          <w:i/>
          <w:iCs/>
          <w:color w:val="595959"/>
          <w:sz w:val="19"/>
          <w:szCs w:val="19"/>
        </w:rPr>
        <w:t xml:space="preserve">按任务书要求，第1周验收口径为"覆盖≥3类来源、标注≥50条真实情绪样本"。目前评论数据与客服记录尚未拿到，是本周与企业沟通的第一优先级；若无法及时拿到，将按风险预案启用公开数据+通用情绪模板过渡。</w:t>
      </w:r>
    </w:p>
    <w:p>
      <w:pPr>
        <w:pStyle w:val="Heading1"/>
        <w:pBdr>
          <w:bottom w:val="single" w:color="2E86AB" w:sz="8" w:space="4"/>
        </w:pBdr>
        <w:spacing w:after="160" w:before="360"/>
      </w:pPr>
      <w:r>
        <w:rPr>
          <w:b/>
          <w:bCs/>
          <w:color w:val="1F4E5F"/>
          <w:sz w:val="30"/>
          <w:szCs w:val="30"/>
        </w:rPr>
        <w:t xml:space="preserve">三、附录：科学依据摘录（供情绪调节话术引用）</w:t>
      </w:r>
    </w:p>
    <w:p>
      <w:pPr>
        <w:spacing w:after="120" w:line="300"/>
      </w:pPr>
      <w:r>
        <w:rPr>
          <w:sz w:val="21"/>
          <w:szCs w:val="21"/>
        </w:rPr>
        <w:t xml:space="preserve">以下数据均提取自企业提供的实测报告原文，可直接作为调节建议中的"科学背书"素材，使用时注意合规措辞（"辅助缓解"而非"治疗/治愈"）。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100"/>
      </w:tblGrid>
      <w:tr>
        <w:trPr>
          <w:tblHeader/>
        </w:trPr>
        <w:tc>
          <w:tcPr>
            <w:tcW w:type="dxa" w:w="1700"/>
            <w:shd w:fill="1F4E5F" w:color="auto" w:val="clear"/>
            <w:tcMar>
              <w:top w:type="dxa" w:w="80"/>
              <w:left w:type="dxa" w:w="100"/>
              <w:bottom w:type="dxa" w:w="80"/>
              <w:right w:type="dxa" w:w="100"/>
            </w:tcMar>
            <w:vAlign w:val="center"/>
          </w:tcPr>
          <w:p>
            <w:pPr>
              <w:jc w:val="left"/>
            </w:pPr>
            <w:r>
              <w:rPr>
                <w:b/>
                <w:bCs/>
                <w:color w:val="FFFFFF"/>
                <w:sz w:val="19"/>
                <w:szCs w:val="19"/>
              </w:rPr>
              <w:t xml:space="preserve">场景</w:t>
            </w:r>
          </w:p>
        </w:tc>
        <w:tc>
          <w:tcPr>
            <w:tcW w:type="dxa" w:w="3600"/>
            <w:shd w:fill="1F4E5F" w:color="auto" w:val="clear"/>
            <w:tcMar>
              <w:top w:type="dxa" w:w="80"/>
              <w:left w:type="dxa" w:w="100"/>
              <w:bottom w:type="dxa" w:w="80"/>
              <w:right w:type="dxa" w:w="100"/>
            </w:tcMar>
            <w:vAlign w:val="center"/>
          </w:tcPr>
          <w:p>
            <w:pPr>
              <w:jc w:val="left"/>
            </w:pPr>
            <w:r>
              <w:rPr>
                <w:b/>
                <w:bCs/>
                <w:color w:val="FFFFFF"/>
                <w:sz w:val="19"/>
                <w:szCs w:val="19"/>
              </w:rPr>
              <w:t xml:space="preserve">研究/来源</w:t>
            </w:r>
          </w:p>
        </w:tc>
        <w:tc>
          <w:tcPr>
            <w:tcW w:type="dxa" w:w="4100"/>
            <w:shd w:fill="1F4E5F" w:color="auto" w:val="clear"/>
            <w:tcMar>
              <w:top w:type="dxa" w:w="80"/>
              <w:left w:type="dxa" w:w="100"/>
              <w:bottom w:type="dxa" w:w="80"/>
              <w:right w:type="dxa" w:w="100"/>
            </w:tcMar>
            <w:vAlign w:val="center"/>
          </w:tcPr>
          <w:p>
            <w:pPr>
              <w:jc w:val="left"/>
            </w:pPr>
            <w:r>
              <w:rPr>
                <w:b/>
                <w:bCs/>
                <w:color w:val="FFFFFF"/>
                <w:sz w:val="19"/>
                <w:szCs w:val="19"/>
              </w:rPr>
              <w:t xml:space="preserve">关键数据</w:t>
            </w:r>
          </w:p>
        </w:tc>
      </w:tr>
      <w:tr>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脑疲劳</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《低浓度富氧空气缓解脑力疲劳的研究》
（华南师范大学体育科学学院课题组，16名受试者）</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Stroop任务诱导脑力疲劳后，主观疲劳量表VAS、嗜睡量表SSS较基线呈极显著变化（p&lt;0.01）；10分钟富氧干预后，主观疲劳感与反应时下降，认知任务正确率显著提高（p&lt;0.05）</w:t>
            </w:r>
          </w:p>
        </w:tc>
      </w:tr>
      <w:tr>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运动恢复</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《Work Air充氧宝提高运动能力/改善运动后恢复的研究报告》
（华南师范大学王松涛教授课题组）</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富氧组血乳酸峰值较安慰剂组、对照组分别平均降低4.95%与4.61%；Wingate测试中富氧组运动后血乳酸更少、RPE（主观疲劳感）更低</w:t>
            </w:r>
          </w:p>
        </w:tc>
      </w:tr>
      <w:tr>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高原场景</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布达拉宫实地测试（武警西藏总队医院三级氧疗中心出具报告）；稻城亚丁产品使用情况分析</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实地验证核心功能；2026年被纳入西藏"高高海拔景区供氧应急救援示范项目"（冈仁波齐/羊卓雍错/纳木错等）</w:t>
            </w:r>
          </w:p>
        </w:tc>
      </w:tr>
      <w:tr>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产品资质背书（跨场景通用）</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品牌介绍资料</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2021年核心技术获国家发明专利；2024年获"中国优秀团体标准"；2025年央视春晚拉萨分会场指定用氧设备；2025年入选中国老龄产业品牌库；2025年进驻拉萨市人民医院高原反应救治中心</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2026-07-20T08:39:21.542Z</dcterms:created>
  <dcterms:modified xsi:type="dcterms:W3CDTF">2026-07-20T08:39:21.557Z</dcterms:modified>
</cp:coreProperties>
</file>

<file path=docProps/custom.xml><?xml version="1.0" encoding="utf-8"?>
<Properties xmlns="http://schemas.openxmlformats.org/officeDocument/2006/custom-properties" xmlns:vt="http://schemas.openxmlformats.org/officeDocument/2006/docPropsVTypes"/>
</file>