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40"/>
        <w:ind w:firstLine="0"/>
        <w:jc w:val="center"/>
      </w:pPr>
      <w:r>
        <w:rPr>
          <w:rFonts w:ascii="Times New Roman" w:hAnsi="Times New Roman" w:eastAsia="SimHei"/>
          <w:b/>
          <w:sz w:val="32"/>
        </w:rPr>
        <w:t>三、核心亮点</w:t>
      </w:r>
    </w:p>
    <w:p>
      <w:pPr>
        <w:spacing w:line="240" w:lineRule="auto" w:before="0" w:after="0"/>
        <w:ind w:firstLine="480"/>
      </w:pPr>
      <w:r>
        <w:rPr>
          <w:rFonts w:ascii="Times New Roman" w:hAnsi="Times New Roman" w:eastAsia="SimSun"/>
          <w:sz w:val="24"/>
        </w:rPr>
        <w:t>本项目面向智慧农业场景中「感知—分析—决策—执行」一体化需求，在指标体系、技术路线与系统形态上形成相互支撑的创新链条。结合预期应用效果与《核心功能特色与优势展示》示意图，其核心亮点可归纳如下。</w:t>
      </w:r>
    </w:p>
    <w:p/>
    <w:p>
      <w:pPr>
        <w:spacing w:line="240" w:lineRule="auto" w:before="0" w:after="0"/>
        <w:ind w:firstLine="480"/>
      </w:pPr>
      <w:r>
        <w:rPr>
          <w:rFonts w:ascii="Times New Roman" w:hAnsi="Times New Roman" w:eastAsia="SimSun"/>
          <w:sz w:val="24"/>
        </w:rPr>
        <w:t>（一）关键指标与绿色效益相统一。在成本控制方面，系统采用消费级硬件与轻量化边缘部署思路，相较依赖大型专用设备的传统方案，预期可降低综合建设与运维成本约 60%。在投入品使用方面，依托精准施药与处方化指导，有助于在保障防效的前提下减少农药使用量约 30%，降低面源污染风险并提升农产品质量安全水平。上述指标与「降本、增效、绿色生产」的应用价值导向一致，体现了技术方案与农业可持续发展目标的协同。</w:t>
      </w:r>
    </w:p>
    <w:p/>
    <w:p>
      <w:pPr>
        <w:spacing w:line="240" w:lineRule="auto" w:before="0" w:after="0"/>
        <w:ind w:firstLine="480"/>
      </w:pPr>
      <w:r>
        <w:rPr>
          <w:rFonts w:ascii="Times New Roman" w:hAnsi="Times New Roman" w:eastAsia="SimSun"/>
          <w:sz w:val="24"/>
        </w:rPr>
        <w:t>（二）多模态融合与实时性保障识别与决策质量。项目将可见光影像、多光谱及田间环境等多源信息进行融合建模，通过多模态数据融合算法提升作物长势、病虫草害等目标的判别稳定性，预期可使关键识别任务的准确率较单一模态基线提升约 15%。同时，在边缘侧进行推理与链路优化，使典型分析任务的响应时间控制在 3 秒以内，满足田间巡检与近实时研判对时效性的要求，为后续精准管理决策提供可靠输入。</w:t>
      </w:r>
    </w:p>
    <w:p/>
    <w:p>
      <w:pPr>
        <w:spacing w:line="240" w:lineRule="auto" w:before="0" w:after="0"/>
        <w:ind w:firstLine="480"/>
      </w:pPr>
      <w:r>
        <w:rPr>
          <w:rFonts w:ascii="Times New Roman" w:hAnsi="Times New Roman" w:eastAsia="SimSun"/>
          <w:sz w:val="24"/>
        </w:rPr>
        <w:t>（三）全流程闭环与多端协同体现系统化特色。本项目覆盖从作物识别、病虫害诊断、成熟度评估、长势预测到精准施药建议的完整业务链条，形成采集—分析—决策—执行（或指令下发）的自动化闭环；并通过无人机、后台与移动终端等多端协同，实现任务与状态的同步，体现全流程自动化、多终端协同与个性化精准决策等产品层特征。</w:t>
      </w:r>
    </w:p>
    <w:p/>
    <w:p>
      <w:pPr>
        <w:spacing w:line="240" w:lineRule="auto" w:before="0" w:after="0"/>
        <w:ind w:firstLine="480"/>
      </w:pPr>
      <w:r>
        <w:rPr>
          <w:rFonts w:ascii="Times New Roman" w:hAnsi="Times New Roman" w:eastAsia="SimSun"/>
          <w:sz w:val="24"/>
        </w:rPr>
        <w:t>（四）一体化 Web 平台与可追溯可视化支撑工程落地。系统提供一体化 Web 平台与页面模块化组织方式，便于按业务场景扩展与维护；识别与诊断结果以可视化方式呈现，并支持历史记录与过程追溯。实时通道承载视频流与运行状态推送，增强现场态势感知与运维可见性。</w:t>
      </w:r>
    </w:p>
    <w:p/>
    <w:p>
      <w:pPr>
        <w:spacing w:line="240" w:lineRule="auto" w:before="0" w:after="0"/>
        <w:ind w:firstLine="480"/>
      </w:pPr>
      <w:r>
        <w:rPr>
          <w:rFonts w:ascii="Times New Roman" w:hAnsi="Times New Roman" w:eastAsia="SimSun"/>
          <w:sz w:val="24"/>
        </w:rPr>
        <w:t>（五）本地推理与易部署技术路线兼顾安全与可复制性。推理能力可部署于本地或内网环境，在涉密或合规要求较高场景下可实现数据不出内网的可选部署模式。系统基于成熟 Web 技术栈构建，依赖清晰、环境易于复现，有利于示范应用与快速迭代，降低推广门槛。</w:t>
      </w:r>
    </w:p>
    <w:p/>
    <w:p>
      <w:pPr>
        <w:spacing w:line="240" w:lineRule="auto" w:before="0" w:after="0"/>
        <w:ind w:firstLine="480"/>
      </w:pPr>
      <w:r>
        <w:rPr>
          <w:rFonts w:ascii="Times New Roman" w:hAnsi="Times New Roman" w:eastAsia="SimSun"/>
          <w:sz w:val="24"/>
        </w:rPr>
        <w:t>综上，上述亮点在量化绩效预期、算法与架构能力、业务闭环与协同以及平台化与可本地化部署等方面形成集中体现；文中所列百分比与时限可标注为设计目标或示范阶段预期，并按实测与评审意见修订。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sz w:val="21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