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5C065" w14:textId="77777777" w:rsidR="004E39D2" w:rsidRDefault="00000000">
      <w:pPr>
        <w:pStyle w:val="ac"/>
        <w:pBdr>
          <w:bottom w:val="none" w:sz="0" w:space="0" w:color="auto"/>
        </w:pBdr>
        <w:rPr>
          <w:rFonts w:ascii="华文楷体" w:eastAsia="华文楷体" w:hAnsi="华文楷体" w:hint="eastAsia"/>
          <w:sz w:val="40"/>
          <w:szCs w:val="44"/>
          <w:lang w:val="en-GB" w:eastAsia="zh-CN"/>
        </w:rPr>
      </w:pPr>
      <w:r>
        <w:rPr>
          <w:noProof/>
          <w:sz w:val="28"/>
          <w:szCs w:val="24"/>
        </w:rPr>
        <w:drawing>
          <wp:anchor distT="0" distB="0" distL="114300" distR="114300" simplePos="0" relativeHeight="251659264" behindDoc="1" locked="0" layoutInCell="1" allowOverlap="1" wp14:anchorId="20655D83" wp14:editId="6BC123E8">
            <wp:simplePos x="0" y="0"/>
            <wp:positionH relativeFrom="column">
              <wp:posOffset>5434330</wp:posOffset>
            </wp:positionH>
            <wp:positionV relativeFrom="paragraph">
              <wp:posOffset>-228600</wp:posOffset>
            </wp:positionV>
            <wp:extent cx="742950" cy="1008380"/>
            <wp:effectExtent l="0" t="0" r="0" b="1905"/>
            <wp:wrapNone/>
            <wp:docPr id="7381667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66748"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742950" cy="1008230"/>
                    </a:xfrm>
                    <a:prstGeom prst="rect">
                      <a:avLst/>
                    </a:prstGeom>
                    <a:noFill/>
                    <a:ln>
                      <a:noFill/>
                    </a:ln>
                  </pic:spPr>
                </pic:pic>
              </a:graphicData>
            </a:graphic>
          </wp:anchor>
        </w:drawing>
      </w:r>
      <w:r>
        <w:rPr>
          <w:rFonts w:ascii="华文楷体" w:eastAsia="华文楷体" w:hAnsi="华文楷体" w:hint="eastAsia"/>
          <w:sz w:val="40"/>
          <w:szCs w:val="44"/>
          <w:lang w:val="en-GB" w:eastAsia="zh-CN"/>
        </w:rPr>
        <w:t>曾磊</w:t>
      </w:r>
    </w:p>
    <w:p w14:paraId="49B2E60B" w14:textId="77777777" w:rsidR="004E39D2" w:rsidRDefault="00000000">
      <w:pPr>
        <w:pBdr>
          <w:bottom w:val="single" w:sz="6" w:space="1" w:color="auto"/>
        </w:pBdr>
        <w:jc w:val="center"/>
        <w:rPr>
          <w:rFonts w:ascii="华文楷体" w:eastAsia="华文楷体" w:hAnsi="华文楷体" w:hint="eastAsia"/>
          <w:sz w:val="22"/>
          <w:szCs w:val="22"/>
          <w:lang w:val="en-US" w:eastAsia="zh-CN"/>
        </w:rPr>
      </w:pPr>
      <w:r>
        <w:rPr>
          <w:rFonts w:ascii="华文楷体" w:eastAsia="华文楷体" w:hAnsi="华文楷体" w:hint="eastAsia"/>
          <w:b/>
          <w:sz w:val="22"/>
          <w:szCs w:val="22"/>
          <w:lang w:eastAsia="zh-CN"/>
        </w:rPr>
        <w:t>手机</w:t>
      </w:r>
      <w:r>
        <w:rPr>
          <w:rFonts w:ascii="华文楷体" w:eastAsia="华文楷体" w:hAnsi="华文楷体"/>
          <w:b/>
          <w:sz w:val="22"/>
          <w:szCs w:val="22"/>
          <w:lang w:eastAsia="zh-CN"/>
        </w:rPr>
        <w:t>:</w:t>
      </w:r>
      <w:r>
        <w:rPr>
          <w:rFonts w:ascii="华文楷体" w:eastAsia="华文楷体" w:hAnsi="华文楷体" w:hint="eastAsia"/>
          <w:b/>
          <w:sz w:val="22"/>
          <w:szCs w:val="22"/>
          <w:lang w:eastAsia="zh-CN"/>
        </w:rPr>
        <w:t xml:space="preserve"> </w:t>
      </w:r>
      <w:r>
        <w:rPr>
          <w:rFonts w:ascii="华文楷体" w:eastAsia="华文楷体" w:hAnsi="华文楷体" w:hint="eastAsia"/>
          <w:sz w:val="22"/>
          <w:szCs w:val="22"/>
          <w:lang w:val="en-US" w:eastAsia="zh-CN"/>
        </w:rPr>
        <w:t>18173919278</w:t>
      </w:r>
      <w:r>
        <w:rPr>
          <w:rFonts w:ascii="华文楷体" w:eastAsia="华文楷体" w:hAnsi="华文楷体"/>
          <w:sz w:val="22"/>
          <w:szCs w:val="22"/>
          <w:lang w:eastAsia="zh-CN"/>
        </w:rPr>
        <w:t xml:space="preserve">    </w:t>
      </w:r>
      <w:r>
        <w:rPr>
          <w:rFonts w:ascii="华文楷体" w:eastAsia="华文楷体" w:hAnsi="华文楷体" w:hint="eastAsia"/>
          <w:b/>
          <w:sz w:val="22"/>
          <w:szCs w:val="22"/>
          <w:lang w:eastAsia="zh-CN"/>
        </w:rPr>
        <w:t>电子邮件</w:t>
      </w:r>
      <w:r>
        <w:rPr>
          <w:rFonts w:ascii="华文楷体" w:eastAsia="华文楷体" w:hAnsi="华文楷体"/>
          <w:b/>
          <w:sz w:val="22"/>
          <w:szCs w:val="22"/>
          <w:lang w:eastAsia="zh-CN"/>
        </w:rPr>
        <w:t>:</w:t>
      </w:r>
      <w:r>
        <w:rPr>
          <w:rFonts w:ascii="华文楷体" w:eastAsia="华文楷体" w:hAnsi="华文楷体"/>
          <w:sz w:val="22"/>
          <w:szCs w:val="22"/>
          <w:lang w:val="en-US" w:eastAsia="zh-CN"/>
        </w:rPr>
        <w:t xml:space="preserve"> </w:t>
      </w:r>
      <w:hyperlink r:id="rId8" w:history="1">
        <w:r w:rsidR="004E39D2">
          <w:rPr>
            <w:rFonts w:ascii="华文楷体" w:eastAsia="华文楷体" w:hAnsi="华文楷体" w:hint="eastAsia"/>
            <w:sz w:val="22"/>
            <w:szCs w:val="22"/>
            <w:lang w:val="en-US" w:eastAsia="zh-CN"/>
          </w:rPr>
          <w:t>zenglei_0824@163.com</w:t>
        </w:r>
      </w:hyperlink>
    </w:p>
    <w:p w14:paraId="6F30030B" w14:textId="77777777" w:rsidR="004E39D2" w:rsidRDefault="00000000">
      <w:pPr>
        <w:widowControl w:val="0"/>
        <w:pBdr>
          <w:bottom w:val="single" w:sz="6" w:space="1" w:color="auto"/>
        </w:pBdr>
        <w:autoSpaceDE w:val="0"/>
        <w:autoSpaceDN w:val="0"/>
        <w:adjustRightInd w:val="0"/>
        <w:spacing w:beforeLines="40" w:before="96"/>
        <w:jc w:val="both"/>
        <w:rPr>
          <w:rFonts w:ascii="华文楷体" w:eastAsia="华文楷体" w:hAnsi="华文楷体" w:hint="eastAsia"/>
          <w:b/>
          <w:smallCaps/>
          <w:szCs w:val="30"/>
          <w:lang w:eastAsia="zh-CN"/>
        </w:rPr>
      </w:pPr>
      <w:r>
        <w:rPr>
          <w:rFonts w:ascii="华文楷体" w:eastAsia="华文楷体" w:hAnsi="华文楷体" w:hint="eastAsia"/>
          <w:b/>
          <w:smallCaps/>
          <w:szCs w:val="30"/>
          <w:lang w:eastAsia="zh-CN"/>
        </w:rPr>
        <w:t>教育背景</w:t>
      </w:r>
    </w:p>
    <w:tbl>
      <w:tblPr>
        <w:tblStyle w:val="af"/>
        <w:tblW w:w="10343" w:type="dxa"/>
        <w:tblLook w:val="04A0" w:firstRow="1" w:lastRow="0" w:firstColumn="1" w:lastColumn="0" w:noHBand="0" w:noVBand="1"/>
      </w:tblPr>
      <w:tblGrid>
        <w:gridCol w:w="2972"/>
        <w:gridCol w:w="2117"/>
        <w:gridCol w:w="2557"/>
        <w:gridCol w:w="2697"/>
      </w:tblGrid>
      <w:tr w:rsidR="004E39D2" w14:paraId="2188EA01" w14:textId="77777777">
        <w:tc>
          <w:tcPr>
            <w:tcW w:w="2972" w:type="dxa"/>
          </w:tcPr>
          <w:p w14:paraId="1FF1AF0A" w14:textId="77777777" w:rsidR="004E39D2" w:rsidRDefault="00000000">
            <w:pPr>
              <w:autoSpaceDE w:val="0"/>
              <w:autoSpaceDN w:val="0"/>
              <w:adjustRightInd w:val="0"/>
              <w:spacing w:beforeLines="30" w:before="72"/>
              <w:jc w:val="center"/>
              <w:rPr>
                <w:rFonts w:ascii="华文楷体" w:eastAsia="华文楷体" w:hAnsi="华文楷体" w:hint="eastAsia"/>
                <w:b/>
                <w:sz w:val="22"/>
                <w:szCs w:val="22"/>
                <w:lang w:eastAsia="zh-CN"/>
              </w:rPr>
            </w:pPr>
            <w:r>
              <w:rPr>
                <w:rFonts w:ascii="华文楷体" w:eastAsia="华文楷体" w:hAnsi="华文楷体" w:hint="eastAsia"/>
                <w:b/>
                <w:sz w:val="22"/>
                <w:szCs w:val="22"/>
                <w:lang w:eastAsia="zh-CN"/>
              </w:rPr>
              <w:t>厦门大学</w:t>
            </w:r>
            <w:r>
              <w:rPr>
                <w:rFonts w:ascii="华文楷体" w:eastAsia="华文楷体" w:hAnsi="华文楷体" w:hint="eastAsia"/>
                <w:b/>
                <w:sz w:val="22"/>
                <w:szCs w:val="22"/>
                <w:lang w:val="en-US" w:eastAsia="zh-CN"/>
              </w:rPr>
              <w:t>经济学院</w:t>
            </w:r>
            <w:r>
              <w:rPr>
                <w:rFonts w:ascii="华文楷体" w:eastAsia="华文楷体" w:hAnsi="华文楷体" w:hint="eastAsia"/>
                <w:b/>
                <w:sz w:val="22"/>
                <w:szCs w:val="22"/>
                <w:lang w:eastAsia="zh-CN"/>
              </w:rPr>
              <w:t>（</w:t>
            </w:r>
            <w:r>
              <w:rPr>
                <w:rFonts w:ascii="华文楷体" w:eastAsia="华文楷体" w:hAnsi="华文楷体" w:hint="eastAsia"/>
                <w:b/>
                <w:sz w:val="22"/>
                <w:szCs w:val="22"/>
                <w:lang w:val="en-US" w:eastAsia="zh-CN"/>
              </w:rPr>
              <w:t>硕士</w:t>
            </w:r>
            <w:r>
              <w:rPr>
                <w:rFonts w:ascii="华文楷体" w:eastAsia="华文楷体" w:hAnsi="华文楷体" w:hint="eastAsia"/>
                <w:b/>
                <w:sz w:val="22"/>
                <w:szCs w:val="22"/>
                <w:lang w:eastAsia="zh-CN"/>
              </w:rPr>
              <w:t>）</w:t>
            </w:r>
          </w:p>
        </w:tc>
        <w:tc>
          <w:tcPr>
            <w:tcW w:w="2117" w:type="dxa"/>
          </w:tcPr>
          <w:p w14:paraId="15D4D7CB" w14:textId="77777777" w:rsidR="004E39D2" w:rsidRDefault="00000000">
            <w:pPr>
              <w:autoSpaceDE w:val="0"/>
              <w:autoSpaceDN w:val="0"/>
              <w:adjustRightInd w:val="0"/>
              <w:spacing w:beforeLines="30" w:before="72"/>
              <w:jc w:val="center"/>
              <w:rPr>
                <w:rFonts w:ascii="华文楷体" w:eastAsia="华文楷体" w:hAnsi="华文楷体" w:hint="eastAsia"/>
                <w:b/>
                <w:sz w:val="22"/>
                <w:szCs w:val="22"/>
                <w:lang w:eastAsia="zh-CN"/>
              </w:rPr>
            </w:pPr>
            <w:r>
              <w:rPr>
                <w:rFonts w:ascii="华文楷体" w:eastAsia="华文楷体" w:hAnsi="华文楷体" w:hint="eastAsia"/>
                <w:b/>
                <w:sz w:val="22"/>
                <w:szCs w:val="22"/>
                <w:lang w:val="en-US" w:eastAsia="zh-CN"/>
              </w:rPr>
              <w:t>专业：</w:t>
            </w:r>
            <w:r>
              <w:rPr>
                <w:rFonts w:ascii="华文楷体" w:eastAsia="华文楷体" w:hAnsi="华文楷体" w:hint="eastAsia"/>
                <w:b/>
                <w:sz w:val="22"/>
                <w:szCs w:val="22"/>
                <w:lang w:eastAsia="zh-CN"/>
              </w:rPr>
              <w:t>金融专硕</w:t>
            </w:r>
          </w:p>
        </w:tc>
        <w:tc>
          <w:tcPr>
            <w:tcW w:w="2557" w:type="dxa"/>
          </w:tcPr>
          <w:p w14:paraId="21675353" w14:textId="46FF836C" w:rsidR="004E39D2" w:rsidRDefault="00000000">
            <w:pPr>
              <w:autoSpaceDE w:val="0"/>
              <w:autoSpaceDN w:val="0"/>
              <w:adjustRightInd w:val="0"/>
              <w:spacing w:beforeLines="20" w:before="48"/>
              <w:jc w:val="center"/>
              <w:rPr>
                <w:rFonts w:ascii="华文楷体" w:eastAsia="华文楷体" w:hAnsi="华文楷体" w:hint="eastAsia"/>
                <w:b/>
                <w:sz w:val="22"/>
                <w:szCs w:val="22"/>
                <w:lang w:eastAsia="zh-CN"/>
              </w:rPr>
            </w:pPr>
            <w:r>
              <w:rPr>
                <w:rFonts w:ascii="华文楷体" w:eastAsia="华文楷体" w:hAnsi="华文楷体" w:hint="eastAsia"/>
                <w:b/>
                <w:sz w:val="22"/>
                <w:szCs w:val="22"/>
                <w:lang w:eastAsia="zh-CN"/>
              </w:rPr>
              <w:t>G</w:t>
            </w:r>
            <w:r>
              <w:rPr>
                <w:rFonts w:ascii="华文楷体" w:eastAsia="华文楷体" w:hAnsi="华文楷体"/>
                <w:b/>
                <w:sz w:val="22"/>
                <w:szCs w:val="22"/>
                <w:lang w:eastAsia="zh-CN"/>
              </w:rPr>
              <w:t>PA: 3.</w:t>
            </w:r>
            <w:r w:rsidR="00F11F50">
              <w:rPr>
                <w:rFonts w:ascii="华文楷体" w:eastAsia="华文楷体" w:hAnsi="华文楷体" w:hint="eastAsia"/>
                <w:b/>
                <w:sz w:val="22"/>
                <w:szCs w:val="22"/>
                <w:lang w:eastAsia="zh-CN"/>
              </w:rPr>
              <w:t>8</w:t>
            </w:r>
            <w:r w:rsidR="000038A7">
              <w:rPr>
                <w:rFonts w:ascii="华文楷体" w:eastAsia="华文楷体" w:hAnsi="华文楷体" w:hint="eastAsia"/>
                <w:b/>
                <w:sz w:val="22"/>
                <w:szCs w:val="22"/>
                <w:lang w:eastAsia="zh-CN"/>
              </w:rPr>
              <w:t>8</w:t>
            </w:r>
            <w:r>
              <w:rPr>
                <w:rFonts w:ascii="华文楷体" w:eastAsia="华文楷体" w:hAnsi="华文楷体"/>
                <w:b/>
                <w:sz w:val="22"/>
                <w:szCs w:val="22"/>
                <w:lang w:eastAsia="zh-CN"/>
              </w:rPr>
              <w:t>/4.0</w:t>
            </w:r>
            <w:r>
              <w:rPr>
                <w:rFonts w:ascii="华文楷体" w:eastAsia="华文楷体" w:hAnsi="华文楷体" w:hint="eastAsia"/>
                <w:b/>
                <w:sz w:val="22"/>
                <w:szCs w:val="22"/>
                <w:lang w:val="en-US" w:eastAsia="zh-CN"/>
              </w:rPr>
              <w:t>0</w:t>
            </w:r>
            <w:r>
              <w:rPr>
                <w:rFonts w:ascii="华文楷体" w:eastAsia="华文楷体" w:hAnsi="华文楷体"/>
                <w:b/>
                <w:sz w:val="22"/>
                <w:szCs w:val="22"/>
                <w:lang w:eastAsia="zh-CN"/>
              </w:rPr>
              <w:t xml:space="preserve"> (</w:t>
            </w:r>
            <w:r>
              <w:rPr>
                <w:rFonts w:ascii="华文楷体" w:eastAsia="华文楷体" w:hAnsi="华文楷体" w:hint="eastAsia"/>
                <w:b/>
                <w:sz w:val="22"/>
                <w:szCs w:val="22"/>
                <w:lang w:val="en-US" w:eastAsia="zh-CN"/>
              </w:rPr>
              <w:t>1/93</w:t>
            </w:r>
            <w:r>
              <w:rPr>
                <w:rFonts w:ascii="华文楷体" w:eastAsia="华文楷体" w:hAnsi="华文楷体"/>
                <w:b/>
                <w:sz w:val="22"/>
                <w:szCs w:val="22"/>
                <w:lang w:eastAsia="zh-CN"/>
              </w:rPr>
              <w:t>)</w:t>
            </w:r>
          </w:p>
        </w:tc>
        <w:tc>
          <w:tcPr>
            <w:tcW w:w="2697" w:type="dxa"/>
          </w:tcPr>
          <w:p w14:paraId="13F4630F" w14:textId="77777777" w:rsidR="004E39D2" w:rsidRDefault="00000000">
            <w:pPr>
              <w:autoSpaceDE w:val="0"/>
              <w:autoSpaceDN w:val="0"/>
              <w:adjustRightInd w:val="0"/>
              <w:spacing w:beforeLines="30" w:before="72"/>
              <w:jc w:val="center"/>
              <w:rPr>
                <w:rFonts w:ascii="华文楷体" w:eastAsia="华文楷体" w:hAnsi="华文楷体" w:hint="eastAsia"/>
                <w:b/>
                <w:sz w:val="22"/>
                <w:szCs w:val="22"/>
                <w:lang w:eastAsia="zh-CN"/>
              </w:rPr>
            </w:pPr>
            <w:r>
              <w:rPr>
                <w:rFonts w:ascii="华文楷体" w:eastAsia="华文楷体" w:hAnsi="华文楷体"/>
                <w:b/>
                <w:sz w:val="22"/>
                <w:szCs w:val="22"/>
                <w:lang w:eastAsia="zh-CN"/>
              </w:rPr>
              <w:t>20</w:t>
            </w:r>
            <w:r>
              <w:rPr>
                <w:rFonts w:ascii="华文楷体" w:eastAsia="华文楷体" w:hAnsi="华文楷体" w:hint="eastAsia"/>
                <w:b/>
                <w:sz w:val="22"/>
                <w:szCs w:val="22"/>
                <w:lang w:eastAsia="zh-CN"/>
              </w:rPr>
              <w:t>24</w:t>
            </w:r>
            <w:r>
              <w:rPr>
                <w:rFonts w:ascii="华文楷体" w:eastAsia="华文楷体" w:hAnsi="华文楷体"/>
                <w:b/>
                <w:sz w:val="22"/>
                <w:szCs w:val="22"/>
                <w:lang w:eastAsia="zh-CN"/>
              </w:rPr>
              <w:t>.9</w:t>
            </w:r>
            <w:r>
              <w:rPr>
                <w:rFonts w:ascii="华文楷体" w:eastAsia="华文楷体" w:hAnsi="华文楷体" w:hint="eastAsia"/>
                <w:b/>
                <w:sz w:val="22"/>
                <w:szCs w:val="22"/>
                <w:lang w:eastAsia="zh-CN"/>
              </w:rPr>
              <w:t xml:space="preserve"> </w:t>
            </w:r>
            <w:r>
              <w:rPr>
                <w:rFonts w:ascii="华文楷体" w:eastAsia="华文楷体" w:hAnsi="华文楷体"/>
                <w:b/>
                <w:sz w:val="22"/>
                <w:szCs w:val="22"/>
                <w:lang w:eastAsia="zh-CN"/>
              </w:rPr>
              <w:t>–</w:t>
            </w:r>
            <w:r>
              <w:rPr>
                <w:rFonts w:ascii="华文楷体" w:eastAsia="华文楷体" w:hAnsi="华文楷体" w:hint="eastAsia"/>
                <w:b/>
                <w:sz w:val="22"/>
                <w:szCs w:val="22"/>
                <w:lang w:eastAsia="zh-CN"/>
              </w:rPr>
              <w:t xml:space="preserve"> 2027.6</w:t>
            </w:r>
          </w:p>
        </w:tc>
      </w:tr>
      <w:tr w:rsidR="004E39D2" w14:paraId="6962D452" w14:textId="77777777">
        <w:tc>
          <w:tcPr>
            <w:tcW w:w="2972" w:type="dxa"/>
          </w:tcPr>
          <w:p w14:paraId="1C85DAA5" w14:textId="77777777" w:rsidR="004E39D2" w:rsidRDefault="00000000">
            <w:pPr>
              <w:autoSpaceDE w:val="0"/>
              <w:autoSpaceDN w:val="0"/>
              <w:adjustRightInd w:val="0"/>
              <w:spacing w:beforeLines="30" w:before="72"/>
              <w:jc w:val="center"/>
              <w:rPr>
                <w:rFonts w:ascii="华文楷体" w:eastAsia="华文楷体" w:hAnsi="华文楷体" w:hint="eastAsia"/>
                <w:b/>
                <w:sz w:val="22"/>
                <w:szCs w:val="22"/>
                <w:lang w:eastAsia="zh-CN"/>
              </w:rPr>
            </w:pPr>
            <w:r>
              <w:rPr>
                <w:rFonts w:ascii="华文楷体" w:eastAsia="华文楷体" w:hAnsi="华文楷体" w:hint="eastAsia"/>
                <w:b/>
                <w:sz w:val="22"/>
                <w:szCs w:val="22"/>
                <w:lang w:eastAsia="zh-CN"/>
              </w:rPr>
              <w:t>四川大学</w:t>
            </w:r>
            <w:r>
              <w:rPr>
                <w:rFonts w:ascii="华文楷体" w:eastAsia="华文楷体" w:hAnsi="华文楷体" w:hint="eastAsia"/>
                <w:b/>
                <w:sz w:val="22"/>
                <w:szCs w:val="22"/>
                <w:lang w:val="en-US" w:eastAsia="zh-CN"/>
              </w:rPr>
              <w:t>经济学院</w:t>
            </w:r>
            <w:r>
              <w:rPr>
                <w:rFonts w:ascii="华文楷体" w:eastAsia="华文楷体" w:hAnsi="华文楷体" w:hint="eastAsia"/>
                <w:b/>
                <w:sz w:val="22"/>
                <w:szCs w:val="22"/>
                <w:lang w:eastAsia="zh-CN"/>
              </w:rPr>
              <w:t>（</w:t>
            </w:r>
            <w:r>
              <w:rPr>
                <w:rFonts w:ascii="华文楷体" w:eastAsia="华文楷体" w:hAnsi="华文楷体" w:hint="eastAsia"/>
                <w:b/>
                <w:sz w:val="22"/>
                <w:szCs w:val="22"/>
                <w:lang w:val="en-US" w:eastAsia="zh-CN"/>
              </w:rPr>
              <w:t>本科</w:t>
            </w:r>
            <w:r>
              <w:rPr>
                <w:rFonts w:ascii="华文楷体" w:eastAsia="华文楷体" w:hAnsi="华文楷体" w:hint="eastAsia"/>
                <w:b/>
                <w:sz w:val="22"/>
                <w:szCs w:val="22"/>
                <w:lang w:eastAsia="zh-CN"/>
              </w:rPr>
              <w:t>）</w:t>
            </w:r>
          </w:p>
        </w:tc>
        <w:tc>
          <w:tcPr>
            <w:tcW w:w="2117" w:type="dxa"/>
          </w:tcPr>
          <w:p w14:paraId="56219AD8" w14:textId="77777777" w:rsidR="004E39D2" w:rsidRDefault="00000000">
            <w:pPr>
              <w:autoSpaceDE w:val="0"/>
              <w:autoSpaceDN w:val="0"/>
              <w:adjustRightInd w:val="0"/>
              <w:spacing w:beforeLines="30" w:before="72"/>
              <w:jc w:val="center"/>
              <w:rPr>
                <w:rFonts w:ascii="华文楷体" w:eastAsia="华文楷体" w:hAnsi="华文楷体" w:hint="eastAsia"/>
                <w:b/>
                <w:sz w:val="22"/>
                <w:szCs w:val="22"/>
                <w:lang w:val="en-US" w:eastAsia="zh-CN"/>
              </w:rPr>
            </w:pPr>
            <w:r>
              <w:rPr>
                <w:rFonts w:ascii="华文楷体" w:eastAsia="华文楷体" w:hAnsi="华文楷体" w:hint="eastAsia"/>
                <w:b/>
                <w:sz w:val="22"/>
                <w:szCs w:val="22"/>
                <w:lang w:val="en-US" w:eastAsia="zh-CN"/>
              </w:rPr>
              <w:t>专业：</w:t>
            </w:r>
            <w:r>
              <w:rPr>
                <w:rFonts w:ascii="华文楷体" w:eastAsia="华文楷体" w:hAnsi="华文楷体" w:hint="eastAsia"/>
                <w:b/>
                <w:sz w:val="22"/>
                <w:szCs w:val="22"/>
                <w:lang w:eastAsia="zh-CN"/>
              </w:rPr>
              <w:t>金融工程</w:t>
            </w:r>
          </w:p>
        </w:tc>
        <w:tc>
          <w:tcPr>
            <w:tcW w:w="2557" w:type="dxa"/>
          </w:tcPr>
          <w:p w14:paraId="623E456E" w14:textId="12D37282" w:rsidR="004E39D2" w:rsidRDefault="00000000">
            <w:pPr>
              <w:autoSpaceDE w:val="0"/>
              <w:autoSpaceDN w:val="0"/>
              <w:adjustRightInd w:val="0"/>
              <w:spacing w:beforeLines="30" w:before="72"/>
              <w:jc w:val="center"/>
              <w:rPr>
                <w:rFonts w:ascii="华文楷体" w:eastAsia="华文楷体" w:hAnsi="华文楷体" w:hint="eastAsia"/>
                <w:b/>
                <w:sz w:val="22"/>
                <w:szCs w:val="22"/>
                <w:lang w:eastAsia="zh-CN"/>
              </w:rPr>
            </w:pPr>
            <w:r>
              <w:rPr>
                <w:rFonts w:ascii="华文楷体" w:eastAsia="华文楷体" w:hAnsi="华文楷体" w:hint="eastAsia"/>
                <w:b/>
                <w:sz w:val="22"/>
                <w:szCs w:val="22"/>
                <w:lang w:eastAsia="zh-CN"/>
              </w:rPr>
              <w:t>G</w:t>
            </w:r>
            <w:r>
              <w:rPr>
                <w:rFonts w:ascii="华文楷体" w:eastAsia="华文楷体" w:hAnsi="华文楷体"/>
                <w:b/>
                <w:sz w:val="22"/>
                <w:szCs w:val="22"/>
                <w:lang w:eastAsia="zh-CN"/>
              </w:rPr>
              <w:t>PA: 3.</w:t>
            </w:r>
            <w:r>
              <w:rPr>
                <w:rFonts w:ascii="华文楷体" w:eastAsia="华文楷体" w:hAnsi="华文楷体" w:hint="eastAsia"/>
                <w:b/>
                <w:sz w:val="22"/>
                <w:szCs w:val="22"/>
                <w:lang w:eastAsia="zh-CN"/>
              </w:rPr>
              <w:t>9</w:t>
            </w:r>
            <w:r w:rsidR="00E92020">
              <w:rPr>
                <w:rFonts w:ascii="华文楷体" w:eastAsia="华文楷体" w:hAnsi="华文楷体" w:hint="eastAsia"/>
                <w:b/>
                <w:sz w:val="22"/>
                <w:szCs w:val="22"/>
                <w:lang w:val="en-US" w:eastAsia="zh-CN"/>
              </w:rPr>
              <w:t>0</w:t>
            </w:r>
            <w:r>
              <w:rPr>
                <w:rFonts w:ascii="华文楷体" w:eastAsia="华文楷体" w:hAnsi="华文楷体"/>
                <w:b/>
                <w:sz w:val="22"/>
                <w:szCs w:val="22"/>
                <w:lang w:eastAsia="zh-CN"/>
              </w:rPr>
              <w:t>/4.0</w:t>
            </w:r>
            <w:r>
              <w:rPr>
                <w:rFonts w:ascii="华文楷体" w:eastAsia="华文楷体" w:hAnsi="华文楷体" w:hint="eastAsia"/>
                <w:b/>
                <w:sz w:val="22"/>
                <w:szCs w:val="22"/>
                <w:lang w:val="en-US" w:eastAsia="zh-CN"/>
              </w:rPr>
              <w:t>0</w:t>
            </w:r>
            <w:r>
              <w:rPr>
                <w:rFonts w:ascii="华文楷体" w:eastAsia="华文楷体" w:hAnsi="华文楷体"/>
                <w:b/>
                <w:sz w:val="22"/>
                <w:szCs w:val="22"/>
                <w:lang w:eastAsia="zh-CN"/>
              </w:rPr>
              <w:t xml:space="preserve"> (</w:t>
            </w:r>
            <w:r>
              <w:rPr>
                <w:rFonts w:ascii="华文楷体" w:eastAsia="华文楷体" w:hAnsi="华文楷体" w:hint="eastAsia"/>
                <w:b/>
                <w:sz w:val="22"/>
                <w:szCs w:val="22"/>
                <w:lang w:val="en-US" w:eastAsia="zh-CN"/>
              </w:rPr>
              <w:t>3/73</w:t>
            </w:r>
            <w:r>
              <w:rPr>
                <w:rFonts w:ascii="华文楷体" w:eastAsia="华文楷体" w:hAnsi="华文楷体"/>
                <w:b/>
                <w:sz w:val="22"/>
                <w:szCs w:val="22"/>
                <w:lang w:eastAsia="zh-CN"/>
              </w:rPr>
              <w:t>)</w:t>
            </w:r>
          </w:p>
        </w:tc>
        <w:tc>
          <w:tcPr>
            <w:tcW w:w="2697" w:type="dxa"/>
          </w:tcPr>
          <w:p w14:paraId="09FA7B8F" w14:textId="77777777" w:rsidR="004E39D2" w:rsidRDefault="00000000">
            <w:pPr>
              <w:autoSpaceDE w:val="0"/>
              <w:autoSpaceDN w:val="0"/>
              <w:adjustRightInd w:val="0"/>
              <w:spacing w:beforeLines="30" w:before="72"/>
              <w:jc w:val="center"/>
              <w:rPr>
                <w:rFonts w:ascii="华文楷体" w:eastAsia="华文楷体" w:hAnsi="华文楷体" w:hint="eastAsia"/>
                <w:b/>
                <w:sz w:val="22"/>
                <w:szCs w:val="22"/>
                <w:lang w:eastAsia="zh-CN"/>
              </w:rPr>
            </w:pPr>
            <w:r>
              <w:rPr>
                <w:rFonts w:ascii="华文楷体" w:eastAsia="华文楷体" w:hAnsi="华文楷体"/>
                <w:b/>
                <w:sz w:val="22"/>
                <w:szCs w:val="22"/>
                <w:lang w:eastAsia="zh-CN"/>
              </w:rPr>
              <w:t>20</w:t>
            </w:r>
            <w:r>
              <w:rPr>
                <w:rFonts w:ascii="华文楷体" w:eastAsia="华文楷体" w:hAnsi="华文楷体" w:hint="eastAsia"/>
                <w:b/>
                <w:sz w:val="22"/>
                <w:szCs w:val="22"/>
                <w:lang w:eastAsia="zh-CN"/>
              </w:rPr>
              <w:t>20</w:t>
            </w:r>
            <w:r>
              <w:rPr>
                <w:rFonts w:ascii="华文楷体" w:eastAsia="华文楷体" w:hAnsi="华文楷体"/>
                <w:b/>
                <w:sz w:val="22"/>
                <w:szCs w:val="22"/>
                <w:lang w:eastAsia="zh-CN"/>
              </w:rPr>
              <w:t>.9</w:t>
            </w:r>
            <w:r>
              <w:rPr>
                <w:rFonts w:ascii="华文楷体" w:eastAsia="华文楷体" w:hAnsi="华文楷体" w:hint="eastAsia"/>
                <w:b/>
                <w:sz w:val="22"/>
                <w:szCs w:val="22"/>
                <w:lang w:eastAsia="zh-CN"/>
              </w:rPr>
              <w:t xml:space="preserve"> </w:t>
            </w:r>
            <w:r>
              <w:rPr>
                <w:rFonts w:ascii="华文楷体" w:eastAsia="华文楷体" w:hAnsi="华文楷体"/>
                <w:b/>
                <w:sz w:val="22"/>
                <w:szCs w:val="22"/>
                <w:lang w:eastAsia="zh-CN"/>
              </w:rPr>
              <w:t>–</w:t>
            </w:r>
            <w:r>
              <w:rPr>
                <w:rFonts w:ascii="华文楷体" w:eastAsia="华文楷体" w:hAnsi="华文楷体" w:hint="eastAsia"/>
                <w:b/>
                <w:sz w:val="22"/>
                <w:szCs w:val="22"/>
                <w:lang w:eastAsia="zh-CN"/>
              </w:rPr>
              <w:t xml:space="preserve"> 2024.6</w:t>
            </w:r>
          </w:p>
        </w:tc>
      </w:tr>
      <w:tr w:rsidR="004E39D2" w14:paraId="10EB2DC6" w14:textId="77777777">
        <w:tc>
          <w:tcPr>
            <w:tcW w:w="10343" w:type="dxa"/>
            <w:gridSpan w:val="4"/>
          </w:tcPr>
          <w:p w14:paraId="0F78308C" w14:textId="1E72487A" w:rsidR="004E39D2" w:rsidRPr="001E6A3B" w:rsidRDefault="00000000" w:rsidP="001E6A3B">
            <w:pPr>
              <w:rPr>
                <w:rFonts w:ascii="华文楷体" w:eastAsia="华文楷体" w:hAnsi="华文楷体" w:hint="eastAsia"/>
                <w:bCs/>
                <w:sz w:val="22"/>
                <w:lang w:val="en-US" w:eastAsia="zh-CN"/>
              </w:rPr>
            </w:pPr>
            <w:r w:rsidRPr="001E6A3B">
              <w:rPr>
                <w:rFonts w:ascii="华文楷体" w:eastAsia="华文楷体" w:hAnsi="华文楷体" w:hint="eastAsia"/>
                <w:bCs/>
                <w:sz w:val="22"/>
                <w:lang w:val="en-US" w:eastAsia="zh-CN"/>
              </w:rPr>
              <w:t>竞赛奖项：</w:t>
            </w:r>
            <w:r>
              <w:rPr>
                <w:rFonts w:ascii="华文楷体" w:eastAsia="华文楷体" w:hAnsi="华文楷体" w:hint="eastAsia"/>
                <w:bCs/>
                <w:sz w:val="22"/>
                <w:lang w:val="en-US" w:eastAsia="zh-CN"/>
              </w:rPr>
              <w:t>全国大学生数学竞赛一等奖（2次），</w:t>
            </w:r>
            <w:r w:rsidR="007D37FB" w:rsidRPr="001E6A3B">
              <w:rPr>
                <w:rFonts w:ascii="华文楷体" w:eastAsia="华文楷体" w:hAnsi="华文楷体" w:hint="eastAsia"/>
                <w:bCs/>
                <w:sz w:val="22"/>
                <w:lang w:val="en-US" w:eastAsia="zh-CN"/>
              </w:rPr>
              <w:t>第十一届“中金所杯”全国大学生金融知识大赛二等奖</w:t>
            </w:r>
            <w:r w:rsidR="007D37FB">
              <w:rPr>
                <w:rFonts w:ascii="华文楷体" w:eastAsia="华文楷体" w:hAnsi="华文楷体" w:hint="eastAsia"/>
                <w:bCs/>
                <w:sz w:val="22"/>
                <w:lang w:val="en-US" w:eastAsia="zh-CN"/>
              </w:rPr>
              <w:t>，</w:t>
            </w:r>
            <w:r>
              <w:rPr>
                <w:rFonts w:ascii="华文楷体" w:eastAsia="华文楷体" w:hAnsi="华文楷体" w:hint="eastAsia"/>
                <w:bCs/>
                <w:sz w:val="22"/>
                <w:lang w:val="en-US" w:eastAsia="zh-CN"/>
              </w:rPr>
              <w:t>“正大杯”全国大学生市场调查与分析大赛研究生组国家三等奖，全国大学生英语竞赛三等奖，</w:t>
            </w:r>
            <w:r w:rsidR="001E6A3B">
              <w:rPr>
                <w:rFonts w:ascii="华文楷体" w:eastAsia="华文楷体" w:hAnsi="华文楷体" w:hint="eastAsia"/>
                <w:bCs/>
                <w:sz w:val="22"/>
                <w:lang w:val="en-US" w:eastAsia="zh-CN"/>
              </w:rPr>
              <w:t>厦门大学新生杯</w:t>
            </w:r>
            <w:r>
              <w:rPr>
                <w:rFonts w:ascii="华文楷体" w:eastAsia="华文楷体" w:hAnsi="华文楷体" w:hint="eastAsia"/>
                <w:bCs/>
                <w:sz w:val="22"/>
                <w:lang w:val="en-US" w:eastAsia="zh-CN"/>
              </w:rPr>
              <w:t>田径赛研究生组男子100米第一名 ， 1500米第二名</w:t>
            </w:r>
          </w:p>
        </w:tc>
      </w:tr>
      <w:tr w:rsidR="004E39D2" w14:paraId="40A811E0" w14:textId="77777777">
        <w:tc>
          <w:tcPr>
            <w:tcW w:w="10343" w:type="dxa"/>
            <w:gridSpan w:val="4"/>
          </w:tcPr>
          <w:p w14:paraId="2947C046" w14:textId="6976C78A" w:rsidR="004E39D2" w:rsidRDefault="00000000">
            <w:pPr>
              <w:numPr>
                <w:ilvl w:val="0"/>
                <w:numId w:val="2"/>
              </w:numPr>
              <w:autoSpaceDE w:val="0"/>
              <w:autoSpaceDN w:val="0"/>
              <w:adjustRightInd w:val="0"/>
              <w:jc w:val="left"/>
              <w:rPr>
                <w:rFonts w:ascii="华文楷体" w:eastAsia="华文楷体" w:hAnsi="华文楷体" w:hint="eastAsia"/>
                <w:bCs/>
                <w:sz w:val="22"/>
                <w:lang w:val="en-US" w:eastAsia="zh-CN"/>
              </w:rPr>
            </w:pPr>
            <w:r>
              <w:rPr>
                <w:rFonts w:ascii="华文楷体" w:eastAsia="华文楷体" w:hAnsi="华文楷体" w:hint="eastAsia"/>
                <w:b/>
                <w:sz w:val="22"/>
                <w:lang w:val="en-US" w:eastAsia="zh-CN"/>
              </w:rPr>
              <w:t>荣誉称号：鸿儒奖学金</w:t>
            </w:r>
            <w:r>
              <w:rPr>
                <w:rFonts w:ascii="华文楷体" w:eastAsia="华文楷体" w:hAnsi="华文楷体" w:hint="eastAsia"/>
                <w:bCs/>
                <w:sz w:val="22"/>
                <w:lang w:val="en-US" w:eastAsia="zh-CN"/>
              </w:rPr>
              <w:t>（全国20名获奖硕士生），</w:t>
            </w:r>
            <w:r>
              <w:rPr>
                <w:rFonts w:ascii="华文楷体" w:eastAsia="华文楷体" w:hAnsi="华文楷体" w:hint="eastAsia"/>
                <w:b/>
                <w:sz w:val="22"/>
                <w:lang w:val="en-US" w:eastAsia="zh-CN"/>
              </w:rPr>
              <w:t>国家奖学金</w:t>
            </w:r>
            <w:r>
              <w:rPr>
                <w:rFonts w:ascii="华文楷体" w:eastAsia="华文楷体" w:hAnsi="华文楷体" w:hint="eastAsia"/>
                <w:bCs/>
                <w:sz w:val="22"/>
                <w:lang w:val="en-US" w:eastAsia="zh-CN"/>
              </w:rPr>
              <w:t>（top 0.2%），</w:t>
            </w:r>
            <w:r w:rsidR="000B075F">
              <w:rPr>
                <w:rFonts w:ascii="华文楷体" w:eastAsia="华文楷体" w:hAnsi="华文楷体" w:hint="eastAsia"/>
                <w:bCs/>
                <w:sz w:val="22"/>
                <w:lang w:val="en-US" w:eastAsia="zh-CN"/>
              </w:rPr>
              <w:t>中国联通奖学金，</w:t>
            </w:r>
            <w:r>
              <w:rPr>
                <w:rFonts w:ascii="华文楷体" w:eastAsia="华文楷体" w:hAnsi="华文楷体" w:hint="eastAsia"/>
                <w:bCs/>
                <w:sz w:val="22"/>
                <w:lang w:val="en-US" w:eastAsia="zh-CN"/>
              </w:rPr>
              <w:t>厦门大学“优秀三好学生”（top 2%），四川大学优秀学生 ，校优秀共青团员 ，校优秀志愿者</w:t>
            </w:r>
          </w:p>
        </w:tc>
      </w:tr>
      <w:tr w:rsidR="004E39D2" w14:paraId="64A9FAEC" w14:textId="77777777">
        <w:tc>
          <w:tcPr>
            <w:tcW w:w="10343" w:type="dxa"/>
            <w:gridSpan w:val="4"/>
          </w:tcPr>
          <w:p w14:paraId="0AC28D0E" w14:textId="77777777" w:rsidR="004E39D2" w:rsidRDefault="00000000">
            <w:pPr>
              <w:numPr>
                <w:ilvl w:val="0"/>
                <w:numId w:val="2"/>
              </w:numPr>
              <w:autoSpaceDE w:val="0"/>
              <w:autoSpaceDN w:val="0"/>
              <w:adjustRightInd w:val="0"/>
              <w:jc w:val="left"/>
              <w:rPr>
                <w:rFonts w:ascii="华文楷体" w:eastAsia="华文楷体" w:hAnsi="华文楷体" w:hint="eastAsia"/>
                <w:bCs/>
                <w:sz w:val="22"/>
                <w:lang w:val="en-US" w:eastAsia="zh-CN"/>
              </w:rPr>
            </w:pPr>
            <w:r>
              <w:rPr>
                <w:rFonts w:ascii="华文楷体" w:eastAsia="华文楷体" w:hAnsi="华文楷体" w:hint="eastAsia"/>
                <w:b/>
                <w:sz w:val="22"/>
                <w:lang w:val="en-US" w:eastAsia="zh-CN"/>
              </w:rPr>
              <w:t>主修课程：</w:t>
            </w:r>
            <w:r>
              <w:rPr>
                <w:rFonts w:ascii="华文楷体" w:eastAsia="华文楷体" w:hAnsi="华文楷体" w:hint="eastAsia"/>
                <w:sz w:val="22"/>
                <w:szCs w:val="22"/>
                <w:lang w:eastAsia="zh-CN"/>
              </w:rPr>
              <w:t>高级金融经济学（100），高级公司金融（99），财务报表分析（</w:t>
            </w:r>
            <w:r>
              <w:rPr>
                <w:rFonts w:ascii="华文楷体" w:eastAsia="华文楷体" w:hAnsi="华文楷体" w:hint="eastAsia"/>
                <w:sz w:val="22"/>
                <w:szCs w:val="22"/>
                <w:lang w:val="en-US" w:eastAsia="zh-CN"/>
              </w:rPr>
              <w:t>97</w:t>
            </w:r>
            <w:r>
              <w:rPr>
                <w:rFonts w:ascii="华文楷体" w:eastAsia="华文楷体" w:hAnsi="华文楷体" w:hint="eastAsia"/>
                <w:sz w:val="22"/>
                <w:szCs w:val="22"/>
                <w:lang w:eastAsia="zh-CN"/>
              </w:rPr>
              <w:t>）</w:t>
            </w:r>
            <w:r>
              <w:rPr>
                <w:rFonts w:ascii="华文楷体" w:eastAsia="华文楷体" w:hAnsi="华文楷体" w:hint="eastAsia"/>
                <w:sz w:val="22"/>
                <w:szCs w:val="22"/>
                <w:lang w:val="en-US" w:eastAsia="zh-CN"/>
              </w:rPr>
              <w:t>,</w:t>
            </w:r>
            <w:r>
              <w:rPr>
                <w:rFonts w:ascii="华文楷体" w:eastAsia="华文楷体" w:hAnsi="华文楷体" w:hint="eastAsia"/>
                <w:sz w:val="22"/>
                <w:szCs w:val="22"/>
                <w:lang w:eastAsia="zh-CN"/>
              </w:rPr>
              <w:t>固定收益证券（9</w:t>
            </w:r>
            <w:r>
              <w:rPr>
                <w:rFonts w:ascii="华文楷体" w:eastAsia="华文楷体" w:hAnsi="华文楷体"/>
                <w:sz w:val="22"/>
                <w:szCs w:val="22"/>
                <w:lang w:eastAsia="zh-CN"/>
              </w:rPr>
              <w:t>6</w:t>
            </w:r>
            <w:r>
              <w:rPr>
                <w:rFonts w:ascii="华文楷体" w:eastAsia="华文楷体" w:hAnsi="华文楷体" w:hint="eastAsia"/>
                <w:sz w:val="22"/>
                <w:szCs w:val="22"/>
                <w:lang w:eastAsia="zh-CN"/>
              </w:rPr>
              <w:t>），高级计量经济学（</w:t>
            </w:r>
            <w:r>
              <w:rPr>
                <w:rFonts w:ascii="华文楷体" w:eastAsia="华文楷体" w:hAnsi="华文楷体" w:hint="eastAsia"/>
                <w:sz w:val="22"/>
                <w:szCs w:val="22"/>
                <w:lang w:val="en-US" w:eastAsia="zh-CN"/>
              </w:rPr>
              <w:t>95</w:t>
            </w:r>
            <w:r>
              <w:rPr>
                <w:rFonts w:ascii="华文楷体" w:eastAsia="华文楷体" w:hAnsi="华文楷体" w:hint="eastAsia"/>
                <w:sz w:val="22"/>
                <w:szCs w:val="22"/>
                <w:lang w:eastAsia="zh-CN"/>
              </w:rPr>
              <w:t>），金融数学（9</w:t>
            </w:r>
            <w:r>
              <w:rPr>
                <w:rFonts w:ascii="华文楷体" w:eastAsia="华文楷体" w:hAnsi="华文楷体"/>
                <w:sz w:val="22"/>
                <w:szCs w:val="22"/>
                <w:lang w:eastAsia="zh-CN"/>
              </w:rPr>
              <w:t>5</w:t>
            </w:r>
            <w:r>
              <w:rPr>
                <w:rFonts w:ascii="华文楷体" w:eastAsia="华文楷体" w:hAnsi="华文楷体" w:hint="eastAsia"/>
                <w:sz w:val="22"/>
                <w:szCs w:val="22"/>
                <w:lang w:eastAsia="zh-CN"/>
              </w:rPr>
              <w:t>），金融工程学（9</w:t>
            </w:r>
            <w:r>
              <w:rPr>
                <w:rFonts w:ascii="华文楷体" w:eastAsia="华文楷体" w:hAnsi="华文楷体"/>
                <w:sz w:val="22"/>
                <w:szCs w:val="22"/>
                <w:lang w:eastAsia="zh-CN"/>
              </w:rPr>
              <w:t>5</w:t>
            </w:r>
            <w:r>
              <w:rPr>
                <w:rFonts w:ascii="华文楷体" w:eastAsia="华文楷体" w:hAnsi="华文楷体" w:hint="eastAsia"/>
                <w:sz w:val="22"/>
                <w:szCs w:val="22"/>
                <w:lang w:eastAsia="zh-CN"/>
              </w:rPr>
              <w:t>），金融计量学（9</w:t>
            </w:r>
            <w:r>
              <w:rPr>
                <w:rFonts w:ascii="华文楷体" w:eastAsia="华文楷体" w:hAnsi="华文楷体"/>
                <w:sz w:val="22"/>
                <w:szCs w:val="22"/>
                <w:lang w:eastAsia="zh-CN"/>
              </w:rPr>
              <w:t>4</w:t>
            </w:r>
            <w:r>
              <w:rPr>
                <w:rFonts w:ascii="华文楷体" w:eastAsia="华文楷体" w:hAnsi="华文楷体" w:hint="eastAsia"/>
                <w:sz w:val="22"/>
                <w:szCs w:val="22"/>
                <w:lang w:eastAsia="zh-CN"/>
              </w:rPr>
              <w:t>），金融随机过程（9</w:t>
            </w:r>
            <w:r>
              <w:rPr>
                <w:rFonts w:ascii="华文楷体" w:eastAsia="华文楷体" w:hAnsi="华文楷体"/>
                <w:sz w:val="22"/>
                <w:szCs w:val="22"/>
                <w:lang w:eastAsia="zh-CN"/>
              </w:rPr>
              <w:t>3</w:t>
            </w:r>
            <w:r>
              <w:rPr>
                <w:rFonts w:ascii="华文楷体" w:eastAsia="华文楷体" w:hAnsi="华文楷体" w:hint="eastAsia"/>
                <w:sz w:val="22"/>
                <w:szCs w:val="22"/>
                <w:lang w:eastAsia="zh-CN"/>
              </w:rPr>
              <w:t>）</w:t>
            </w:r>
            <w:r>
              <w:rPr>
                <w:rFonts w:ascii="华文楷体" w:eastAsia="华文楷体" w:hAnsi="华文楷体" w:hint="eastAsia"/>
                <w:sz w:val="22"/>
                <w:szCs w:val="22"/>
                <w:lang w:val="en-US" w:eastAsia="zh-CN"/>
              </w:rPr>
              <w:t xml:space="preserve">, </w:t>
            </w:r>
            <w:r>
              <w:rPr>
                <w:rFonts w:ascii="华文楷体" w:eastAsia="华文楷体" w:hAnsi="华文楷体" w:hint="eastAsia"/>
                <w:sz w:val="22"/>
                <w:szCs w:val="22"/>
                <w:lang w:eastAsia="zh-CN"/>
              </w:rPr>
              <w:t>高级宏观经济学（</w:t>
            </w:r>
            <w:r>
              <w:rPr>
                <w:rFonts w:ascii="华文楷体" w:eastAsia="华文楷体" w:hAnsi="华文楷体" w:hint="eastAsia"/>
                <w:sz w:val="22"/>
                <w:szCs w:val="22"/>
                <w:lang w:val="en-US" w:eastAsia="zh-CN"/>
              </w:rPr>
              <w:t>92</w:t>
            </w:r>
            <w:r>
              <w:rPr>
                <w:rFonts w:ascii="华文楷体" w:eastAsia="华文楷体" w:hAnsi="华文楷体" w:hint="eastAsia"/>
                <w:sz w:val="22"/>
                <w:szCs w:val="22"/>
                <w:lang w:eastAsia="zh-CN"/>
              </w:rPr>
              <w:t>），高级微观经济学（</w:t>
            </w:r>
            <w:r>
              <w:rPr>
                <w:rFonts w:ascii="华文楷体" w:eastAsia="华文楷体" w:hAnsi="华文楷体" w:hint="eastAsia"/>
                <w:sz w:val="22"/>
                <w:szCs w:val="22"/>
                <w:lang w:val="en-US" w:eastAsia="zh-CN"/>
              </w:rPr>
              <w:t>90</w:t>
            </w:r>
            <w:r>
              <w:rPr>
                <w:rFonts w:ascii="华文楷体" w:eastAsia="华文楷体" w:hAnsi="华文楷体" w:hint="eastAsia"/>
                <w:sz w:val="22"/>
                <w:szCs w:val="22"/>
                <w:lang w:eastAsia="zh-CN"/>
              </w:rPr>
              <w:t>）</w:t>
            </w:r>
          </w:p>
        </w:tc>
      </w:tr>
      <w:tr w:rsidR="004E39D2" w14:paraId="30CF7E77" w14:textId="77777777">
        <w:tc>
          <w:tcPr>
            <w:tcW w:w="10343" w:type="dxa"/>
            <w:gridSpan w:val="4"/>
          </w:tcPr>
          <w:p w14:paraId="680C0959" w14:textId="413C9695" w:rsidR="004E39D2" w:rsidRDefault="00000000">
            <w:pPr>
              <w:numPr>
                <w:ilvl w:val="0"/>
                <w:numId w:val="2"/>
              </w:numPr>
              <w:autoSpaceDE w:val="0"/>
              <w:autoSpaceDN w:val="0"/>
              <w:adjustRightInd w:val="0"/>
              <w:jc w:val="left"/>
              <w:rPr>
                <w:rFonts w:ascii="华文楷体" w:eastAsia="华文楷体" w:hAnsi="华文楷体" w:hint="eastAsia"/>
                <w:bCs/>
                <w:sz w:val="22"/>
                <w:lang w:val="en-US" w:eastAsia="zh-CN"/>
              </w:rPr>
            </w:pPr>
            <w:r>
              <w:rPr>
                <w:rFonts w:ascii="华文楷体" w:eastAsia="华文楷体" w:hAnsi="华文楷体" w:hint="eastAsia"/>
                <w:b/>
                <w:sz w:val="22"/>
                <w:lang w:val="en-US" w:eastAsia="zh-CN"/>
              </w:rPr>
              <w:t>专业技能：</w:t>
            </w:r>
            <w:r>
              <w:rPr>
                <w:rFonts w:ascii="华文楷体" w:eastAsia="华文楷体" w:hAnsi="华文楷体" w:hint="eastAsia"/>
                <w:sz w:val="22"/>
                <w:szCs w:val="22"/>
                <w:lang w:eastAsia="zh-CN"/>
              </w:rPr>
              <w:t>CET-6（626），CET-</w:t>
            </w:r>
            <w:r>
              <w:rPr>
                <w:rFonts w:ascii="华文楷体" w:eastAsia="华文楷体" w:hAnsi="华文楷体" w:hint="eastAsia"/>
                <w:sz w:val="22"/>
                <w:szCs w:val="22"/>
                <w:lang w:val="en-US" w:eastAsia="zh-CN"/>
              </w:rPr>
              <w:t>4（580）；精通STATA ，Python ，MATLAB ,  Office等软件 ；</w:t>
            </w:r>
            <w:r w:rsidR="001A4AE6">
              <w:rPr>
                <w:rFonts w:ascii="华文楷体" w:eastAsia="华文楷体" w:hAnsi="华文楷体" w:hint="eastAsia"/>
                <w:sz w:val="22"/>
                <w:szCs w:val="22"/>
                <w:lang w:val="en-US" w:eastAsia="zh-CN"/>
              </w:rPr>
              <w:t>期货从业人员资格证书；</w:t>
            </w:r>
            <w:r>
              <w:rPr>
                <w:rFonts w:ascii="华文楷体" w:eastAsia="华文楷体" w:hAnsi="华文楷体" w:hint="eastAsia"/>
                <w:sz w:val="22"/>
                <w:szCs w:val="22"/>
                <w:lang w:val="en-US" w:eastAsia="zh-CN"/>
              </w:rPr>
              <w:t>熟练掌握Adobe Premiere Pro视频剪辑，B站平台总播放量突破</w:t>
            </w:r>
            <w:r>
              <w:rPr>
                <w:rFonts w:ascii="华文楷体" w:eastAsia="华文楷体" w:hAnsi="华文楷体" w:hint="eastAsia"/>
                <w:b/>
                <w:bCs/>
                <w:sz w:val="22"/>
                <w:szCs w:val="22"/>
                <w:lang w:val="en-US" w:eastAsia="zh-CN"/>
              </w:rPr>
              <w:t>300万</w:t>
            </w:r>
          </w:p>
        </w:tc>
      </w:tr>
    </w:tbl>
    <w:p w14:paraId="23335A9F" w14:textId="77777777" w:rsidR="004E39D2" w:rsidRDefault="00000000">
      <w:pPr>
        <w:widowControl w:val="0"/>
        <w:pBdr>
          <w:bottom w:val="single" w:sz="6" w:space="1" w:color="auto"/>
        </w:pBdr>
        <w:autoSpaceDE w:val="0"/>
        <w:autoSpaceDN w:val="0"/>
        <w:adjustRightInd w:val="0"/>
        <w:spacing w:beforeLines="40" w:before="96"/>
        <w:jc w:val="both"/>
        <w:rPr>
          <w:rFonts w:ascii="华文楷体" w:eastAsia="华文楷体" w:hAnsi="华文楷体" w:hint="eastAsia"/>
          <w:b/>
          <w:smallCaps/>
          <w:szCs w:val="30"/>
          <w:lang w:eastAsia="zh-CN"/>
        </w:rPr>
      </w:pPr>
      <w:r>
        <w:rPr>
          <w:rFonts w:ascii="华文楷体" w:eastAsia="华文楷体" w:hAnsi="华文楷体" w:hint="eastAsia"/>
          <w:b/>
          <w:smallCaps/>
          <w:szCs w:val="30"/>
          <w:lang w:eastAsia="zh-CN"/>
        </w:rPr>
        <w:t>实习经历</w:t>
      </w:r>
    </w:p>
    <w:tbl>
      <w:tblPr>
        <w:tblStyle w:val="af"/>
        <w:tblW w:w="10343" w:type="dxa"/>
        <w:tblLook w:val="04A0" w:firstRow="1" w:lastRow="0" w:firstColumn="1" w:lastColumn="0" w:noHBand="0" w:noVBand="1"/>
      </w:tblPr>
      <w:tblGrid>
        <w:gridCol w:w="4176"/>
        <w:gridCol w:w="3454"/>
        <w:gridCol w:w="2713"/>
      </w:tblGrid>
      <w:tr w:rsidR="002825C6" w14:paraId="7D3B7206" w14:textId="77777777">
        <w:trPr>
          <w:trHeight w:val="389"/>
        </w:trPr>
        <w:tc>
          <w:tcPr>
            <w:tcW w:w="4176" w:type="dxa"/>
          </w:tcPr>
          <w:p w14:paraId="0B79C71F" w14:textId="209DBCB3" w:rsidR="002825C6" w:rsidRDefault="00D318EF">
            <w:pPr>
              <w:autoSpaceDE w:val="0"/>
              <w:autoSpaceDN w:val="0"/>
              <w:adjustRightInd w:val="0"/>
              <w:spacing w:beforeLines="30" w:before="72"/>
              <w:rPr>
                <w:rFonts w:ascii="华文楷体" w:eastAsia="华文楷体" w:hAnsi="华文楷体" w:hint="eastAsia"/>
                <w:b/>
                <w:bCs/>
                <w:sz w:val="22"/>
                <w:lang w:val="en-US" w:eastAsia="zh-CN"/>
              </w:rPr>
            </w:pPr>
            <w:r w:rsidRPr="00D318EF">
              <w:rPr>
                <w:rFonts w:ascii="华文楷体" w:eastAsia="华文楷体" w:hAnsi="华文楷体"/>
                <w:b/>
                <w:bCs/>
                <w:sz w:val="22"/>
                <w:lang w:eastAsia="zh-CN"/>
              </w:rPr>
              <w:t>深圳证券交易所</w:t>
            </w:r>
          </w:p>
        </w:tc>
        <w:tc>
          <w:tcPr>
            <w:tcW w:w="3454" w:type="dxa"/>
          </w:tcPr>
          <w:p w14:paraId="59D8B0EC" w14:textId="433A21F6" w:rsidR="002825C6" w:rsidRDefault="00D318EF">
            <w:pPr>
              <w:autoSpaceDE w:val="0"/>
              <w:autoSpaceDN w:val="0"/>
              <w:adjustRightInd w:val="0"/>
              <w:spacing w:beforeLines="30" w:before="72"/>
              <w:jc w:val="center"/>
              <w:rPr>
                <w:rFonts w:ascii="华文楷体" w:eastAsia="华文楷体" w:hAnsi="华文楷体" w:hint="eastAsia"/>
                <w:b/>
                <w:bCs/>
                <w:sz w:val="22"/>
                <w:lang w:eastAsia="zh-CN"/>
              </w:rPr>
            </w:pPr>
            <w:r w:rsidRPr="00D318EF">
              <w:rPr>
                <w:rFonts w:ascii="华文楷体" w:eastAsia="华文楷体" w:hAnsi="华文楷体"/>
                <w:b/>
                <w:bCs/>
                <w:sz w:val="22"/>
                <w:lang w:eastAsia="zh-CN"/>
              </w:rPr>
              <w:t>会员管理部</w:t>
            </w:r>
            <w:r>
              <w:rPr>
                <w:rFonts w:ascii="华文楷体" w:eastAsia="华文楷体" w:hAnsi="华文楷体" w:hint="eastAsia"/>
                <w:b/>
                <w:bCs/>
                <w:sz w:val="22"/>
                <w:lang w:eastAsia="zh-CN"/>
              </w:rPr>
              <w:t xml:space="preserve"> </w:t>
            </w:r>
            <w:r w:rsidRPr="00D318EF">
              <w:rPr>
                <w:rFonts w:ascii="华文楷体" w:eastAsia="华文楷体" w:hAnsi="华文楷体"/>
                <w:b/>
                <w:bCs/>
                <w:sz w:val="22"/>
                <w:lang w:eastAsia="zh-CN"/>
              </w:rPr>
              <w:t>金融工程暑期实习生</w:t>
            </w:r>
          </w:p>
        </w:tc>
        <w:tc>
          <w:tcPr>
            <w:tcW w:w="2713" w:type="dxa"/>
          </w:tcPr>
          <w:p w14:paraId="69084492" w14:textId="4961B96B" w:rsidR="002825C6" w:rsidRDefault="000038A7">
            <w:pPr>
              <w:autoSpaceDE w:val="0"/>
              <w:autoSpaceDN w:val="0"/>
              <w:adjustRightInd w:val="0"/>
              <w:spacing w:beforeLines="30" w:before="72"/>
              <w:rPr>
                <w:rFonts w:ascii="华文楷体" w:eastAsia="华文楷体" w:hAnsi="华文楷体" w:hint="eastAsia"/>
                <w:b/>
                <w:sz w:val="22"/>
                <w:lang w:eastAsia="zh-CN"/>
              </w:rPr>
            </w:pPr>
            <w:r>
              <w:rPr>
                <w:rFonts w:ascii="华文楷体" w:eastAsia="华文楷体" w:hAnsi="华文楷体" w:hint="eastAsia"/>
                <w:b/>
                <w:sz w:val="22"/>
                <w:lang w:eastAsia="zh-CN"/>
              </w:rPr>
              <w:t>2026.07</w:t>
            </w:r>
            <w:r>
              <w:rPr>
                <w:rFonts w:ascii="华文楷体" w:eastAsia="华文楷体" w:hAnsi="华文楷体"/>
                <w:b/>
                <w:sz w:val="22"/>
                <w:szCs w:val="22"/>
                <w:lang w:eastAsia="zh-CN"/>
              </w:rPr>
              <w:t>–</w:t>
            </w:r>
            <w:r>
              <w:rPr>
                <w:rFonts w:ascii="华文楷体" w:eastAsia="华文楷体" w:hAnsi="华文楷体" w:hint="eastAsia"/>
                <w:b/>
                <w:sz w:val="22"/>
                <w:lang w:eastAsia="zh-CN"/>
              </w:rPr>
              <w:t>2026.0</w:t>
            </w:r>
            <w:r>
              <w:rPr>
                <w:rFonts w:ascii="华文楷体" w:eastAsia="华文楷体" w:hAnsi="华文楷体" w:hint="eastAsia"/>
                <w:b/>
                <w:sz w:val="22"/>
                <w:lang w:eastAsia="zh-CN"/>
              </w:rPr>
              <w:t>9</w:t>
            </w:r>
          </w:p>
        </w:tc>
      </w:tr>
      <w:tr w:rsidR="001209E0" w14:paraId="427C90C2" w14:textId="77777777" w:rsidTr="00F332F8">
        <w:trPr>
          <w:trHeight w:val="389"/>
        </w:trPr>
        <w:tc>
          <w:tcPr>
            <w:tcW w:w="10343" w:type="dxa"/>
            <w:gridSpan w:val="3"/>
          </w:tcPr>
          <w:p w14:paraId="30EE5696" w14:textId="3A370106" w:rsidR="001209E0" w:rsidRPr="000038A7" w:rsidRDefault="000038A7" w:rsidP="000038A7">
            <w:pPr>
              <w:numPr>
                <w:ilvl w:val="0"/>
                <w:numId w:val="3"/>
              </w:numPr>
              <w:autoSpaceDE w:val="0"/>
              <w:autoSpaceDN w:val="0"/>
              <w:adjustRightInd w:val="0"/>
              <w:spacing w:beforeLines="20" w:before="48"/>
              <w:ind w:left="284" w:hanging="284"/>
              <w:rPr>
                <w:rFonts w:ascii="华文楷体" w:eastAsia="华文楷体" w:hAnsi="华文楷体" w:hint="eastAsia"/>
                <w:b/>
                <w:sz w:val="22"/>
                <w:lang w:eastAsia="zh-CN"/>
              </w:rPr>
            </w:pPr>
            <w:r w:rsidRPr="000038A7">
              <w:rPr>
                <w:rFonts w:ascii="华文楷体" w:eastAsia="华文楷体" w:hAnsi="华文楷体"/>
                <w:bCs/>
                <w:sz w:val="22"/>
                <w:lang w:eastAsia="zh-CN"/>
              </w:rPr>
              <w:t>围绕深市ST股票涨跌幅限制改革开展制度效果评估，基于改革前后股票交易数据构建指标体系，分析涨跌停约束、流动性及波动变化；发现改革后收盘涨停比例由</w:t>
            </w:r>
            <w:r w:rsidRPr="000038A7">
              <w:rPr>
                <w:rFonts w:ascii="华文楷体" w:eastAsia="华文楷体" w:hAnsi="华文楷体"/>
                <w:bCs/>
                <w:sz w:val="22"/>
                <w:highlight w:val="yellow"/>
                <w:lang w:eastAsia="zh-CN"/>
              </w:rPr>
              <w:t>33.49%下降至2.63%，连续涨跌停显著减少，验证交易机制优化效果</w:t>
            </w:r>
            <w:r w:rsidRPr="000038A7">
              <w:rPr>
                <w:rFonts w:ascii="华文楷体" w:eastAsia="华文楷体" w:hAnsi="华文楷体"/>
                <w:bCs/>
                <w:sz w:val="22"/>
                <w:lang w:eastAsia="zh-CN"/>
              </w:rPr>
              <w:t>。</w:t>
            </w:r>
          </w:p>
        </w:tc>
      </w:tr>
      <w:tr w:rsidR="001209E0" w14:paraId="68D64E57" w14:textId="77777777" w:rsidTr="00E51497">
        <w:trPr>
          <w:trHeight w:val="389"/>
        </w:trPr>
        <w:tc>
          <w:tcPr>
            <w:tcW w:w="10343" w:type="dxa"/>
            <w:gridSpan w:val="3"/>
          </w:tcPr>
          <w:p w14:paraId="47BAEB01" w14:textId="67944BF2" w:rsidR="001209E0" w:rsidRDefault="000038A7" w:rsidP="000038A7">
            <w:pPr>
              <w:numPr>
                <w:ilvl w:val="0"/>
                <w:numId w:val="3"/>
              </w:numPr>
              <w:autoSpaceDE w:val="0"/>
              <w:autoSpaceDN w:val="0"/>
              <w:adjustRightInd w:val="0"/>
              <w:spacing w:beforeLines="20" w:before="48"/>
              <w:ind w:left="284" w:hanging="284"/>
              <w:rPr>
                <w:rFonts w:ascii="华文楷体" w:eastAsia="华文楷体" w:hAnsi="华文楷体" w:hint="eastAsia"/>
                <w:b/>
                <w:sz w:val="22"/>
                <w:lang w:eastAsia="zh-CN"/>
              </w:rPr>
            </w:pPr>
            <w:r w:rsidRPr="000038A7">
              <w:rPr>
                <w:rFonts w:ascii="华文楷体" w:eastAsia="华文楷体" w:hAnsi="华文楷体"/>
                <w:bCs/>
                <w:sz w:val="22"/>
                <w:lang w:eastAsia="zh-CN"/>
              </w:rPr>
              <w:t>开展最低订单停留时间制度国际研究，系统梳理欧美及亚洲主要市场监管实践，对NASDAQ M-ELO、TSX Long Life Order等订单机制进行比较分析，研究高频交易监管与市场微观结构优化路径。</w:t>
            </w:r>
          </w:p>
        </w:tc>
      </w:tr>
      <w:tr w:rsidR="001209E0" w14:paraId="04C8B5A2" w14:textId="77777777" w:rsidTr="00C33641">
        <w:trPr>
          <w:trHeight w:val="389"/>
        </w:trPr>
        <w:tc>
          <w:tcPr>
            <w:tcW w:w="10343" w:type="dxa"/>
            <w:gridSpan w:val="3"/>
          </w:tcPr>
          <w:p w14:paraId="5E8739FE" w14:textId="3A8573FA" w:rsidR="001209E0" w:rsidRDefault="000038A7" w:rsidP="000038A7">
            <w:pPr>
              <w:numPr>
                <w:ilvl w:val="0"/>
                <w:numId w:val="3"/>
              </w:numPr>
              <w:autoSpaceDE w:val="0"/>
              <w:autoSpaceDN w:val="0"/>
              <w:adjustRightInd w:val="0"/>
              <w:spacing w:beforeLines="20" w:before="48"/>
              <w:ind w:left="284" w:hanging="284"/>
              <w:rPr>
                <w:rFonts w:ascii="华文楷体" w:eastAsia="华文楷体" w:hAnsi="华文楷体" w:hint="eastAsia"/>
                <w:b/>
                <w:sz w:val="22"/>
                <w:lang w:eastAsia="zh-CN"/>
              </w:rPr>
            </w:pPr>
            <w:r w:rsidRPr="000038A7">
              <w:rPr>
                <w:rFonts w:ascii="华文楷体" w:eastAsia="华文楷体" w:hAnsi="华文楷体" w:hint="eastAsia"/>
                <w:bCs/>
                <w:sz w:val="22"/>
                <w:lang w:eastAsia="zh-CN"/>
              </w:rPr>
              <w:t>SEC 订单生命周期研究</w:t>
            </w:r>
          </w:p>
        </w:tc>
      </w:tr>
      <w:tr w:rsidR="001209E0" w14:paraId="706986CD" w14:textId="77777777" w:rsidTr="007D07E1">
        <w:trPr>
          <w:trHeight w:val="389"/>
        </w:trPr>
        <w:tc>
          <w:tcPr>
            <w:tcW w:w="10343" w:type="dxa"/>
            <w:gridSpan w:val="3"/>
          </w:tcPr>
          <w:p w14:paraId="133EEF28" w14:textId="77777777" w:rsidR="001209E0" w:rsidRDefault="001209E0">
            <w:pPr>
              <w:autoSpaceDE w:val="0"/>
              <w:autoSpaceDN w:val="0"/>
              <w:adjustRightInd w:val="0"/>
              <w:spacing w:beforeLines="30" w:before="72"/>
              <w:rPr>
                <w:rFonts w:ascii="华文楷体" w:eastAsia="华文楷体" w:hAnsi="华文楷体" w:hint="eastAsia"/>
                <w:b/>
                <w:sz w:val="22"/>
                <w:lang w:eastAsia="zh-CN"/>
              </w:rPr>
            </w:pPr>
          </w:p>
        </w:tc>
      </w:tr>
      <w:tr w:rsidR="001209E0" w14:paraId="27DEB7F8" w14:textId="77777777" w:rsidTr="00807DEE">
        <w:trPr>
          <w:trHeight w:val="389"/>
        </w:trPr>
        <w:tc>
          <w:tcPr>
            <w:tcW w:w="10343" w:type="dxa"/>
            <w:gridSpan w:val="3"/>
          </w:tcPr>
          <w:p w14:paraId="7FF9A93E" w14:textId="77777777" w:rsidR="001209E0" w:rsidRDefault="001209E0">
            <w:pPr>
              <w:autoSpaceDE w:val="0"/>
              <w:autoSpaceDN w:val="0"/>
              <w:adjustRightInd w:val="0"/>
              <w:spacing w:beforeLines="30" w:before="72"/>
              <w:rPr>
                <w:rFonts w:ascii="华文楷体" w:eastAsia="华文楷体" w:hAnsi="华文楷体" w:hint="eastAsia"/>
                <w:b/>
                <w:sz w:val="22"/>
                <w:lang w:eastAsia="zh-CN"/>
              </w:rPr>
            </w:pPr>
          </w:p>
        </w:tc>
      </w:tr>
      <w:tr w:rsidR="004E39D2" w14:paraId="48E82723" w14:textId="77777777">
        <w:trPr>
          <w:trHeight w:val="389"/>
        </w:trPr>
        <w:tc>
          <w:tcPr>
            <w:tcW w:w="4176" w:type="dxa"/>
          </w:tcPr>
          <w:p w14:paraId="042852DE" w14:textId="77777777" w:rsidR="004E39D2" w:rsidRDefault="00000000">
            <w:pPr>
              <w:autoSpaceDE w:val="0"/>
              <w:autoSpaceDN w:val="0"/>
              <w:adjustRightInd w:val="0"/>
              <w:spacing w:beforeLines="30" w:before="72"/>
              <w:rPr>
                <w:rFonts w:ascii="华文楷体" w:eastAsia="华文楷体" w:hAnsi="华文楷体" w:hint="eastAsia"/>
                <w:b/>
                <w:bCs/>
                <w:sz w:val="22"/>
                <w:lang w:val="en-US" w:eastAsia="zh-CN"/>
              </w:rPr>
            </w:pPr>
            <w:bookmarkStart w:id="0" w:name="_Hlk214387913"/>
            <w:r>
              <w:rPr>
                <w:rFonts w:ascii="华文楷体" w:eastAsia="华文楷体" w:hAnsi="华文楷体"/>
                <w:b/>
                <w:bCs/>
                <w:sz w:val="22"/>
                <w:lang w:val="en-US" w:eastAsia="zh-CN"/>
              </w:rPr>
              <w:t>星云至恒（厦门）私募基金管理有限公司</w:t>
            </w:r>
          </w:p>
        </w:tc>
        <w:tc>
          <w:tcPr>
            <w:tcW w:w="3454" w:type="dxa"/>
          </w:tcPr>
          <w:p w14:paraId="19FFBE9B" w14:textId="77777777" w:rsidR="004E39D2" w:rsidRDefault="00000000">
            <w:pPr>
              <w:autoSpaceDE w:val="0"/>
              <w:autoSpaceDN w:val="0"/>
              <w:adjustRightInd w:val="0"/>
              <w:spacing w:beforeLines="30" w:before="72"/>
              <w:jc w:val="center"/>
              <w:rPr>
                <w:rFonts w:ascii="华文楷体" w:eastAsia="华文楷体" w:hAnsi="华文楷体" w:hint="eastAsia"/>
                <w:b/>
                <w:sz w:val="22"/>
                <w:lang w:eastAsia="zh-CN"/>
              </w:rPr>
            </w:pPr>
            <w:r>
              <w:rPr>
                <w:rFonts w:ascii="华文楷体" w:eastAsia="华文楷体" w:hAnsi="华文楷体"/>
                <w:b/>
                <w:bCs/>
                <w:sz w:val="22"/>
                <w:lang w:eastAsia="zh-CN"/>
              </w:rPr>
              <w:t>量化研究实习生</w:t>
            </w:r>
          </w:p>
        </w:tc>
        <w:tc>
          <w:tcPr>
            <w:tcW w:w="2713" w:type="dxa"/>
          </w:tcPr>
          <w:p w14:paraId="033FFD61" w14:textId="7139CFE0" w:rsidR="004E39D2" w:rsidRDefault="00000000">
            <w:pPr>
              <w:autoSpaceDE w:val="0"/>
              <w:autoSpaceDN w:val="0"/>
              <w:adjustRightInd w:val="0"/>
              <w:spacing w:beforeLines="30" w:before="72"/>
              <w:rPr>
                <w:rFonts w:ascii="华文楷体" w:eastAsia="华文楷体" w:hAnsi="华文楷体" w:hint="eastAsia"/>
                <w:b/>
                <w:sz w:val="22"/>
                <w:lang w:eastAsia="zh-CN"/>
              </w:rPr>
            </w:pPr>
            <w:r>
              <w:rPr>
                <w:rFonts w:ascii="华文楷体" w:eastAsia="华文楷体" w:hAnsi="华文楷体"/>
                <w:b/>
                <w:sz w:val="22"/>
                <w:lang w:eastAsia="zh-CN"/>
              </w:rPr>
              <w:t>20</w:t>
            </w:r>
            <w:r>
              <w:rPr>
                <w:rFonts w:ascii="华文楷体" w:eastAsia="华文楷体" w:hAnsi="华文楷体" w:hint="eastAsia"/>
                <w:b/>
                <w:sz w:val="22"/>
                <w:lang w:eastAsia="zh-CN"/>
              </w:rPr>
              <w:t>25</w:t>
            </w:r>
            <w:r>
              <w:rPr>
                <w:rFonts w:ascii="华文楷体" w:eastAsia="华文楷体" w:hAnsi="华文楷体"/>
                <w:b/>
                <w:sz w:val="22"/>
                <w:lang w:eastAsia="zh-CN"/>
              </w:rPr>
              <w:t>.</w:t>
            </w:r>
            <w:r>
              <w:rPr>
                <w:rFonts w:ascii="华文楷体" w:eastAsia="华文楷体" w:hAnsi="华文楷体" w:hint="eastAsia"/>
                <w:b/>
                <w:sz w:val="22"/>
                <w:lang w:eastAsia="zh-CN"/>
              </w:rPr>
              <w:t>10</w:t>
            </w:r>
            <w:r>
              <w:rPr>
                <w:rFonts w:ascii="华文楷体" w:eastAsia="华文楷体" w:hAnsi="华文楷体"/>
                <w:b/>
                <w:sz w:val="22"/>
                <w:szCs w:val="22"/>
                <w:lang w:eastAsia="zh-CN"/>
              </w:rPr>
              <w:t>–</w:t>
            </w:r>
            <w:r w:rsidR="00B75D2A">
              <w:rPr>
                <w:rFonts w:ascii="华文楷体" w:eastAsia="华文楷体" w:hAnsi="华文楷体" w:hint="eastAsia"/>
                <w:b/>
                <w:sz w:val="22"/>
                <w:lang w:eastAsia="zh-CN"/>
              </w:rPr>
              <w:t>2026.05</w:t>
            </w:r>
          </w:p>
        </w:tc>
      </w:tr>
      <w:bookmarkEnd w:id="0"/>
      <w:tr w:rsidR="004E39D2" w14:paraId="5DB5377B" w14:textId="77777777">
        <w:trPr>
          <w:trHeight w:val="389"/>
        </w:trPr>
        <w:tc>
          <w:tcPr>
            <w:tcW w:w="10343" w:type="dxa"/>
            <w:gridSpan w:val="3"/>
          </w:tcPr>
          <w:p w14:paraId="0D324CB3" w14:textId="77777777" w:rsidR="004E39D2" w:rsidRDefault="00000000">
            <w:pPr>
              <w:numPr>
                <w:ilvl w:val="0"/>
                <w:numId w:val="3"/>
              </w:numPr>
              <w:autoSpaceDE w:val="0"/>
              <w:autoSpaceDN w:val="0"/>
              <w:adjustRightInd w:val="0"/>
              <w:spacing w:beforeLines="20" w:before="48"/>
              <w:ind w:left="284" w:hanging="284"/>
              <w:rPr>
                <w:rFonts w:ascii="华文楷体" w:eastAsia="华文楷体" w:hAnsi="华文楷体" w:hint="eastAsia"/>
                <w:bCs/>
                <w:sz w:val="22"/>
                <w:lang w:eastAsia="zh-CN"/>
              </w:rPr>
            </w:pPr>
            <w:r>
              <w:rPr>
                <w:rFonts w:ascii="华文楷体" w:eastAsia="华文楷体" w:hAnsi="华文楷体" w:hint="eastAsia"/>
                <w:b/>
                <w:sz w:val="22"/>
                <w:lang w:eastAsia="zh-CN"/>
              </w:rPr>
              <w:t>订单流交易研究与策略开发：</w:t>
            </w:r>
            <w:r>
              <w:rPr>
                <w:rFonts w:ascii="华文楷体" w:eastAsia="华文楷体" w:hAnsi="华文楷体"/>
                <w:bCs/>
                <w:sz w:val="22"/>
                <w:lang w:eastAsia="zh-CN"/>
              </w:rPr>
              <w:t>系统梳理国内外订单流交易研报与学术文献，提炼市场微观结构核心逻辑；基于DolphinDB高频数据复现并优化订单流策略，完成回测验证与稳健性分析</w:t>
            </w:r>
          </w:p>
        </w:tc>
      </w:tr>
      <w:tr w:rsidR="004E39D2" w14:paraId="03C8B28C" w14:textId="77777777">
        <w:trPr>
          <w:trHeight w:val="389"/>
        </w:trPr>
        <w:tc>
          <w:tcPr>
            <w:tcW w:w="10343" w:type="dxa"/>
            <w:gridSpan w:val="3"/>
          </w:tcPr>
          <w:p w14:paraId="0C1E5C54" w14:textId="77777777" w:rsidR="004E39D2" w:rsidRDefault="00000000">
            <w:pPr>
              <w:numPr>
                <w:ilvl w:val="0"/>
                <w:numId w:val="3"/>
              </w:numPr>
              <w:autoSpaceDE w:val="0"/>
              <w:autoSpaceDN w:val="0"/>
              <w:adjustRightInd w:val="0"/>
              <w:spacing w:beforeLines="20" w:before="48"/>
              <w:ind w:left="284" w:hanging="284"/>
              <w:rPr>
                <w:rFonts w:ascii="华文楷体" w:eastAsia="华文楷体" w:hAnsi="华文楷体" w:hint="eastAsia"/>
                <w:bCs/>
                <w:sz w:val="22"/>
                <w:lang w:eastAsia="zh-CN"/>
              </w:rPr>
            </w:pPr>
            <w:r>
              <w:rPr>
                <w:rFonts w:ascii="华文楷体" w:eastAsia="华文楷体" w:hAnsi="华文楷体"/>
                <w:b/>
                <w:sz w:val="22"/>
                <w:lang w:eastAsia="zh-CN"/>
              </w:rPr>
              <w:t>高频数据建模与因子挖掘</w:t>
            </w:r>
            <w:r>
              <w:rPr>
                <w:rFonts w:ascii="华文楷体" w:eastAsia="华文楷体" w:hAnsi="华文楷体" w:hint="eastAsia"/>
                <w:b/>
                <w:sz w:val="22"/>
                <w:lang w:eastAsia="zh-CN"/>
              </w:rPr>
              <w:t>：</w:t>
            </w:r>
            <w:r>
              <w:rPr>
                <w:rFonts w:ascii="华文楷体" w:eastAsia="华文楷体" w:hAnsi="华文楷体"/>
                <w:bCs/>
                <w:sz w:val="22"/>
                <w:lang w:eastAsia="zh-CN"/>
              </w:rPr>
              <w:t>运用 DolphinDB 处理多维度高频数据（如逐笔交易、盘口数据等），开发并测试</w:t>
            </w:r>
            <w:r>
              <w:rPr>
                <w:rFonts w:ascii="华文楷体" w:eastAsia="华文楷体" w:hAnsi="华文楷体" w:hint="eastAsia"/>
                <w:bCs/>
                <w:sz w:val="22"/>
                <w:lang w:eastAsia="zh-CN"/>
              </w:rPr>
              <w:t>订单流不平衡等</w:t>
            </w:r>
            <w:r>
              <w:rPr>
                <w:rFonts w:ascii="华文楷体" w:eastAsia="华文楷体" w:hAnsi="华文楷体"/>
                <w:bCs/>
                <w:sz w:val="22"/>
                <w:lang w:eastAsia="zh-CN"/>
              </w:rPr>
              <w:t>多个潜在套利因子，支持策略的逻辑验证与迭代</w:t>
            </w:r>
            <w:r>
              <w:rPr>
                <w:rFonts w:ascii="华文楷体" w:eastAsia="华文楷体" w:hAnsi="华文楷体" w:hint="eastAsia"/>
                <w:bCs/>
                <w:sz w:val="22"/>
                <w:lang w:eastAsia="zh-CN"/>
              </w:rPr>
              <w:t>；</w:t>
            </w:r>
            <w:r>
              <w:rPr>
                <w:rFonts w:ascii="华文楷体" w:eastAsia="华文楷体" w:hAnsi="华文楷体"/>
                <w:bCs/>
                <w:sz w:val="22"/>
                <w:lang w:eastAsia="zh-CN"/>
              </w:rPr>
              <w:t>参与构建订单流驱动的套利模型，探索市场微观结构中的收益机会，为策略组合提供实证支持</w:t>
            </w:r>
          </w:p>
        </w:tc>
      </w:tr>
      <w:tr w:rsidR="004E39D2" w14:paraId="6AA2F055" w14:textId="77777777">
        <w:trPr>
          <w:trHeight w:val="389"/>
        </w:trPr>
        <w:tc>
          <w:tcPr>
            <w:tcW w:w="10343" w:type="dxa"/>
            <w:gridSpan w:val="3"/>
          </w:tcPr>
          <w:p w14:paraId="457668E5" w14:textId="77777777" w:rsidR="004E39D2" w:rsidRDefault="00000000">
            <w:pPr>
              <w:numPr>
                <w:ilvl w:val="0"/>
                <w:numId w:val="3"/>
              </w:numPr>
              <w:autoSpaceDE w:val="0"/>
              <w:autoSpaceDN w:val="0"/>
              <w:adjustRightInd w:val="0"/>
              <w:spacing w:beforeLines="20" w:before="48"/>
              <w:ind w:left="284" w:hanging="284"/>
              <w:rPr>
                <w:rFonts w:ascii="华文楷体" w:eastAsia="华文楷体" w:hAnsi="华文楷体" w:hint="eastAsia"/>
                <w:b/>
                <w:sz w:val="22"/>
                <w:lang w:eastAsia="zh-CN"/>
              </w:rPr>
            </w:pPr>
            <w:r>
              <w:rPr>
                <w:rFonts w:ascii="华文楷体" w:eastAsia="华文楷体" w:hAnsi="华文楷体"/>
                <w:b/>
                <w:sz w:val="22"/>
                <w:lang w:eastAsia="zh-CN"/>
              </w:rPr>
              <w:t>多资产配置策略研究（风险平价</w:t>
            </w:r>
            <w:r>
              <w:rPr>
                <w:rFonts w:ascii="华文楷体" w:eastAsia="华文楷体" w:hAnsi="华文楷体" w:hint="eastAsia"/>
                <w:b/>
                <w:sz w:val="22"/>
                <w:lang w:val="en-US" w:eastAsia="zh-CN"/>
              </w:rPr>
              <w:t>策略改进</w:t>
            </w:r>
            <w:r>
              <w:rPr>
                <w:rFonts w:ascii="华文楷体" w:eastAsia="华文楷体" w:hAnsi="华文楷体"/>
                <w:b/>
                <w:sz w:val="22"/>
                <w:lang w:eastAsia="zh-CN"/>
              </w:rPr>
              <w:t>）</w:t>
            </w:r>
            <w:r>
              <w:rPr>
                <w:rFonts w:ascii="华文楷体" w:eastAsia="华文楷体" w:hAnsi="华文楷体" w:hint="eastAsia"/>
                <w:b/>
                <w:sz w:val="22"/>
                <w:lang w:eastAsia="zh-CN"/>
              </w:rPr>
              <w:t>：</w:t>
            </w:r>
            <w:r>
              <w:rPr>
                <w:rFonts w:ascii="华文楷体" w:eastAsia="华文楷体" w:hAnsi="华文楷体"/>
                <w:bCs/>
                <w:sz w:val="22"/>
                <w:lang w:eastAsia="zh-CN"/>
              </w:rPr>
              <w:t>基于券商资产池构建多资产配置框架，复现多种风险平价改进模型并开展回测；其中PCA风险平价策略表现最优，年化收益6.29%、最大回撤1.15%、</w:t>
            </w:r>
            <w:r>
              <w:rPr>
                <w:rFonts w:ascii="华文楷体" w:eastAsia="华文楷体" w:hAnsi="华文楷体" w:hint="eastAsia"/>
                <w:bCs/>
                <w:sz w:val="22"/>
                <w:lang w:val="en-US" w:eastAsia="zh-CN"/>
              </w:rPr>
              <w:t xml:space="preserve">Sharpe </w:t>
            </w:r>
            <w:r>
              <w:rPr>
                <w:rFonts w:ascii="华文楷体" w:eastAsia="华文楷体" w:hAnsi="华文楷体"/>
                <w:bCs/>
                <w:sz w:val="22"/>
                <w:lang w:eastAsia="zh-CN"/>
              </w:rPr>
              <w:t>2.62、Calmar 5.45，并建立滚动跟踪机制</w:t>
            </w:r>
          </w:p>
        </w:tc>
      </w:tr>
      <w:tr w:rsidR="004E39D2" w14:paraId="56436217" w14:textId="77777777">
        <w:trPr>
          <w:trHeight w:val="389"/>
        </w:trPr>
        <w:tc>
          <w:tcPr>
            <w:tcW w:w="10343" w:type="dxa"/>
            <w:gridSpan w:val="3"/>
          </w:tcPr>
          <w:p w14:paraId="07EAD03D" w14:textId="77777777" w:rsidR="004E39D2" w:rsidRDefault="00000000">
            <w:pPr>
              <w:numPr>
                <w:ilvl w:val="0"/>
                <w:numId w:val="3"/>
              </w:numPr>
              <w:autoSpaceDE w:val="0"/>
              <w:autoSpaceDN w:val="0"/>
              <w:adjustRightInd w:val="0"/>
              <w:spacing w:beforeLines="20" w:before="48"/>
              <w:ind w:left="284" w:hanging="284"/>
              <w:rPr>
                <w:rFonts w:ascii="华文楷体" w:eastAsia="华文楷体" w:hAnsi="华文楷体" w:hint="eastAsia"/>
                <w:b/>
                <w:sz w:val="22"/>
                <w:lang w:eastAsia="zh-CN"/>
              </w:rPr>
            </w:pPr>
            <w:r>
              <w:rPr>
                <w:rFonts w:ascii="华文楷体" w:eastAsia="华文楷体" w:hAnsi="华文楷体"/>
                <w:b/>
                <w:sz w:val="22"/>
                <w:lang w:eastAsia="zh-CN"/>
              </w:rPr>
              <w:t>可转债多因子策略研究</w:t>
            </w:r>
            <w:r>
              <w:rPr>
                <w:rFonts w:ascii="华文楷体" w:eastAsia="华文楷体" w:hAnsi="华文楷体" w:hint="eastAsia"/>
                <w:b/>
                <w:sz w:val="22"/>
                <w:lang w:eastAsia="zh-CN"/>
              </w:rPr>
              <w:t>：</w:t>
            </w:r>
            <w:r>
              <w:rPr>
                <w:rFonts w:ascii="华文楷体" w:eastAsia="华文楷体" w:hAnsi="华文楷体"/>
                <w:bCs/>
                <w:sz w:val="22"/>
                <w:lang w:eastAsia="zh-CN"/>
              </w:rPr>
              <w:t>构建可转债量化选券框架，融合估值、量价及正股特征因子，完成因子预处理、分层回测与策略对比，形成研究报告并提出优化建议</w:t>
            </w:r>
          </w:p>
        </w:tc>
      </w:tr>
      <w:tr w:rsidR="004E39D2" w14:paraId="7586A6F1" w14:textId="77777777">
        <w:trPr>
          <w:trHeight w:val="389"/>
        </w:trPr>
        <w:tc>
          <w:tcPr>
            <w:tcW w:w="10343" w:type="dxa"/>
            <w:gridSpan w:val="3"/>
          </w:tcPr>
          <w:p w14:paraId="7216F374" w14:textId="77777777" w:rsidR="004E39D2" w:rsidRDefault="00000000">
            <w:pPr>
              <w:numPr>
                <w:ilvl w:val="0"/>
                <w:numId w:val="3"/>
              </w:numPr>
              <w:autoSpaceDE w:val="0"/>
              <w:autoSpaceDN w:val="0"/>
              <w:adjustRightInd w:val="0"/>
              <w:spacing w:beforeLines="20" w:before="48"/>
              <w:ind w:left="284" w:hanging="284"/>
              <w:rPr>
                <w:rFonts w:ascii="华文楷体" w:eastAsia="华文楷体" w:hAnsi="华文楷体" w:hint="eastAsia"/>
                <w:bCs/>
                <w:sz w:val="22"/>
                <w:lang w:eastAsia="zh-CN"/>
              </w:rPr>
            </w:pPr>
            <w:r>
              <w:rPr>
                <w:rFonts w:ascii="华文楷体" w:eastAsia="华文楷体" w:hAnsi="华文楷体"/>
                <w:b/>
                <w:sz w:val="22"/>
                <w:lang w:eastAsia="zh-CN"/>
              </w:rPr>
              <w:t>策略文档与团队协作</w:t>
            </w:r>
            <w:r>
              <w:rPr>
                <w:rFonts w:ascii="华文楷体" w:eastAsia="华文楷体" w:hAnsi="华文楷体" w:hint="eastAsia"/>
                <w:b/>
                <w:sz w:val="22"/>
                <w:lang w:eastAsia="zh-CN"/>
              </w:rPr>
              <w:t>：</w:t>
            </w:r>
            <w:r>
              <w:rPr>
                <w:rFonts w:ascii="华文楷体" w:eastAsia="华文楷体" w:hAnsi="华文楷体"/>
                <w:bCs/>
                <w:sz w:val="22"/>
                <w:lang w:eastAsia="zh-CN"/>
              </w:rPr>
              <w:t>撰写策略复现报告与数据分析文档，清晰呈现研究假设、回测结果与改进方向，助力团队策略评审与决策。</w:t>
            </w:r>
          </w:p>
        </w:tc>
      </w:tr>
      <w:tr w:rsidR="004E39D2" w14:paraId="75DEC5D3" w14:textId="77777777">
        <w:trPr>
          <w:trHeight w:val="389"/>
        </w:trPr>
        <w:tc>
          <w:tcPr>
            <w:tcW w:w="4176" w:type="dxa"/>
          </w:tcPr>
          <w:p w14:paraId="49BF6ADB" w14:textId="77777777" w:rsidR="004E39D2" w:rsidRDefault="00000000">
            <w:pPr>
              <w:autoSpaceDE w:val="0"/>
              <w:autoSpaceDN w:val="0"/>
              <w:adjustRightInd w:val="0"/>
              <w:spacing w:beforeLines="30" w:before="72"/>
              <w:jc w:val="left"/>
              <w:rPr>
                <w:rFonts w:ascii="华文楷体" w:eastAsia="华文楷体" w:hAnsi="华文楷体" w:hint="eastAsia"/>
                <w:b/>
                <w:sz w:val="22"/>
                <w:lang w:val="en-US" w:eastAsia="zh-CN"/>
              </w:rPr>
            </w:pPr>
            <w:r>
              <w:rPr>
                <w:rFonts w:ascii="华文楷体" w:eastAsia="华文楷体" w:hAnsi="华文楷体" w:hint="eastAsia"/>
                <w:b/>
                <w:sz w:val="22"/>
                <w:lang w:val="en-US" w:eastAsia="zh-CN"/>
              </w:rPr>
              <w:t>施耐德电气（厦门）开关设备有限公司</w:t>
            </w:r>
          </w:p>
        </w:tc>
        <w:tc>
          <w:tcPr>
            <w:tcW w:w="3454" w:type="dxa"/>
          </w:tcPr>
          <w:p w14:paraId="4F731E69" w14:textId="77777777" w:rsidR="004E39D2" w:rsidRDefault="00000000">
            <w:pPr>
              <w:autoSpaceDE w:val="0"/>
              <w:autoSpaceDN w:val="0"/>
              <w:adjustRightInd w:val="0"/>
              <w:spacing w:beforeLines="30" w:before="72"/>
              <w:jc w:val="center"/>
              <w:rPr>
                <w:rFonts w:ascii="华文楷体" w:eastAsia="华文楷体" w:hAnsi="华文楷体" w:hint="eastAsia"/>
                <w:b/>
                <w:sz w:val="22"/>
                <w:lang w:eastAsia="zh-CN"/>
              </w:rPr>
            </w:pPr>
            <w:r>
              <w:rPr>
                <w:rFonts w:ascii="华文楷体" w:eastAsia="华文楷体" w:hAnsi="华文楷体" w:hint="eastAsia"/>
                <w:b/>
                <w:sz w:val="22"/>
                <w:lang w:eastAsia="zh-CN"/>
              </w:rPr>
              <w:t>采购</w:t>
            </w:r>
            <w:r>
              <w:rPr>
                <w:rFonts w:ascii="华文楷体" w:eastAsia="华文楷体" w:hAnsi="华文楷体" w:hint="eastAsia"/>
                <w:b/>
                <w:sz w:val="22"/>
                <w:lang w:val="en-US" w:eastAsia="zh-CN"/>
              </w:rPr>
              <w:t>实习生</w:t>
            </w:r>
          </w:p>
        </w:tc>
        <w:tc>
          <w:tcPr>
            <w:tcW w:w="2713" w:type="dxa"/>
          </w:tcPr>
          <w:p w14:paraId="0E628D98" w14:textId="77777777" w:rsidR="004E39D2" w:rsidRDefault="00000000">
            <w:pPr>
              <w:autoSpaceDE w:val="0"/>
              <w:autoSpaceDN w:val="0"/>
              <w:adjustRightInd w:val="0"/>
              <w:spacing w:beforeLines="30" w:before="72"/>
              <w:rPr>
                <w:rFonts w:ascii="华文楷体" w:eastAsia="华文楷体" w:hAnsi="华文楷体" w:hint="eastAsia"/>
                <w:b/>
                <w:sz w:val="22"/>
                <w:lang w:eastAsia="zh-CN"/>
              </w:rPr>
            </w:pPr>
            <w:r>
              <w:rPr>
                <w:rFonts w:ascii="华文楷体" w:eastAsia="华文楷体" w:hAnsi="华文楷体"/>
                <w:b/>
                <w:sz w:val="22"/>
                <w:lang w:eastAsia="zh-CN"/>
              </w:rPr>
              <w:t>20</w:t>
            </w:r>
            <w:r>
              <w:rPr>
                <w:rFonts w:ascii="华文楷体" w:eastAsia="华文楷体" w:hAnsi="华文楷体" w:hint="eastAsia"/>
                <w:b/>
                <w:sz w:val="22"/>
                <w:lang w:eastAsia="zh-CN"/>
              </w:rPr>
              <w:t>25.07</w:t>
            </w:r>
            <w:r>
              <w:rPr>
                <w:rFonts w:ascii="华文楷体" w:eastAsia="华文楷体" w:hAnsi="华文楷体"/>
                <w:b/>
                <w:sz w:val="22"/>
                <w:szCs w:val="22"/>
                <w:lang w:eastAsia="zh-CN"/>
              </w:rPr>
              <w:t>–</w:t>
            </w:r>
            <w:r>
              <w:rPr>
                <w:rFonts w:ascii="华文楷体" w:eastAsia="华文楷体" w:hAnsi="华文楷体"/>
                <w:b/>
                <w:sz w:val="22"/>
                <w:lang w:eastAsia="zh-CN"/>
              </w:rPr>
              <w:t>20</w:t>
            </w:r>
            <w:r>
              <w:rPr>
                <w:rFonts w:ascii="华文楷体" w:eastAsia="华文楷体" w:hAnsi="华文楷体" w:hint="eastAsia"/>
                <w:b/>
                <w:sz w:val="22"/>
                <w:lang w:eastAsia="zh-CN"/>
              </w:rPr>
              <w:t>25</w:t>
            </w:r>
            <w:r>
              <w:rPr>
                <w:rFonts w:ascii="华文楷体" w:eastAsia="华文楷体" w:hAnsi="华文楷体"/>
                <w:b/>
                <w:sz w:val="22"/>
                <w:lang w:eastAsia="zh-CN"/>
              </w:rPr>
              <w:t>.</w:t>
            </w:r>
            <w:r>
              <w:rPr>
                <w:rFonts w:ascii="华文楷体" w:eastAsia="华文楷体" w:hAnsi="华文楷体" w:hint="eastAsia"/>
                <w:b/>
                <w:sz w:val="22"/>
                <w:lang w:eastAsia="zh-CN"/>
              </w:rPr>
              <w:t>09</w:t>
            </w:r>
          </w:p>
        </w:tc>
      </w:tr>
      <w:tr w:rsidR="004E39D2" w14:paraId="16B8272D" w14:textId="77777777">
        <w:trPr>
          <w:trHeight w:val="389"/>
        </w:trPr>
        <w:tc>
          <w:tcPr>
            <w:tcW w:w="10343" w:type="dxa"/>
            <w:gridSpan w:val="3"/>
          </w:tcPr>
          <w:p w14:paraId="7E582609" w14:textId="77777777" w:rsidR="004E39D2" w:rsidRDefault="00000000">
            <w:pPr>
              <w:numPr>
                <w:ilvl w:val="0"/>
                <w:numId w:val="3"/>
              </w:numPr>
              <w:autoSpaceDE w:val="0"/>
              <w:autoSpaceDN w:val="0"/>
              <w:adjustRightInd w:val="0"/>
              <w:spacing w:beforeLines="20" w:before="48"/>
              <w:ind w:left="284" w:hanging="284"/>
              <w:rPr>
                <w:rFonts w:ascii="华文楷体" w:eastAsia="华文楷体" w:hAnsi="华文楷体" w:hint="eastAsia"/>
                <w:bCs/>
                <w:sz w:val="22"/>
                <w:lang w:eastAsia="zh-CN"/>
              </w:rPr>
            </w:pPr>
            <w:r>
              <w:rPr>
                <w:rFonts w:ascii="华文楷体" w:eastAsia="华文楷体" w:hAnsi="华文楷体"/>
                <w:b/>
                <w:sz w:val="22"/>
                <w:lang w:eastAsia="zh-CN"/>
              </w:rPr>
              <w:t>负责采购全流程数据管理与分析：</w:t>
            </w:r>
            <w:r>
              <w:rPr>
                <w:rFonts w:ascii="华文楷体" w:eastAsia="华文楷体" w:hAnsi="华文楷体"/>
                <w:bCs/>
                <w:sz w:val="22"/>
                <w:lang w:eastAsia="zh-CN"/>
              </w:rPr>
              <w:t>独立执行从询价、报价跟踪到新物料价格维护的全流程数据工作，并通过制作月度调价报表、处理分析采购数据，为成本控制提供支持。</w:t>
            </w:r>
          </w:p>
        </w:tc>
      </w:tr>
      <w:tr w:rsidR="004E39D2" w14:paraId="38C01830" w14:textId="77777777">
        <w:trPr>
          <w:trHeight w:val="389"/>
        </w:trPr>
        <w:tc>
          <w:tcPr>
            <w:tcW w:w="10343" w:type="dxa"/>
            <w:gridSpan w:val="3"/>
          </w:tcPr>
          <w:p w14:paraId="31C39F39" w14:textId="77777777" w:rsidR="004E39D2" w:rsidRDefault="00000000">
            <w:pPr>
              <w:numPr>
                <w:ilvl w:val="0"/>
                <w:numId w:val="3"/>
              </w:numPr>
              <w:autoSpaceDE w:val="0"/>
              <w:autoSpaceDN w:val="0"/>
              <w:adjustRightInd w:val="0"/>
              <w:spacing w:beforeLines="20" w:before="48"/>
              <w:ind w:left="284" w:hanging="284"/>
              <w:rPr>
                <w:rFonts w:ascii="华文楷体" w:eastAsia="华文楷体" w:hAnsi="华文楷体" w:hint="eastAsia"/>
                <w:bCs/>
                <w:sz w:val="22"/>
                <w:lang w:eastAsia="zh-CN"/>
              </w:rPr>
            </w:pPr>
            <w:r>
              <w:rPr>
                <w:rFonts w:ascii="华文楷体" w:eastAsia="华文楷体" w:hAnsi="华文楷体"/>
                <w:b/>
                <w:sz w:val="22"/>
                <w:lang w:eastAsia="zh-CN"/>
              </w:rPr>
              <w:lastRenderedPageBreak/>
              <w:t>主导跨部门沟通与协同：</w:t>
            </w:r>
            <w:r>
              <w:rPr>
                <w:rFonts w:ascii="华文楷体" w:eastAsia="华文楷体" w:hAnsi="华文楷体"/>
                <w:bCs/>
                <w:sz w:val="22"/>
                <w:lang w:eastAsia="zh-CN"/>
              </w:rPr>
              <w:t>独立对接供应商及公司内部部门进行高效协调，并熟练操作供应商管理平台与OA系统，保障采购流程的顺畅与标准化。</w:t>
            </w:r>
          </w:p>
        </w:tc>
      </w:tr>
      <w:tr w:rsidR="004E39D2" w14:paraId="4DD1755A" w14:textId="77777777">
        <w:trPr>
          <w:trHeight w:val="389"/>
        </w:trPr>
        <w:tc>
          <w:tcPr>
            <w:tcW w:w="4176" w:type="dxa"/>
          </w:tcPr>
          <w:p w14:paraId="3C6CB20B" w14:textId="77777777" w:rsidR="004E39D2" w:rsidRDefault="00000000">
            <w:pPr>
              <w:autoSpaceDE w:val="0"/>
              <w:autoSpaceDN w:val="0"/>
              <w:adjustRightInd w:val="0"/>
              <w:spacing w:beforeLines="30" w:before="72"/>
              <w:jc w:val="left"/>
              <w:rPr>
                <w:rFonts w:ascii="华文楷体" w:eastAsia="华文楷体" w:hAnsi="华文楷体" w:hint="eastAsia"/>
                <w:b/>
                <w:sz w:val="22"/>
                <w:lang w:val="en-US" w:eastAsia="zh-CN"/>
              </w:rPr>
            </w:pPr>
            <w:r>
              <w:rPr>
                <w:rFonts w:ascii="华文楷体" w:eastAsia="华文楷体" w:hAnsi="华文楷体" w:hint="eastAsia"/>
                <w:b/>
                <w:sz w:val="22"/>
                <w:lang w:val="en-US" w:eastAsia="zh-CN"/>
              </w:rPr>
              <w:t>成都</w:t>
            </w:r>
            <w:r>
              <w:rPr>
                <w:rFonts w:ascii="华文楷体" w:eastAsia="华文楷体" w:hAnsi="华文楷体" w:hint="eastAsia"/>
                <w:b/>
                <w:sz w:val="22"/>
                <w:lang w:eastAsia="zh-CN"/>
              </w:rPr>
              <w:t>萌想科技有限责任公司（</w:t>
            </w:r>
            <w:r>
              <w:rPr>
                <w:rFonts w:ascii="华文楷体" w:eastAsia="华文楷体" w:hAnsi="华文楷体" w:hint="eastAsia"/>
                <w:b/>
                <w:sz w:val="22"/>
                <w:lang w:val="en-US" w:eastAsia="zh-CN"/>
              </w:rPr>
              <w:t>实习僧</w:t>
            </w:r>
            <w:r>
              <w:rPr>
                <w:rFonts w:ascii="华文楷体" w:eastAsia="华文楷体" w:hAnsi="华文楷体" w:hint="eastAsia"/>
                <w:b/>
                <w:sz w:val="22"/>
                <w:lang w:eastAsia="zh-CN"/>
              </w:rPr>
              <w:t>）</w:t>
            </w:r>
          </w:p>
        </w:tc>
        <w:tc>
          <w:tcPr>
            <w:tcW w:w="3454" w:type="dxa"/>
          </w:tcPr>
          <w:p w14:paraId="30F72A36" w14:textId="77777777" w:rsidR="004E39D2" w:rsidRDefault="00000000">
            <w:pPr>
              <w:autoSpaceDE w:val="0"/>
              <w:autoSpaceDN w:val="0"/>
              <w:adjustRightInd w:val="0"/>
              <w:spacing w:beforeLines="30" w:before="72"/>
              <w:jc w:val="center"/>
              <w:rPr>
                <w:rFonts w:ascii="华文楷体" w:eastAsia="华文楷体" w:hAnsi="华文楷体" w:hint="eastAsia"/>
                <w:b/>
                <w:sz w:val="22"/>
                <w:lang w:eastAsia="zh-CN"/>
              </w:rPr>
            </w:pPr>
            <w:r>
              <w:rPr>
                <w:rFonts w:ascii="华文楷体" w:eastAsia="华文楷体" w:hAnsi="华文楷体" w:hint="eastAsia"/>
                <w:b/>
                <w:sz w:val="22"/>
                <w:lang w:eastAsia="zh-CN"/>
              </w:rPr>
              <w:t>财务</w:t>
            </w:r>
            <w:r>
              <w:rPr>
                <w:rFonts w:ascii="华文楷体" w:eastAsia="华文楷体" w:hAnsi="华文楷体" w:hint="eastAsia"/>
                <w:b/>
                <w:sz w:val="22"/>
                <w:lang w:val="en-US" w:eastAsia="zh-CN"/>
              </w:rPr>
              <w:t>实习生</w:t>
            </w:r>
          </w:p>
        </w:tc>
        <w:tc>
          <w:tcPr>
            <w:tcW w:w="2713" w:type="dxa"/>
          </w:tcPr>
          <w:p w14:paraId="151B27C5" w14:textId="77777777" w:rsidR="004E39D2" w:rsidRDefault="00000000">
            <w:pPr>
              <w:autoSpaceDE w:val="0"/>
              <w:autoSpaceDN w:val="0"/>
              <w:adjustRightInd w:val="0"/>
              <w:spacing w:beforeLines="30" w:before="72"/>
              <w:rPr>
                <w:rFonts w:ascii="华文楷体" w:eastAsia="华文楷体" w:hAnsi="华文楷体" w:hint="eastAsia"/>
                <w:b/>
                <w:sz w:val="22"/>
                <w:lang w:eastAsia="zh-CN"/>
              </w:rPr>
            </w:pPr>
            <w:r>
              <w:rPr>
                <w:rFonts w:ascii="华文楷体" w:eastAsia="华文楷体" w:hAnsi="华文楷体"/>
                <w:b/>
                <w:sz w:val="22"/>
                <w:lang w:eastAsia="zh-CN"/>
              </w:rPr>
              <w:t>20</w:t>
            </w:r>
            <w:r>
              <w:rPr>
                <w:rFonts w:ascii="华文楷体" w:eastAsia="华文楷体" w:hAnsi="华文楷体" w:hint="eastAsia"/>
                <w:b/>
                <w:sz w:val="22"/>
                <w:lang w:eastAsia="zh-CN"/>
              </w:rPr>
              <w:t>23</w:t>
            </w:r>
            <w:r>
              <w:rPr>
                <w:rFonts w:ascii="华文楷体" w:eastAsia="华文楷体" w:hAnsi="华文楷体"/>
                <w:b/>
                <w:sz w:val="22"/>
                <w:lang w:eastAsia="zh-CN"/>
              </w:rPr>
              <w:t>.</w:t>
            </w:r>
            <w:r>
              <w:rPr>
                <w:rFonts w:ascii="华文楷体" w:eastAsia="华文楷体" w:hAnsi="华文楷体" w:hint="eastAsia"/>
                <w:b/>
                <w:sz w:val="22"/>
                <w:lang w:eastAsia="zh-CN"/>
              </w:rPr>
              <w:t>10</w:t>
            </w:r>
            <w:r>
              <w:rPr>
                <w:rFonts w:ascii="华文楷体" w:eastAsia="华文楷体" w:hAnsi="华文楷体"/>
                <w:b/>
                <w:sz w:val="22"/>
                <w:szCs w:val="22"/>
                <w:lang w:eastAsia="zh-CN"/>
              </w:rPr>
              <w:t>–</w:t>
            </w:r>
            <w:r>
              <w:rPr>
                <w:rFonts w:ascii="华文楷体" w:eastAsia="华文楷体" w:hAnsi="华文楷体"/>
                <w:b/>
                <w:sz w:val="22"/>
                <w:lang w:eastAsia="zh-CN"/>
              </w:rPr>
              <w:t>20</w:t>
            </w:r>
            <w:r>
              <w:rPr>
                <w:rFonts w:ascii="华文楷体" w:eastAsia="华文楷体" w:hAnsi="华文楷体" w:hint="eastAsia"/>
                <w:b/>
                <w:sz w:val="22"/>
                <w:lang w:eastAsia="zh-CN"/>
              </w:rPr>
              <w:t>24</w:t>
            </w:r>
            <w:r>
              <w:rPr>
                <w:rFonts w:ascii="华文楷体" w:eastAsia="华文楷体" w:hAnsi="华文楷体"/>
                <w:b/>
                <w:sz w:val="22"/>
                <w:lang w:eastAsia="zh-CN"/>
              </w:rPr>
              <w:t>.</w:t>
            </w:r>
            <w:r>
              <w:rPr>
                <w:rFonts w:ascii="华文楷体" w:eastAsia="华文楷体" w:hAnsi="华文楷体" w:hint="eastAsia"/>
                <w:b/>
                <w:sz w:val="22"/>
                <w:lang w:eastAsia="zh-CN"/>
              </w:rPr>
              <w:t>01</w:t>
            </w:r>
          </w:p>
        </w:tc>
      </w:tr>
      <w:tr w:rsidR="004E39D2" w14:paraId="62D6C540" w14:textId="77777777">
        <w:trPr>
          <w:trHeight w:val="389"/>
        </w:trPr>
        <w:tc>
          <w:tcPr>
            <w:tcW w:w="10343" w:type="dxa"/>
            <w:gridSpan w:val="3"/>
          </w:tcPr>
          <w:p w14:paraId="778FCDCA" w14:textId="77777777" w:rsidR="004E39D2" w:rsidRDefault="00000000">
            <w:pPr>
              <w:numPr>
                <w:ilvl w:val="0"/>
                <w:numId w:val="3"/>
              </w:numPr>
              <w:autoSpaceDE w:val="0"/>
              <w:autoSpaceDN w:val="0"/>
              <w:adjustRightInd w:val="0"/>
              <w:spacing w:beforeLines="20" w:before="48"/>
              <w:ind w:left="284" w:hanging="284"/>
              <w:rPr>
                <w:rFonts w:ascii="华文楷体" w:eastAsia="华文楷体" w:hAnsi="华文楷体" w:hint="eastAsia"/>
                <w:b/>
                <w:sz w:val="22"/>
                <w:lang w:eastAsia="zh-CN"/>
              </w:rPr>
            </w:pPr>
            <w:r>
              <w:rPr>
                <w:rFonts w:ascii="华文楷体" w:eastAsia="华文楷体" w:hAnsi="华文楷体" w:hint="eastAsia"/>
                <w:b/>
                <w:sz w:val="22"/>
                <w:lang w:eastAsia="zh-CN"/>
              </w:rPr>
              <w:t>经营分析：</w:t>
            </w:r>
            <w:r>
              <w:rPr>
                <w:rFonts w:ascii="华文楷体" w:eastAsia="华文楷体" w:hAnsi="华文楷体" w:hint="eastAsia"/>
                <w:bCs/>
                <w:sz w:val="22"/>
                <w:lang w:val="en-US" w:eastAsia="zh-CN"/>
              </w:rPr>
              <w:t>协助</w:t>
            </w:r>
            <w:r>
              <w:rPr>
                <w:rFonts w:ascii="华文楷体" w:eastAsia="华文楷体" w:hAnsi="华文楷体" w:hint="eastAsia"/>
                <w:bCs/>
                <w:sz w:val="22"/>
                <w:lang w:eastAsia="zh-CN"/>
              </w:rPr>
              <w:t>完成月度经营分析报告编制，</w:t>
            </w:r>
            <w:r>
              <w:rPr>
                <w:rFonts w:ascii="华文楷体" w:eastAsia="华文楷体" w:hAnsi="华文楷体" w:hint="eastAsia"/>
                <w:bCs/>
                <w:sz w:val="22"/>
                <w:lang w:val="en-US" w:eastAsia="zh-CN"/>
              </w:rPr>
              <w:t>主要负责财务数据整合，精准定位关键财务指标波动因素</w:t>
            </w:r>
          </w:p>
        </w:tc>
      </w:tr>
      <w:tr w:rsidR="004E39D2" w14:paraId="7189BEEA" w14:textId="77777777">
        <w:trPr>
          <w:trHeight w:val="389"/>
        </w:trPr>
        <w:tc>
          <w:tcPr>
            <w:tcW w:w="10343" w:type="dxa"/>
            <w:gridSpan w:val="3"/>
          </w:tcPr>
          <w:p w14:paraId="645A26A7" w14:textId="77777777" w:rsidR="004E39D2" w:rsidRDefault="00000000">
            <w:pPr>
              <w:numPr>
                <w:ilvl w:val="0"/>
                <w:numId w:val="3"/>
              </w:numPr>
              <w:autoSpaceDE w:val="0"/>
              <w:autoSpaceDN w:val="0"/>
              <w:adjustRightInd w:val="0"/>
              <w:spacing w:beforeLines="20" w:before="48"/>
              <w:ind w:left="284" w:hanging="284"/>
              <w:rPr>
                <w:rFonts w:ascii="华文楷体" w:eastAsia="华文楷体" w:hAnsi="华文楷体" w:hint="eastAsia"/>
                <w:b/>
                <w:sz w:val="22"/>
                <w:lang w:eastAsia="zh-CN"/>
              </w:rPr>
            </w:pPr>
            <w:r>
              <w:rPr>
                <w:rFonts w:ascii="华文楷体" w:eastAsia="华文楷体" w:hAnsi="华文楷体" w:hint="eastAsia"/>
                <w:b/>
                <w:sz w:val="22"/>
                <w:lang w:eastAsia="zh-CN"/>
              </w:rPr>
              <w:t>全面预算管理：</w:t>
            </w:r>
            <w:r>
              <w:rPr>
                <w:rFonts w:ascii="华文楷体" w:eastAsia="华文楷体" w:hAnsi="华文楷体" w:hint="eastAsia"/>
                <w:bCs/>
                <w:sz w:val="22"/>
                <w:lang w:val="en-US" w:eastAsia="zh-CN"/>
              </w:rPr>
              <w:t>参与</w:t>
            </w:r>
            <w:r>
              <w:rPr>
                <w:rFonts w:ascii="华文楷体" w:eastAsia="华文楷体" w:hAnsi="华文楷体" w:hint="eastAsia"/>
                <w:bCs/>
                <w:sz w:val="22"/>
                <w:lang w:eastAsia="zh-CN"/>
              </w:rPr>
              <w:t>2024年度预算编制全流程，</w:t>
            </w:r>
            <w:r>
              <w:rPr>
                <w:rFonts w:ascii="华文楷体" w:eastAsia="华文楷体" w:hAnsi="华文楷体" w:hint="eastAsia"/>
                <w:bCs/>
                <w:sz w:val="22"/>
                <w:lang w:val="en-US" w:eastAsia="zh-CN"/>
              </w:rPr>
              <w:t>整理了2023年</w:t>
            </w:r>
            <w:r>
              <w:rPr>
                <w:rFonts w:ascii="华文楷体" w:eastAsia="华文楷体" w:hAnsi="华文楷体" w:hint="eastAsia"/>
                <w:bCs/>
                <w:sz w:val="22"/>
                <w:lang w:eastAsia="zh-CN"/>
              </w:rPr>
              <w:t>历史费用数据</w:t>
            </w:r>
            <w:r>
              <w:rPr>
                <w:rFonts w:ascii="华文楷体" w:eastAsia="华文楷体" w:hAnsi="华文楷体" w:hint="eastAsia"/>
                <w:bCs/>
                <w:sz w:val="22"/>
                <w:lang w:val="en-US" w:eastAsia="zh-CN"/>
              </w:rPr>
              <w:t>并编制了各部门</w:t>
            </w:r>
            <w:r>
              <w:rPr>
                <w:rFonts w:ascii="华文楷体" w:eastAsia="华文楷体" w:hAnsi="华文楷体" w:hint="eastAsia"/>
                <w:sz w:val="22"/>
                <w:szCs w:val="22"/>
                <w:lang w:eastAsia="zh-CN"/>
              </w:rPr>
              <w:t>预算收集表</w:t>
            </w:r>
          </w:p>
        </w:tc>
      </w:tr>
      <w:tr w:rsidR="004E39D2" w14:paraId="33FF2113" w14:textId="77777777">
        <w:trPr>
          <w:trHeight w:val="389"/>
        </w:trPr>
        <w:tc>
          <w:tcPr>
            <w:tcW w:w="10343" w:type="dxa"/>
            <w:gridSpan w:val="3"/>
          </w:tcPr>
          <w:p w14:paraId="4C6E0693" w14:textId="77777777" w:rsidR="004E39D2" w:rsidRDefault="00000000">
            <w:pPr>
              <w:numPr>
                <w:ilvl w:val="0"/>
                <w:numId w:val="3"/>
              </w:numPr>
              <w:autoSpaceDE w:val="0"/>
              <w:autoSpaceDN w:val="0"/>
              <w:adjustRightInd w:val="0"/>
              <w:spacing w:beforeLines="20" w:before="48"/>
              <w:ind w:left="284" w:hanging="284"/>
              <w:rPr>
                <w:rFonts w:ascii="华文楷体" w:eastAsia="华文楷体" w:hAnsi="华文楷体" w:hint="eastAsia"/>
                <w:b/>
                <w:sz w:val="22"/>
                <w:lang w:eastAsia="zh-CN"/>
              </w:rPr>
            </w:pPr>
            <w:r>
              <w:rPr>
                <w:rFonts w:ascii="华文楷体" w:eastAsia="华文楷体" w:hAnsi="华文楷体" w:hint="eastAsia"/>
                <w:b/>
                <w:sz w:val="22"/>
                <w:lang w:eastAsia="zh-CN"/>
              </w:rPr>
              <w:t>专项财务管理：</w:t>
            </w:r>
            <w:r>
              <w:rPr>
                <w:rFonts w:ascii="华文楷体" w:eastAsia="华文楷体" w:hAnsi="华文楷体" w:hint="eastAsia"/>
                <w:bCs/>
                <w:sz w:val="22"/>
                <w:lang w:eastAsia="zh-CN"/>
              </w:rPr>
              <w:t>参与费用审批SOP流程</w:t>
            </w:r>
            <w:r>
              <w:rPr>
                <w:rFonts w:ascii="华文楷体" w:eastAsia="华文楷体" w:hAnsi="华文楷体" w:hint="eastAsia"/>
                <w:bCs/>
                <w:sz w:val="22"/>
                <w:lang w:val="en-US" w:eastAsia="zh-CN"/>
              </w:rPr>
              <w:t>和</w:t>
            </w:r>
            <w:r>
              <w:rPr>
                <w:rFonts w:ascii="华文楷体" w:eastAsia="华文楷体" w:hAnsi="华文楷体" w:hint="eastAsia"/>
                <w:bCs/>
                <w:sz w:val="22"/>
                <w:lang w:eastAsia="zh-CN"/>
              </w:rPr>
              <w:t>费用</w:t>
            </w:r>
            <w:r>
              <w:rPr>
                <w:rFonts w:ascii="华文楷体" w:eastAsia="华文楷体" w:hAnsi="华文楷体" w:hint="eastAsia"/>
                <w:bCs/>
                <w:sz w:val="22"/>
                <w:lang w:val="en-US" w:eastAsia="zh-CN"/>
              </w:rPr>
              <w:t>报销流程</w:t>
            </w:r>
            <w:r>
              <w:rPr>
                <w:rFonts w:ascii="华文楷体" w:eastAsia="华文楷体" w:hAnsi="华文楷体" w:hint="eastAsia"/>
                <w:bCs/>
                <w:sz w:val="22"/>
                <w:lang w:eastAsia="zh-CN"/>
              </w:rPr>
              <w:t>；协调部门完成政府补助申报材料汇编，助力公司成功获取成都市高新区"科技型中小企业发展专项资金"100万元</w:t>
            </w:r>
          </w:p>
        </w:tc>
      </w:tr>
    </w:tbl>
    <w:p w14:paraId="5DA4B06A" w14:textId="77777777" w:rsidR="004E39D2" w:rsidRDefault="00000000">
      <w:pPr>
        <w:widowControl w:val="0"/>
        <w:pBdr>
          <w:bottom w:val="single" w:sz="6" w:space="1" w:color="auto"/>
        </w:pBdr>
        <w:autoSpaceDE w:val="0"/>
        <w:autoSpaceDN w:val="0"/>
        <w:adjustRightInd w:val="0"/>
        <w:spacing w:beforeLines="40" w:before="96"/>
        <w:jc w:val="both"/>
        <w:rPr>
          <w:rFonts w:ascii="华文楷体" w:eastAsia="华文楷体" w:hAnsi="华文楷体" w:hint="eastAsia"/>
          <w:b/>
          <w:smallCaps/>
          <w:szCs w:val="30"/>
          <w:lang w:eastAsia="zh-CN"/>
        </w:rPr>
      </w:pPr>
      <w:r>
        <w:rPr>
          <w:rFonts w:ascii="华文楷体" w:eastAsia="华文楷体" w:hAnsi="华文楷体" w:hint="eastAsia"/>
          <w:b/>
          <w:smallCaps/>
          <w:szCs w:val="30"/>
          <w:lang w:val="en-US" w:eastAsia="zh-CN"/>
        </w:rPr>
        <w:t>科研与项目</w:t>
      </w:r>
      <w:r>
        <w:rPr>
          <w:rFonts w:ascii="华文楷体" w:eastAsia="华文楷体" w:hAnsi="华文楷体" w:hint="eastAsia"/>
          <w:b/>
          <w:smallCaps/>
          <w:szCs w:val="30"/>
          <w:lang w:eastAsia="zh-CN"/>
        </w:rPr>
        <w:t>经历</w:t>
      </w:r>
    </w:p>
    <w:tbl>
      <w:tblPr>
        <w:tblStyle w:val="af"/>
        <w:tblW w:w="10343" w:type="dxa"/>
        <w:tblLook w:val="04A0" w:firstRow="1" w:lastRow="0" w:firstColumn="1" w:lastColumn="0" w:noHBand="0" w:noVBand="1"/>
      </w:tblPr>
      <w:tblGrid>
        <w:gridCol w:w="5795"/>
        <w:gridCol w:w="1571"/>
        <w:gridCol w:w="1226"/>
        <w:gridCol w:w="1751"/>
      </w:tblGrid>
      <w:tr w:rsidR="004E39D2" w14:paraId="38E4CD23" w14:textId="77777777">
        <w:tc>
          <w:tcPr>
            <w:tcW w:w="7366" w:type="dxa"/>
            <w:gridSpan w:val="2"/>
          </w:tcPr>
          <w:p w14:paraId="1210BC89" w14:textId="77777777" w:rsidR="004E39D2" w:rsidRDefault="00000000">
            <w:pPr>
              <w:autoSpaceDE w:val="0"/>
              <w:autoSpaceDN w:val="0"/>
              <w:adjustRightInd w:val="0"/>
              <w:spacing w:beforeLines="30" w:before="72"/>
              <w:jc w:val="left"/>
              <w:rPr>
                <w:rFonts w:ascii="华文楷体" w:eastAsia="华文楷体" w:hAnsi="华文楷体" w:hint="eastAsia"/>
                <w:b/>
                <w:sz w:val="22"/>
                <w:lang w:eastAsia="zh-CN"/>
              </w:rPr>
            </w:pPr>
            <w:r>
              <w:rPr>
                <w:rFonts w:ascii="华文楷体" w:eastAsia="华文楷体" w:hAnsi="华文楷体"/>
                <w:b/>
                <w:sz w:val="22"/>
                <w:lang w:eastAsia="zh-CN"/>
              </w:rPr>
              <w:t>《企业人工智能水平对非效率投资的影响——基于财务决策的视角》</w:t>
            </w:r>
          </w:p>
        </w:tc>
        <w:tc>
          <w:tcPr>
            <w:tcW w:w="1226" w:type="dxa"/>
          </w:tcPr>
          <w:p w14:paraId="271D8812" w14:textId="77777777" w:rsidR="004E39D2" w:rsidRDefault="00000000">
            <w:pPr>
              <w:autoSpaceDE w:val="0"/>
              <w:autoSpaceDN w:val="0"/>
              <w:adjustRightInd w:val="0"/>
              <w:spacing w:beforeLines="30" w:before="72"/>
              <w:jc w:val="center"/>
              <w:rPr>
                <w:rFonts w:ascii="华文楷体" w:eastAsia="华文楷体" w:hAnsi="华文楷体" w:hint="eastAsia"/>
                <w:b/>
                <w:sz w:val="22"/>
                <w:lang w:eastAsia="zh-CN"/>
              </w:rPr>
            </w:pPr>
            <w:r>
              <w:rPr>
                <w:rFonts w:ascii="华文楷体" w:eastAsia="华文楷体" w:hAnsi="华文楷体"/>
                <w:b/>
                <w:sz w:val="22"/>
                <w:lang w:eastAsia="zh-CN"/>
              </w:rPr>
              <w:t>第二作者</w:t>
            </w:r>
          </w:p>
        </w:tc>
        <w:tc>
          <w:tcPr>
            <w:tcW w:w="1751" w:type="dxa"/>
          </w:tcPr>
          <w:p w14:paraId="32F9EC23" w14:textId="77777777" w:rsidR="004E39D2" w:rsidRDefault="00000000">
            <w:pPr>
              <w:autoSpaceDE w:val="0"/>
              <w:autoSpaceDN w:val="0"/>
              <w:adjustRightInd w:val="0"/>
              <w:spacing w:beforeLines="30" w:before="72"/>
              <w:rPr>
                <w:rFonts w:ascii="华文楷体" w:eastAsia="华文楷体" w:hAnsi="华文楷体" w:hint="eastAsia"/>
                <w:b/>
                <w:sz w:val="22"/>
                <w:lang w:val="en-US" w:eastAsia="zh-CN"/>
              </w:rPr>
            </w:pPr>
            <w:r>
              <w:rPr>
                <w:rFonts w:ascii="华文楷体" w:eastAsia="华文楷体" w:hAnsi="华文楷体" w:hint="eastAsia"/>
                <w:b/>
                <w:sz w:val="22"/>
                <w:lang w:val="en-US" w:eastAsia="zh-CN"/>
              </w:rPr>
              <w:t>2025.01-2025.05</w:t>
            </w:r>
          </w:p>
        </w:tc>
      </w:tr>
      <w:tr w:rsidR="004E39D2" w14:paraId="29235331" w14:textId="77777777">
        <w:tc>
          <w:tcPr>
            <w:tcW w:w="10343" w:type="dxa"/>
            <w:gridSpan w:val="4"/>
          </w:tcPr>
          <w:p w14:paraId="3C9E8A10" w14:textId="77777777" w:rsidR="004E39D2" w:rsidRDefault="00000000">
            <w:pPr>
              <w:numPr>
                <w:ilvl w:val="0"/>
                <w:numId w:val="3"/>
              </w:numPr>
              <w:autoSpaceDE w:val="0"/>
              <w:autoSpaceDN w:val="0"/>
              <w:adjustRightInd w:val="0"/>
              <w:spacing w:beforeLines="20" w:before="48"/>
              <w:ind w:left="284" w:hanging="284"/>
              <w:rPr>
                <w:rFonts w:ascii="华文楷体" w:eastAsia="华文楷体" w:hAnsi="华文楷体" w:hint="eastAsia"/>
                <w:b/>
                <w:sz w:val="22"/>
                <w:lang w:val="en-US" w:eastAsia="zh-CN"/>
              </w:rPr>
            </w:pPr>
            <w:r>
              <w:rPr>
                <w:rFonts w:ascii="华文楷体" w:eastAsia="华文楷体" w:hAnsi="华文楷体"/>
                <w:sz w:val="22"/>
                <w:szCs w:val="22"/>
                <w:lang w:eastAsia="zh-CN"/>
              </w:rPr>
              <w:t>该课题为张戡教授研究项目</w:t>
            </w:r>
            <w:r>
              <w:rPr>
                <w:rFonts w:ascii="华文楷体" w:eastAsia="华文楷体" w:hAnsi="华文楷体" w:hint="eastAsia"/>
                <w:sz w:val="22"/>
                <w:szCs w:val="22"/>
                <w:lang w:eastAsia="zh-CN"/>
              </w:rPr>
              <w:t>，</w:t>
            </w:r>
            <w:r>
              <w:rPr>
                <w:rFonts w:ascii="华文楷体" w:eastAsia="华文楷体" w:hAnsi="华文楷体"/>
                <w:sz w:val="22"/>
                <w:szCs w:val="22"/>
                <w:lang w:eastAsia="zh-CN"/>
              </w:rPr>
              <w:t>论文被《财务管理研究》录用， 2025年7月</w:t>
            </w:r>
            <w:r>
              <w:rPr>
                <w:rFonts w:ascii="华文楷体" w:eastAsia="华文楷体" w:hAnsi="华文楷体" w:hint="eastAsia"/>
                <w:sz w:val="22"/>
                <w:szCs w:val="22"/>
                <w:lang w:val="en-US" w:eastAsia="zh-CN"/>
              </w:rPr>
              <w:t>见</w:t>
            </w:r>
            <w:r>
              <w:rPr>
                <w:rFonts w:ascii="华文楷体" w:eastAsia="华文楷体" w:hAnsi="华文楷体"/>
                <w:sz w:val="22"/>
                <w:szCs w:val="22"/>
                <w:lang w:eastAsia="zh-CN"/>
              </w:rPr>
              <w:t xml:space="preserve">刊 </w:t>
            </w:r>
          </w:p>
        </w:tc>
      </w:tr>
      <w:tr w:rsidR="004E39D2" w14:paraId="3D37AF19" w14:textId="77777777">
        <w:tc>
          <w:tcPr>
            <w:tcW w:w="10343" w:type="dxa"/>
            <w:gridSpan w:val="4"/>
          </w:tcPr>
          <w:p w14:paraId="4B3B4E4D" w14:textId="77777777" w:rsidR="004E39D2" w:rsidRDefault="00000000">
            <w:pPr>
              <w:numPr>
                <w:ilvl w:val="0"/>
                <w:numId w:val="3"/>
              </w:numPr>
              <w:autoSpaceDE w:val="0"/>
              <w:autoSpaceDN w:val="0"/>
              <w:adjustRightInd w:val="0"/>
              <w:spacing w:beforeLines="20" w:before="48"/>
              <w:ind w:left="284" w:hanging="284"/>
              <w:rPr>
                <w:rFonts w:ascii="华文楷体" w:eastAsia="华文楷体" w:hAnsi="华文楷体" w:hint="eastAsia"/>
                <w:sz w:val="22"/>
                <w:szCs w:val="22"/>
                <w:lang w:eastAsia="zh-CN"/>
              </w:rPr>
            </w:pPr>
            <w:r>
              <w:rPr>
                <w:rFonts w:ascii="华文楷体" w:eastAsia="华文楷体" w:hAnsi="华文楷体"/>
                <w:sz w:val="22"/>
                <w:szCs w:val="22"/>
                <w:lang w:eastAsia="zh-CN"/>
              </w:rPr>
              <w:t>基于中国A股上市公司数据，实证检验</w:t>
            </w:r>
            <w:r>
              <w:rPr>
                <w:rFonts w:ascii="华文楷体" w:eastAsia="华文楷体" w:hAnsi="华文楷体" w:hint="eastAsia"/>
                <w:sz w:val="22"/>
                <w:szCs w:val="22"/>
                <w:lang w:val="en-US" w:eastAsia="zh-CN"/>
              </w:rPr>
              <w:t>发现</w:t>
            </w:r>
            <w:r>
              <w:rPr>
                <w:rFonts w:ascii="华文楷体" w:eastAsia="华文楷体" w:hAnsi="华文楷体"/>
                <w:sz w:val="22"/>
                <w:szCs w:val="22"/>
                <w:lang w:eastAsia="zh-CN"/>
              </w:rPr>
              <w:t>人工智能水平的提升能够显著减少企业的非效率投资</w:t>
            </w:r>
          </w:p>
        </w:tc>
      </w:tr>
      <w:tr w:rsidR="004E39D2" w14:paraId="239EDAD3" w14:textId="77777777">
        <w:tc>
          <w:tcPr>
            <w:tcW w:w="10343" w:type="dxa"/>
            <w:gridSpan w:val="4"/>
          </w:tcPr>
          <w:p w14:paraId="1C4524BB" w14:textId="77777777" w:rsidR="004E39D2" w:rsidRDefault="00000000">
            <w:pPr>
              <w:numPr>
                <w:ilvl w:val="0"/>
                <w:numId w:val="3"/>
              </w:numPr>
              <w:autoSpaceDE w:val="0"/>
              <w:autoSpaceDN w:val="0"/>
              <w:adjustRightInd w:val="0"/>
              <w:spacing w:beforeLines="20" w:before="48"/>
              <w:ind w:left="284" w:hanging="284"/>
              <w:rPr>
                <w:rFonts w:ascii="华文楷体" w:eastAsia="华文楷体" w:hAnsi="华文楷体" w:hint="eastAsia"/>
                <w:sz w:val="22"/>
                <w:szCs w:val="22"/>
                <w:lang w:eastAsia="zh-CN"/>
              </w:rPr>
            </w:pPr>
            <w:r>
              <w:rPr>
                <w:rFonts w:ascii="华文楷体" w:eastAsia="华文楷体" w:hAnsi="华文楷体" w:hint="eastAsia"/>
                <w:sz w:val="22"/>
                <w:szCs w:val="22"/>
                <w:lang w:val="en-US" w:eastAsia="zh-CN"/>
              </w:rPr>
              <w:t>主要负责机制检验部分（企业通过轻资产转型和无形资产的数智化应用这两条路径优化财务决策，进而 减少非效率投资）和异质性分析部分（从产权性质、非效率投资方向、是否属于高科技企业三个维度）</w:t>
            </w:r>
          </w:p>
        </w:tc>
      </w:tr>
      <w:tr w:rsidR="004E39D2" w14:paraId="75B5D78B" w14:textId="77777777">
        <w:tc>
          <w:tcPr>
            <w:tcW w:w="7366" w:type="dxa"/>
            <w:gridSpan w:val="2"/>
          </w:tcPr>
          <w:p w14:paraId="203D8FAB" w14:textId="77777777" w:rsidR="004E39D2" w:rsidRDefault="00000000">
            <w:pPr>
              <w:autoSpaceDE w:val="0"/>
              <w:autoSpaceDN w:val="0"/>
              <w:adjustRightInd w:val="0"/>
              <w:spacing w:beforeLines="20" w:before="48"/>
              <w:rPr>
                <w:rFonts w:ascii="华文楷体" w:eastAsia="华文楷体" w:hAnsi="华文楷体" w:hint="eastAsia"/>
                <w:sz w:val="22"/>
                <w:szCs w:val="22"/>
                <w:lang w:val="en-US" w:eastAsia="zh-CN"/>
              </w:rPr>
            </w:pPr>
            <w:r>
              <w:rPr>
                <w:rFonts w:ascii="华文楷体" w:eastAsia="华文楷体" w:hAnsi="华文楷体"/>
                <w:b/>
                <w:sz w:val="22"/>
                <w:lang w:eastAsia="zh-CN"/>
              </w:rPr>
              <w:t>“正大杯”第十五届全国大学生市场调查与分析大</w:t>
            </w:r>
            <w:r>
              <w:rPr>
                <w:rFonts w:ascii="华文楷体" w:eastAsia="华文楷体" w:hAnsi="华文楷体" w:hint="eastAsia"/>
                <w:b/>
                <w:sz w:val="22"/>
                <w:lang w:val="en-US" w:eastAsia="zh-CN"/>
              </w:rPr>
              <w:t>赛</w:t>
            </w:r>
            <w:r>
              <w:rPr>
                <w:rFonts w:ascii="华文楷体" w:eastAsia="华文楷体" w:hAnsi="华文楷体"/>
                <w:b/>
                <w:sz w:val="22"/>
                <w:lang w:eastAsia="zh-CN"/>
              </w:rPr>
              <w:t>研究生</w:t>
            </w:r>
            <w:r>
              <w:rPr>
                <w:rFonts w:ascii="华文楷体" w:eastAsia="华文楷体" w:hAnsi="华文楷体" w:hint="eastAsia"/>
                <w:b/>
                <w:sz w:val="22"/>
                <w:lang w:val="en-US" w:eastAsia="zh-CN"/>
              </w:rPr>
              <w:t>组国家三等奖</w:t>
            </w:r>
          </w:p>
        </w:tc>
        <w:tc>
          <w:tcPr>
            <w:tcW w:w="1226" w:type="dxa"/>
          </w:tcPr>
          <w:p w14:paraId="74BD63BE" w14:textId="77777777" w:rsidR="004E39D2" w:rsidRDefault="00000000">
            <w:pPr>
              <w:autoSpaceDE w:val="0"/>
              <w:autoSpaceDN w:val="0"/>
              <w:adjustRightInd w:val="0"/>
              <w:spacing w:beforeLines="20" w:before="48"/>
              <w:jc w:val="center"/>
              <w:rPr>
                <w:rFonts w:ascii="华文楷体" w:eastAsia="华文楷体" w:hAnsi="华文楷体" w:hint="eastAsia"/>
                <w:sz w:val="22"/>
                <w:szCs w:val="22"/>
                <w:lang w:val="en-US" w:eastAsia="zh-CN"/>
              </w:rPr>
            </w:pPr>
            <w:r>
              <w:rPr>
                <w:rFonts w:ascii="华文楷体" w:eastAsia="华文楷体" w:hAnsi="华文楷体" w:hint="eastAsia"/>
                <w:b/>
                <w:sz w:val="22"/>
                <w:lang w:val="en-US" w:eastAsia="zh-CN"/>
              </w:rPr>
              <w:t>核心成员</w:t>
            </w:r>
          </w:p>
        </w:tc>
        <w:tc>
          <w:tcPr>
            <w:tcW w:w="1751" w:type="dxa"/>
          </w:tcPr>
          <w:p w14:paraId="20A85AF3" w14:textId="77777777" w:rsidR="004E39D2" w:rsidRDefault="00000000">
            <w:pPr>
              <w:autoSpaceDE w:val="0"/>
              <w:autoSpaceDN w:val="0"/>
              <w:adjustRightInd w:val="0"/>
              <w:spacing w:beforeLines="20" w:before="48"/>
              <w:jc w:val="center"/>
              <w:rPr>
                <w:rFonts w:ascii="华文楷体" w:eastAsia="华文楷体" w:hAnsi="华文楷体" w:hint="eastAsia"/>
                <w:sz w:val="22"/>
                <w:szCs w:val="22"/>
                <w:lang w:val="en-US" w:eastAsia="zh-CN"/>
              </w:rPr>
            </w:pPr>
            <w:r>
              <w:rPr>
                <w:rFonts w:ascii="华文楷体" w:eastAsia="华文楷体" w:hAnsi="华文楷体" w:hint="eastAsia"/>
                <w:b/>
                <w:sz w:val="22"/>
                <w:lang w:val="en-US" w:eastAsia="zh-CN"/>
              </w:rPr>
              <w:t>2024.12-2025.05</w:t>
            </w:r>
          </w:p>
        </w:tc>
      </w:tr>
      <w:tr w:rsidR="004E39D2" w14:paraId="0E902D31" w14:textId="77777777">
        <w:tc>
          <w:tcPr>
            <w:tcW w:w="10343" w:type="dxa"/>
            <w:gridSpan w:val="4"/>
          </w:tcPr>
          <w:p w14:paraId="5C1AE355" w14:textId="77777777" w:rsidR="004E39D2" w:rsidRDefault="00000000">
            <w:pPr>
              <w:numPr>
                <w:ilvl w:val="0"/>
                <w:numId w:val="3"/>
              </w:numPr>
              <w:autoSpaceDE w:val="0"/>
              <w:autoSpaceDN w:val="0"/>
              <w:adjustRightInd w:val="0"/>
              <w:spacing w:beforeLines="20" w:before="48"/>
              <w:ind w:left="284" w:hanging="284"/>
              <w:rPr>
                <w:rFonts w:ascii="华文楷体" w:eastAsia="华文楷体" w:hAnsi="华文楷体" w:hint="eastAsia"/>
                <w:sz w:val="22"/>
                <w:szCs w:val="22"/>
                <w:lang w:val="en-US" w:eastAsia="zh-CN"/>
              </w:rPr>
            </w:pPr>
            <w:r>
              <w:rPr>
                <w:rFonts w:ascii="华文楷体" w:eastAsia="华文楷体" w:hAnsi="华文楷体" w:hint="eastAsia"/>
                <w:sz w:val="22"/>
                <w:szCs w:val="22"/>
                <w:lang w:val="en-US" w:eastAsia="zh-CN"/>
              </w:rPr>
              <w:t>参赛作品《“茉莉茶香”续千年非遗韵》通过对一千余份有效调查问卷进行数据分析，得出了“非遗转化价值不足”、“线上营销是主要推手”等结论，从政府、企业、茶农三方面提出改善建议</w:t>
            </w:r>
          </w:p>
        </w:tc>
      </w:tr>
      <w:tr w:rsidR="004E39D2" w14:paraId="5EDDE46B" w14:textId="77777777">
        <w:tc>
          <w:tcPr>
            <w:tcW w:w="10343" w:type="dxa"/>
            <w:gridSpan w:val="4"/>
          </w:tcPr>
          <w:p w14:paraId="4C226733" w14:textId="77777777" w:rsidR="004E39D2" w:rsidRDefault="00000000">
            <w:pPr>
              <w:numPr>
                <w:ilvl w:val="0"/>
                <w:numId w:val="3"/>
              </w:numPr>
              <w:autoSpaceDE w:val="0"/>
              <w:autoSpaceDN w:val="0"/>
              <w:adjustRightInd w:val="0"/>
              <w:spacing w:beforeLines="20" w:before="48"/>
              <w:ind w:left="284" w:hanging="284"/>
              <w:rPr>
                <w:rFonts w:ascii="华文楷体" w:eastAsia="华文楷体" w:hAnsi="华文楷体" w:hint="eastAsia"/>
                <w:sz w:val="22"/>
                <w:szCs w:val="22"/>
                <w:lang w:val="en-US" w:eastAsia="zh-CN"/>
              </w:rPr>
            </w:pPr>
            <w:r>
              <w:rPr>
                <w:rFonts w:ascii="华文楷体" w:eastAsia="华文楷体" w:hAnsi="华文楷体" w:hint="eastAsia"/>
                <w:sz w:val="22"/>
                <w:szCs w:val="22"/>
                <w:lang w:val="en-US" w:eastAsia="zh-CN"/>
              </w:rPr>
              <w:t>负责市场分析和消费者行为探究部分，得出福州茉莉花茶市场前景良好和产品品质是核心竞争力等结论</w:t>
            </w:r>
          </w:p>
        </w:tc>
      </w:tr>
      <w:tr w:rsidR="004E39D2" w14:paraId="2C55E0E5" w14:textId="77777777">
        <w:tc>
          <w:tcPr>
            <w:tcW w:w="10343" w:type="dxa"/>
            <w:gridSpan w:val="4"/>
          </w:tcPr>
          <w:p w14:paraId="0190D55C" w14:textId="77777777" w:rsidR="004E39D2" w:rsidRDefault="00000000">
            <w:pPr>
              <w:numPr>
                <w:ilvl w:val="0"/>
                <w:numId w:val="3"/>
              </w:numPr>
              <w:autoSpaceDE w:val="0"/>
              <w:autoSpaceDN w:val="0"/>
              <w:adjustRightInd w:val="0"/>
              <w:spacing w:beforeLines="20" w:before="48"/>
              <w:ind w:left="284" w:hanging="284"/>
              <w:rPr>
                <w:rFonts w:ascii="华文楷体" w:eastAsia="华文楷体" w:hAnsi="华文楷体" w:hint="eastAsia"/>
                <w:sz w:val="22"/>
                <w:szCs w:val="22"/>
                <w:lang w:val="en-US" w:eastAsia="zh-CN"/>
              </w:rPr>
            </w:pPr>
            <w:r>
              <w:rPr>
                <w:rFonts w:ascii="华文楷体" w:eastAsia="华文楷体" w:hAnsi="华文楷体" w:hint="eastAsia"/>
                <w:sz w:val="22"/>
                <w:szCs w:val="22"/>
                <w:lang w:val="en-US" w:eastAsia="zh-CN"/>
              </w:rPr>
              <w:t>负责报告撰写、数据分析，并代表团队完成校级至省级项目成果答辩与展示</w:t>
            </w:r>
          </w:p>
        </w:tc>
      </w:tr>
      <w:tr w:rsidR="004E39D2" w14:paraId="46D47641" w14:textId="77777777">
        <w:tc>
          <w:tcPr>
            <w:tcW w:w="5795" w:type="dxa"/>
          </w:tcPr>
          <w:p w14:paraId="75A18D0D" w14:textId="77777777" w:rsidR="004E39D2" w:rsidRDefault="00000000">
            <w:pPr>
              <w:autoSpaceDE w:val="0"/>
              <w:autoSpaceDN w:val="0"/>
              <w:adjustRightInd w:val="0"/>
              <w:spacing w:beforeLines="20" w:before="48"/>
              <w:rPr>
                <w:rFonts w:ascii="华文楷体" w:eastAsia="华文楷体" w:hAnsi="华文楷体" w:hint="eastAsia"/>
                <w:b/>
                <w:sz w:val="22"/>
                <w:lang w:eastAsia="zh-CN"/>
              </w:rPr>
            </w:pPr>
            <w:r>
              <w:rPr>
                <w:rFonts w:ascii="华文楷体" w:eastAsia="华文楷体" w:hAnsi="华文楷体"/>
                <w:b/>
                <w:sz w:val="22"/>
                <w:lang w:eastAsia="zh-CN"/>
              </w:rPr>
              <w:t>厦门大学经济学科WiserClub</w:t>
            </w:r>
            <w:r>
              <w:rPr>
                <w:rFonts w:ascii="华文楷体" w:eastAsia="华文楷体" w:hAnsi="华文楷体" w:hint="eastAsia"/>
                <w:b/>
                <w:sz w:val="22"/>
                <w:lang w:val="en-US" w:eastAsia="zh-CN"/>
              </w:rPr>
              <w:t>量化金融</w:t>
            </w:r>
            <w:r>
              <w:rPr>
                <w:rFonts w:ascii="华文楷体" w:eastAsia="华文楷体" w:hAnsi="华文楷体"/>
                <w:b/>
                <w:sz w:val="22"/>
                <w:lang w:eastAsia="zh-CN"/>
              </w:rPr>
              <w:t>组</w:t>
            </w:r>
          </w:p>
        </w:tc>
        <w:tc>
          <w:tcPr>
            <w:tcW w:w="2797" w:type="dxa"/>
            <w:gridSpan w:val="2"/>
          </w:tcPr>
          <w:p w14:paraId="51AD2B96" w14:textId="77777777" w:rsidR="004E39D2" w:rsidRDefault="00000000">
            <w:pPr>
              <w:autoSpaceDE w:val="0"/>
              <w:autoSpaceDN w:val="0"/>
              <w:adjustRightInd w:val="0"/>
              <w:spacing w:beforeLines="20" w:before="48"/>
              <w:jc w:val="center"/>
              <w:rPr>
                <w:rFonts w:ascii="华文楷体" w:eastAsia="华文楷体" w:hAnsi="华文楷体" w:hint="eastAsia"/>
                <w:b/>
                <w:sz w:val="22"/>
                <w:lang w:val="en-US" w:eastAsia="zh-CN"/>
              </w:rPr>
            </w:pPr>
            <w:r>
              <w:rPr>
                <w:rFonts w:ascii="华文楷体" w:eastAsia="华文楷体" w:hAnsi="华文楷体" w:hint="eastAsia"/>
                <w:b/>
                <w:sz w:val="22"/>
                <w:lang w:val="en-US" w:eastAsia="zh-CN"/>
              </w:rPr>
              <w:t>核心成员</w:t>
            </w:r>
          </w:p>
        </w:tc>
        <w:tc>
          <w:tcPr>
            <w:tcW w:w="1751" w:type="dxa"/>
          </w:tcPr>
          <w:p w14:paraId="7B6E0576" w14:textId="77777777" w:rsidR="004E39D2" w:rsidRDefault="00000000">
            <w:pPr>
              <w:autoSpaceDE w:val="0"/>
              <w:autoSpaceDN w:val="0"/>
              <w:adjustRightInd w:val="0"/>
              <w:spacing w:beforeLines="20" w:before="48"/>
              <w:jc w:val="center"/>
              <w:rPr>
                <w:rFonts w:ascii="华文楷体" w:eastAsia="华文楷体" w:hAnsi="华文楷体" w:hint="eastAsia"/>
                <w:b/>
                <w:sz w:val="22"/>
                <w:lang w:val="en-US" w:eastAsia="zh-CN"/>
              </w:rPr>
            </w:pPr>
            <w:r>
              <w:rPr>
                <w:rFonts w:ascii="华文楷体" w:eastAsia="华文楷体" w:hAnsi="华文楷体" w:hint="eastAsia"/>
                <w:b/>
                <w:sz w:val="22"/>
                <w:lang w:val="en-US" w:eastAsia="zh-CN"/>
              </w:rPr>
              <w:t>2024.09-2025.09</w:t>
            </w:r>
          </w:p>
        </w:tc>
      </w:tr>
      <w:tr w:rsidR="004E39D2" w14:paraId="4A49E60E" w14:textId="77777777">
        <w:tc>
          <w:tcPr>
            <w:tcW w:w="5795" w:type="dxa"/>
          </w:tcPr>
          <w:p w14:paraId="5FC97527" w14:textId="77777777" w:rsidR="004E39D2" w:rsidRDefault="004E39D2">
            <w:pPr>
              <w:autoSpaceDE w:val="0"/>
              <w:autoSpaceDN w:val="0"/>
              <w:adjustRightInd w:val="0"/>
              <w:spacing w:beforeLines="20" w:before="48"/>
              <w:rPr>
                <w:rFonts w:ascii="华文楷体" w:eastAsia="华文楷体" w:hAnsi="华文楷体" w:hint="eastAsia"/>
                <w:b/>
                <w:sz w:val="22"/>
                <w:lang w:eastAsia="zh-CN"/>
              </w:rPr>
            </w:pPr>
          </w:p>
        </w:tc>
        <w:tc>
          <w:tcPr>
            <w:tcW w:w="2797" w:type="dxa"/>
            <w:gridSpan w:val="2"/>
          </w:tcPr>
          <w:p w14:paraId="4EA03554" w14:textId="77777777" w:rsidR="004E39D2" w:rsidRDefault="00000000">
            <w:pPr>
              <w:autoSpaceDE w:val="0"/>
              <w:autoSpaceDN w:val="0"/>
              <w:adjustRightInd w:val="0"/>
              <w:spacing w:beforeLines="20" w:before="48"/>
              <w:jc w:val="center"/>
              <w:rPr>
                <w:rFonts w:ascii="华文楷体" w:eastAsia="华文楷体" w:hAnsi="华文楷体" w:hint="eastAsia"/>
                <w:b/>
                <w:sz w:val="22"/>
                <w:lang w:val="en-US" w:eastAsia="zh-CN"/>
              </w:rPr>
            </w:pPr>
            <w:r>
              <w:rPr>
                <w:rFonts w:ascii="华文楷体" w:eastAsia="华文楷体" w:hAnsi="华文楷体" w:hint="eastAsia"/>
                <w:b/>
                <w:sz w:val="22"/>
                <w:lang w:val="en-US" w:eastAsia="zh-CN"/>
              </w:rPr>
              <w:t>部长</w:t>
            </w:r>
          </w:p>
        </w:tc>
        <w:tc>
          <w:tcPr>
            <w:tcW w:w="1751" w:type="dxa"/>
          </w:tcPr>
          <w:p w14:paraId="732AC163" w14:textId="77777777" w:rsidR="004E39D2" w:rsidRDefault="00000000">
            <w:pPr>
              <w:autoSpaceDE w:val="0"/>
              <w:autoSpaceDN w:val="0"/>
              <w:adjustRightInd w:val="0"/>
              <w:spacing w:beforeLines="20" w:before="48"/>
              <w:jc w:val="center"/>
              <w:rPr>
                <w:rFonts w:ascii="华文楷体" w:eastAsia="华文楷体" w:hAnsi="华文楷体" w:hint="eastAsia"/>
                <w:b/>
                <w:sz w:val="22"/>
                <w:lang w:val="en-US" w:eastAsia="zh-CN"/>
              </w:rPr>
            </w:pPr>
            <w:r>
              <w:rPr>
                <w:rFonts w:ascii="华文楷体" w:eastAsia="华文楷体" w:hAnsi="华文楷体" w:hint="eastAsia"/>
                <w:b/>
                <w:sz w:val="22"/>
                <w:lang w:val="en-US" w:eastAsia="zh-CN"/>
              </w:rPr>
              <w:t>2025.09-2026.09</w:t>
            </w:r>
          </w:p>
        </w:tc>
      </w:tr>
      <w:tr w:rsidR="004E39D2" w14:paraId="245DD5C6" w14:textId="77777777">
        <w:tc>
          <w:tcPr>
            <w:tcW w:w="10343" w:type="dxa"/>
            <w:gridSpan w:val="4"/>
          </w:tcPr>
          <w:p w14:paraId="100B80EE" w14:textId="77777777" w:rsidR="004E39D2" w:rsidRDefault="00000000">
            <w:pPr>
              <w:numPr>
                <w:ilvl w:val="0"/>
                <w:numId w:val="3"/>
              </w:numPr>
              <w:autoSpaceDE w:val="0"/>
              <w:autoSpaceDN w:val="0"/>
              <w:adjustRightInd w:val="0"/>
              <w:spacing w:beforeLines="20" w:before="48"/>
              <w:ind w:left="284" w:hanging="284"/>
              <w:rPr>
                <w:rFonts w:ascii="华文楷体" w:eastAsia="华文楷体" w:hAnsi="华文楷体" w:hint="eastAsia"/>
                <w:b/>
                <w:sz w:val="22"/>
                <w:lang w:val="en-US" w:eastAsia="zh-CN"/>
              </w:rPr>
            </w:pPr>
            <w:r>
              <w:rPr>
                <w:rFonts w:ascii="华文楷体" w:eastAsia="华文楷体" w:hAnsi="华文楷体"/>
                <w:sz w:val="22"/>
                <w:szCs w:val="22"/>
                <w:lang w:eastAsia="zh-CN"/>
              </w:rPr>
              <w:t>构建了以沪深300成分股为样本的</w:t>
            </w:r>
            <w:r>
              <w:rPr>
                <w:rFonts w:ascii="华文楷体" w:eastAsia="华文楷体" w:hAnsi="华文楷体"/>
                <w:b/>
                <w:bCs/>
                <w:sz w:val="22"/>
                <w:szCs w:val="22"/>
                <w:lang w:eastAsia="zh-CN"/>
              </w:rPr>
              <w:t>多因子量化投资策略</w:t>
            </w:r>
            <w:r>
              <w:rPr>
                <w:rFonts w:ascii="华文楷体" w:eastAsia="华文楷体" w:hAnsi="华文楷体"/>
                <w:sz w:val="22"/>
                <w:szCs w:val="22"/>
                <w:lang w:eastAsia="zh-CN"/>
              </w:rPr>
              <w:t>：通过ICIR比率从六大类共26个因子中筛</w:t>
            </w:r>
            <w:r>
              <w:rPr>
                <w:rFonts w:ascii="华文楷体" w:eastAsia="华文楷体" w:hAnsi="华文楷体" w:hint="eastAsia"/>
                <w:sz w:val="22"/>
                <w:szCs w:val="22"/>
                <w:lang w:val="en-US" w:eastAsia="zh-CN"/>
              </w:rPr>
              <w:t>选</w:t>
            </w:r>
            <w:r>
              <w:rPr>
                <w:rFonts w:ascii="华文楷体" w:eastAsia="华文楷体" w:hAnsi="华文楷体"/>
                <w:sz w:val="22"/>
                <w:szCs w:val="22"/>
                <w:lang w:eastAsia="zh-CN"/>
              </w:rPr>
              <w:t>出</w:t>
            </w:r>
            <w:r>
              <w:rPr>
                <w:rFonts w:ascii="华文楷体" w:eastAsia="华文楷体" w:hAnsi="华文楷体" w:hint="eastAsia"/>
                <w:sz w:val="22"/>
                <w:szCs w:val="22"/>
                <w:lang w:val="en-US" w:eastAsia="zh-CN"/>
              </w:rPr>
              <w:t>市盈率、换手率、账面市值比等</w:t>
            </w:r>
            <w:r>
              <w:rPr>
                <w:rFonts w:ascii="华文楷体" w:eastAsia="华文楷体" w:hAnsi="华文楷体"/>
                <w:sz w:val="22"/>
                <w:szCs w:val="22"/>
                <w:lang w:eastAsia="zh-CN"/>
              </w:rPr>
              <w:t>9个优质因子进行策略的构建，策略</w:t>
            </w:r>
            <w:r>
              <w:rPr>
                <w:rFonts w:ascii="华文楷体" w:eastAsia="华文楷体" w:hAnsi="华文楷体" w:hint="eastAsia"/>
                <w:sz w:val="22"/>
                <w:szCs w:val="22"/>
                <w:lang w:val="en-US" w:eastAsia="zh-CN"/>
              </w:rPr>
              <w:t>回测期</w:t>
            </w:r>
            <w:r>
              <w:rPr>
                <w:rFonts w:ascii="华文楷体" w:eastAsia="华文楷体" w:hAnsi="华文楷体"/>
                <w:sz w:val="22"/>
                <w:szCs w:val="22"/>
                <w:lang w:eastAsia="zh-CN"/>
              </w:rPr>
              <w:t>获得了</w:t>
            </w:r>
            <w:r>
              <w:rPr>
                <w:rFonts w:ascii="华文楷体" w:eastAsia="华文楷体" w:hAnsi="华文楷体"/>
                <w:b/>
                <w:bCs/>
                <w:sz w:val="22"/>
                <w:szCs w:val="22"/>
                <w:lang w:eastAsia="zh-CN"/>
              </w:rPr>
              <w:t>14.90%</w:t>
            </w:r>
            <w:r>
              <w:rPr>
                <w:rFonts w:ascii="华文楷体" w:eastAsia="华文楷体" w:hAnsi="华文楷体"/>
                <w:sz w:val="22"/>
                <w:szCs w:val="22"/>
                <w:lang w:eastAsia="zh-CN"/>
              </w:rPr>
              <w:t xml:space="preserve">的年化超额收益率 </w:t>
            </w:r>
          </w:p>
        </w:tc>
      </w:tr>
      <w:tr w:rsidR="004E39D2" w14:paraId="0276E83C" w14:textId="77777777">
        <w:tc>
          <w:tcPr>
            <w:tcW w:w="10343" w:type="dxa"/>
            <w:gridSpan w:val="4"/>
          </w:tcPr>
          <w:p w14:paraId="3EDEBFF5" w14:textId="77777777" w:rsidR="004E39D2" w:rsidRDefault="00000000">
            <w:pPr>
              <w:numPr>
                <w:ilvl w:val="0"/>
                <w:numId w:val="3"/>
              </w:numPr>
              <w:autoSpaceDE w:val="0"/>
              <w:autoSpaceDN w:val="0"/>
              <w:adjustRightInd w:val="0"/>
              <w:spacing w:beforeLines="20" w:before="48"/>
              <w:ind w:left="284" w:hanging="284"/>
              <w:rPr>
                <w:rFonts w:ascii="华文楷体" w:eastAsia="华文楷体" w:hAnsi="华文楷体" w:hint="eastAsia"/>
                <w:b/>
                <w:sz w:val="22"/>
                <w:lang w:val="en-US" w:eastAsia="zh-CN"/>
              </w:rPr>
            </w:pPr>
            <w:r>
              <w:rPr>
                <w:rFonts w:ascii="华文楷体" w:eastAsia="华文楷体" w:hAnsi="华文楷体"/>
                <w:sz w:val="22"/>
                <w:szCs w:val="22"/>
                <w:lang w:eastAsia="zh-CN"/>
              </w:rPr>
              <w:t>参与厦门大学</w:t>
            </w:r>
            <w:r>
              <w:rPr>
                <w:rFonts w:ascii="华文楷体" w:eastAsia="华文楷体" w:hAnsi="华文楷体" w:hint="eastAsia"/>
                <w:sz w:val="22"/>
                <w:szCs w:val="22"/>
                <w:lang w:val="en-US" w:eastAsia="zh-CN"/>
              </w:rPr>
              <w:t>经济学院院长</w:t>
            </w:r>
            <w:r>
              <w:rPr>
                <w:rFonts w:ascii="华文楷体" w:eastAsia="华文楷体" w:hAnsi="华文楷体"/>
                <w:sz w:val="22"/>
                <w:szCs w:val="22"/>
                <w:lang w:eastAsia="zh-CN"/>
              </w:rPr>
              <w:t>周颖刚教授</w:t>
            </w:r>
            <w:r>
              <w:rPr>
                <w:rFonts w:ascii="华文楷体" w:eastAsia="华文楷体" w:hAnsi="华文楷体" w:hint="eastAsia"/>
                <w:sz w:val="22"/>
                <w:szCs w:val="22"/>
                <w:lang w:val="en-US" w:eastAsia="zh-CN"/>
              </w:rPr>
              <w:t>的</w:t>
            </w:r>
            <w:r>
              <w:rPr>
                <w:rFonts w:ascii="华文楷体" w:eastAsia="华文楷体" w:hAnsi="华文楷体"/>
                <w:b/>
                <w:bCs/>
                <w:sz w:val="22"/>
                <w:szCs w:val="22"/>
                <w:lang w:eastAsia="zh-CN"/>
              </w:rPr>
              <w:t>智能投顾</w:t>
            </w:r>
            <w:r>
              <w:rPr>
                <w:rFonts w:ascii="华文楷体" w:eastAsia="华文楷体" w:hAnsi="华文楷体"/>
                <w:sz w:val="22"/>
                <w:szCs w:val="22"/>
                <w:lang w:eastAsia="zh-CN"/>
              </w:rPr>
              <w:t>项目，</w:t>
            </w:r>
            <w:r>
              <w:rPr>
                <w:rFonts w:ascii="华文楷体" w:eastAsia="华文楷体" w:hAnsi="华文楷体" w:hint="eastAsia"/>
                <w:sz w:val="22"/>
                <w:szCs w:val="22"/>
                <w:lang w:val="en-US" w:eastAsia="zh-CN"/>
              </w:rPr>
              <w:t>该项目</w:t>
            </w:r>
            <w:r>
              <w:rPr>
                <w:rFonts w:ascii="华文楷体" w:eastAsia="华文楷体" w:hAnsi="华文楷体"/>
                <w:sz w:val="22"/>
                <w:szCs w:val="22"/>
                <w:lang w:eastAsia="zh-CN"/>
              </w:rPr>
              <w:t>研发</w:t>
            </w:r>
            <w:r>
              <w:rPr>
                <w:rFonts w:ascii="华文楷体" w:eastAsia="华文楷体" w:hAnsi="华文楷体" w:hint="eastAsia"/>
                <w:sz w:val="22"/>
                <w:szCs w:val="22"/>
                <w:lang w:val="en-US" w:eastAsia="zh-CN"/>
              </w:rPr>
              <w:t>的</w:t>
            </w:r>
            <w:r>
              <w:rPr>
                <w:rFonts w:ascii="华文楷体" w:eastAsia="华文楷体" w:hAnsi="华文楷体"/>
                <w:sz w:val="22"/>
                <w:szCs w:val="22"/>
                <w:lang w:eastAsia="zh-CN"/>
              </w:rPr>
              <w:t>全球资产配置交易系统，集成实时金融数据整合、智能策略生成与动态风险评估功能，可实现模拟交易</w:t>
            </w:r>
            <w:r>
              <w:rPr>
                <w:rFonts w:ascii="华文楷体" w:eastAsia="华文楷体" w:hAnsi="华文楷体" w:hint="eastAsia"/>
                <w:sz w:val="22"/>
                <w:szCs w:val="22"/>
                <w:lang w:val="en-US" w:eastAsia="zh-CN"/>
              </w:rPr>
              <w:t>与归因分析；主要负责完善已有系统，进一步挖掘独特功能，使其能区别于市面上主流现存的投顾平台</w:t>
            </w:r>
          </w:p>
        </w:tc>
      </w:tr>
    </w:tbl>
    <w:p w14:paraId="26B7EB30" w14:textId="77777777" w:rsidR="004E39D2" w:rsidRDefault="00000000">
      <w:pPr>
        <w:widowControl w:val="0"/>
        <w:pBdr>
          <w:bottom w:val="single" w:sz="6" w:space="1" w:color="auto"/>
        </w:pBdr>
        <w:autoSpaceDE w:val="0"/>
        <w:autoSpaceDN w:val="0"/>
        <w:adjustRightInd w:val="0"/>
        <w:spacing w:beforeLines="40" w:before="96"/>
        <w:jc w:val="both"/>
        <w:rPr>
          <w:rFonts w:ascii="华文楷体" w:eastAsia="华文楷体" w:hAnsi="华文楷体" w:hint="eastAsia"/>
          <w:b/>
          <w:smallCaps/>
          <w:szCs w:val="30"/>
          <w:lang w:eastAsia="zh-CN"/>
        </w:rPr>
      </w:pPr>
      <w:r>
        <w:rPr>
          <w:rFonts w:ascii="华文楷体" w:eastAsia="华文楷体" w:hAnsi="华文楷体" w:hint="eastAsia"/>
          <w:b/>
          <w:smallCaps/>
          <w:szCs w:val="30"/>
          <w:lang w:val="en-US" w:eastAsia="zh-CN"/>
        </w:rPr>
        <w:t>校园</w:t>
      </w:r>
      <w:r>
        <w:rPr>
          <w:rFonts w:ascii="华文楷体" w:eastAsia="华文楷体" w:hAnsi="华文楷体" w:hint="eastAsia"/>
          <w:b/>
          <w:smallCaps/>
          <w:szCs w:val="30"/>
          <w:lang w:eastAsia="zh-CN"/>
        </w:rPr>
        <w:t>经历</w:t>
      </w:r>
    </w:p>
    <w:tbl>
      <w:tblPr>
        <w:tblStyle w:val="af"/>
        <w:tblW w:w="10343" w:type="dxa"/>
        <w:tblLook w:val="04A0" w:firstRow="1" w:lastRow="0" w:firstColumn="1" w:lastColumn="0" w:noHBand="0" w:noVBand="1"/>
      </w:tblPr>
      <w:tblGrid>
        <w:gridCol w:w="4184"/>
        <w:gridCol w:w="3448"/>
        <w:gridCol w:w="2711"/>
      </w:tblGrid>
      <w:tr w:rsidR="004E39D2" w14:paraId="7DE4CDFB" w14:textId="77777777">
        <w:trPr>
          <w:trHeight w:val="389"/>
        </w:trPr>
        <w:tc>
          <w:tcPr>
            <w:tcW w:w="4184" w:type="dxa"/>
          </w:tcPr>
          <w:p w14:paraId="78C65C6A" w14:textId="77777777" w:rsidR="004E39D2" w:rsidRDefault="00000000">
            <w:pPr>
              <w:autoSpaceDE w:val="0"/>
              <w:autoSpaceDN w:val="0"/>
              <w:adjustRightInd w:val="0"/>
              <w:spacing w:beforeLines="30" w:before="72"/>
              <w:jc w:val="left"/>
              <w:rPr>
                <w:rFonts w:ascii="华文楷体" w:eastAsia="华文楷体" w:hAnsi="华文楷体" w:hint="eastAsia"/>
                <w:b/>
                <w:sz w:val="22"/>
                <w:lang w:val="en-US" w:eastAsia="zh-CN"/>
              </w:rPr>
            </w:pPr>
            <w:r>
              <w:rPr>
                <w:rFonts w:ascii="华文楷体" w:eastAsia="华文楷体" w:hAnsi="华文楷体" w:hint="eastAsia"/>
                <w:b/>
                <w:sz w:val="22"/>
                <w:lang w:val="en-US" w:eastAsia="zh-CN"/>
              </w:rPr>
              <w:t>厦门大学经济学院青工部</w:t>
            </w:r>
          </w:p>
        </w:tc>
        <w:tc>
          <w:tcPr>
            <w:tcW w:w="3448" w:type="dxa"/>
          </w:tcPr>
          <w:p w14:paraId="6CD44664" w14:textId="77777777" w:rsidR="004E39D2" w:rsidRDefault="00000000">
            <w:pPr>
              <w:autoSpaceDE w:val="0"/>
              <w:autoSpaceDN w:val="0"/>
              <w:adjustRightInd w:val="0"/>
              <w:spacing w:beforeLines="30" w:before="72"/>
              <w:jc w:val="center"/>
              <w:rPr>
                <w:rFonts w:ascii="华文楷体" w:eastAsia="华文楷体" w:hAnsi="华文楷体" w:hint="eastAsia"/>
                <w:b/>
                <w:sz w:val="22"/>
                <w:lang w:val="en-US" w:eastAsia="zh-CN"/>
              </w:rPr>
            </w:pPr>
            <w:r>
              <w:rPr>
                <w:rFonts w:ascii="华文楷体" w:eastAsia="华文楷体" w:hAnsi="华文楷体" w:hint="eastAsia"/>
                <w:b/>
                <w:sz w:val="22"/>
                <w:lang w:val="en-US" w:eastAsia="zh-CN"/>
              </w:rPr>
              <w:t>部门核心成员</w:t>
            </w:r>
          </w:p>
        </w:tc>
        <w:tc>
          <w:tcPr>
            <w:tcW w:w="2711" w:type="dxa"/>
          </w:tcPr>
          <w:p w14:paraId="269D5C25" w14:textId="77777777" w:rsidR="004E39D2" w:rsidRDefault="00000000">
            <w:pPr>
              <w:autoSpaceDE w:val="0"/>
              <w:autoSpaceDN w:val="0"/>
              <w:adjustRightInd w:val="0"/>
              <w:spacing w:beforeLines="30" w:before="72"/>
              <w:jc w:val="center"/>
              <w:rPr>
                <w:rFonts w:ascii="华文楷体" w:eastAsia="华文楷体" w:hAnsi="华文楷体" w:hint="eastAsia"/>
                <w:b/>
                <w:sz w:val="22"/>
                <w:lang w:eastAsia="zh-CN"/>
              </w:rPr>
            </w:pPr>
            <w:r>
              <w:rPr>
                <w:rFonts w:ascii="华文楷体" w:eastAsia="华文楷体" w:hAnsi="华文楷体" w:hint="eastAsia"/>
                <w:b/>
                <w:sz w:val="22"/>
                <w:lang w:val="en-US" w:eastAsia="zh-CN"/>
              </w:rPr>
              <w:t>2024.09-2025.06</w:t>
            </w:r>
          </w:p>
        </w:tc>
      </w:tr>
      <w:tr w:rsidR="004E39D2" w14:paraId="359CD35E" w14:textId="77777777">
        <w:trPr>
          <w:trHeight w:val="389"/>
        </w:trPr>
        <w:tc>
          <w:tcPr>
            <w:tcW w:w="10343" w:type="dxa"/>
            <w:gridSpan w:val="3"/>
          </w:tcPr>
          <w:p w14:paraId="4DBF0E85" w14:textId="77777777" w:rsidR="004E39D2" w:rsidRDefault="00000000">
            <w:pPr>
              <w:autoSpaceDE w:val="0"/>
              <w:autoSpaceDN w:val="0"/>
              <w:adjustRightInd w:val="0"/>
              <w:spacing w:beforeLines="30" w:before="72"/>
              <w:rPr>
                <w:rFonts w:ascii="华文楷体" w:eastAsia="华文楷体" w:hAnsi="华文楷体" w:hint="eastAsia"/>
                <w:b/>
                <w:sz w:val="22"/>
                <w:lang w:val="en-US" w:eastAsia="zh-CN"/>
              </w:rPr>
            </w:pPr>
            <w:r>
              <w:rPr>
                <w:rFonts w:ascii="华文楷体" w:eastAsia="华文楷体" w:hAnsi="华文楷体" w:hint="eastAsia"/>
                <w:bCs/>
                <w:sz w:val="22"/>
                <w:lang w:eastAsia="zh-CN"/>
              </w:rPr>
              <w:t>• 成功组织并参与了“朋辈导师&amp;八高答疑”、“暖冬义卖”、“黄厝入户反诈宣传”、“毕业季义卖”等志愿活动；</w:t>
            </w:r>
            <w:r>
              <w:rPr>
                <w:rFonts w:ascii="华文楷体" w:eastAsia="华文楷体" w:hAnsi="华文楷体" w:hint="eastAsia"/>
                <w:bCs/>
                <w:sz w:val="22"/>
                <w:lang w:val="en-US" w:eastAsia="zh-CN"/>
              </w:rPr>
              <w:t>获得“优秀志愿者”、“优秀后勤”等荣誉称号</w:t>
            </w:r>
          </w:p>
        </w:tc>
      </w:tr>
    </w:tbl>
    <w:p w14:paraId="5C6588D3" w14:textId="77777777" w:rsidR="004E39D2" w:rsidRDefault="00000000">
      <w:pPr>
        <w:widowControl w:val="0"/>
        <w:pBdr>
          <w:bottom w:val="single" w:sz="6" w:space="1" w:color="auto"/>
        </w:pBdr>
        <w:autoSpaceDE w:val="0"/>
        <w:autoSpaceDN w:val="0"/>
        <w:adjustRightInd w:val="0"/>
        <w:spacing w:beforeLines="40" w:before="96"/>
        <w:jc w:val="both"/>
        <w:rPr>
          <w:rFonts w:ascii="华文楷体" w:eastAsia="华文楷体" w:hAnsi="华文楷体" w:hint="eastAsia"/>
          <w:b/>
          <w:smallCaps/>
          <w:szCs w:val="30"/>
          <w:lang w:val="en-US" w:eastAsia="zh-CN"/>
        </w:rPr>
      </w:pPr>
      <w:r>
        <w:rPr>
          <w:rFonts w:ascii="华文楷体" w:eastAsia="华文楷体" w:hAnsi="华文楷体" w:hint="eastAsia"/>
          <w:b/>
          <w:smallCaps/>
          <w:szCs w:val="30"/>
          <w:lang w:val="en-US" w:eastAsia="zh-CN"/>
        </w:rPr>
        <w:t>其他</w:t>
      </w:r>
    </w:p>
    <w:tbl>
      <w:tblPr>
        <w:tblStyle w:val="af"/>
        <w:tblW w:w="10343" w:type="dxa"/>
        <w:tblLook w:val="04A0" w:firstRow="1" w:lastRow="0" w:firstColumn="1" w:lastColumn="0" w:noHBand="0" w:noVBand="1"/>
      </w:tblPr>
      <w:tblGrid>
        <w:gridCol w:w="10343"/>
      </w:tblGrid>
      <w:tr w:rsidR="004E39D2" w14:paraId="0FD7B530" w14:textId="77777777">
        <w:tc>
          <w:tcPr>
            <w:tcW w:w="10343" w:type="dxa"/>
          </w:tcPr>
          <w:p w14:paraId="3E3EF206" w14:textId="77777777" w:rsidR="004E39D2" w:rsidRDefault="00000000">
            <w:pPr>
              <w:numPr>
                <w:ilvl w:val="0"/>
                <w:numId w:val="3"/>
              </w:numPr>
              <w:autoSpaceDE w:val="0"/>
              <w:autoSpaceDN w:val="0"/>
              <w:adjustRightInd w:val="0"/>
              <w:spacing w:beforeLines="20" w:before="48"/>
              <w:ind w:left="284" w:hanging="284"/>
              <w:rPr>
                <w:rFonts w:ascii="华文楷体" w:eastAsia="华文楷体" w:hAnsi="华文楷体" w:hint="eastAsia"/>
                <w:sz w:val="22"/>
                <w:szCs w:val="22"/>
                <w:lang w:eastAsia="zh-CN"/>
              </w:rPr>
            </w:pPr>
            <w:r>
              <w:rPr>
                <w:rFonts w:ascii="华文楷体" w:eastAsia="华文楷体" w:hAnsi="华文楷体" w:hint="eastAsia"/>
                <w:sz w:val="22"/>
                <w:szCs w:val="22"/>
                <w:lang w:eastAsia="zh-CN"/>
              </w:rPr>
              <w:t>兴趣爱好：读书、健身、</w:t>
            </w:r>
            <w:r>
              <w:rPr>
                <w:rFonts w:ascii="华文楷体" w:eastAsia="华文楷体" w:hAnsi="华文楷体" w:hint="eastAsia"/>
                <w:sz w:val="22"/>
                <w:szCs w:val="22"/>
                <w:lang w:val="en-US" w:eastAsia="zh-CN"/>
              </w:rPr>
              <w:t>视频剪辑、</w:t>
            </w:r>
            <w:r>
              <w:rPr>
                <w:rFonts w:ascii="华文楷体" w:eastAsia="华文楷体" w:hAnsi="华文楷体" w:hint="eastAsia"/>
                <w:sz w:val="22"/>
                <w:szCs w:val="22"/>
                <w:lang w:eastAsia="zh-CN"/>
              </w:rPr>
              <w:t>跑步、</w:t>
            </w:r>
            <w:r>
              <w:rPr>
                <w:rFonts w:ascii="华文楷体" w:eastAsia="华文楷体" w:hAnsi="华文楷体" w:hint="eastAsia"/>
                <w:sz w:val="22"/>
                <w:szCs w:val="22"/>
                <w:lang w:val="en-US" w:eastAsia="zh-CN"/>
              </w:rPr>
              <w:t>骑行</w:t>
            </w:r>
          </w:p>
        </w:tc>
      </w:tr>
    </w:tbl>
    <w:p w14:paraId="614EA038" w14:textId="77777777" w:rsidR="004E39D2" w:rsidRDefault="004E39D2">
      <w:pPr>
        <w:widowControl w:val="0"/>
        <w:autoSpaceDE w:val="0"/>
        <w:autoSpaceDN w:val="0"/>
        <w:adjustRightInd w:val="0"/>
        <w:spacing w:beforeLines="20" w:before="48"/>
        <w:rPr>
          <w:rFonts w:ascii="华文楷体" w:eastAsia="华文楷体" w:hAnsi="华文楷体" w:hint="eastAsia"/>
          <w:sz w:val="22"/>
          <w:szCs w:val="22"/>
          <w:lang w:eastAsia="zh-CN"/>
        </w:rPr>
      </w:pPr>
    </w:p>
    <w:sectPr w:rsidR="004E39D2">
      <w:footerReference w:type="default" r:id="rId9"/>
      <w:pgSz w:w="11907" w:h="16840"/>
      <w:pgMar w:top="630" w:right="851" w:bottom="851" w:left="851" w:header="851" w:footer="851"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43E34" w14:textId="77777777" w:rsidR="00F04A95" w:rsidRDefault="00F04A95">
      <w:r>
        <w:separator/>
      </w:r>
    </w:p>
  </w:endnote>
  <w:endnote w:type="continuationSeparator" w:id="0">
    <w:p w14:paraId="0A951DF4" w14:textId="77777777" w:rsidR="00F04A95" w:rsidRDefault="00F04A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BTMedium">
    <w:altName w:val="Segoe Script"/>
    <w:charset w:val="00"/>
    <w:family w:val="swiss"/>
    <w:pitch w:val="default"/>
    <w:sig w:usb0="00000000"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华文楷体">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C5F49" w14:textId="77777777" w:rsidR="004E39D2" w:rsidRDefault="004E39D2">
    <w:pPr>
      <w:widowControl w:val="0"/>
      <w:tabs>
        <w:tab w:val="center" w:pos="4154"/>
        <w:tab w:val="right" w:pos="8309"/>
      </w:tabs>
      <w:autoSpaceDE w:val="0"/>
      <w:autoSpaceDN w:val="0"/>
      <w:adjustRightInd w:val="0"/>
      <w:jc w:val="center"/>
      <w:rPr>
        <w:sz w:val="20"/>
        <w:szCs w:val="20"/>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24020" w14:textId="77777777" w:rsidR="00F04A95" w:rsidRDefault="00F04A95">
      <w:r>
        <w:separator/>
      </w:r>
    </w:p>
  </w:footnote>
  <w:footnote w:type="continuationSeparator" w:id="0">
    <w:p w14:paraId="787EB596" w14:textId="77777777" w:rsidR="00F04A95" w:rsidRDefault="00F04A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F9002"/>
    <w:multiLevelType w:val="singleLevel"/>
    <w:tmpl w:val="0F6F9002"/>
    <w:lvl w:ilvl="0">
      <w:start w:val="1"/>
      <w:numFmt w:val="bullet"/>
      <w:lvlText w:val=""/>
      <w:lvlJc w:val="left"/>
      <w:pPr>
        <w:ind w:left="420" w:hanging="420"/>
      </w:pPr>
      <w:rPr>
        <w:rFonts w:ascii="Wingdings" w:hAnsi="Wingdings" w:hint="default"/>
        <w:sz w:val="13"/>
        <w:szCs w:val="13"/>
      </w:rPr>
    </w:lvl>
  </w:abstractNum>
  <w:abstractNum w:abstractNumId="1" w15:restartNumberingAfterBreak="0">
    <w:nsid w:val="36DC506A"/>
    <w:multiLevelType w:val="hybridMultilevel"/>
    <w:tmpl w:val="6620671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4C366BB1"/>
    <w:multiLevelType w:val="multilevel"/>
    <w:tmpl w:val="4C366BB1"/>
    <w:lvl w:ilvl="0">
      <w:start w:val="1"/>
      <w:numFmt w:val="bullet"/>
      <w:pStyle w:val="detailswbullets1"/>
      <w:lvlText w:val=""/>
      <w:lvlJc w:val="left"/>
      <w:pPr>
        <w:tabs>
          <w:tab w:val="left" w:pos="360"/>
        </w:tabs>
        <w:ind w:left="360" w:hanging="245"/>
      </w:pPr>
      <w:rPr>
        <w:rFonts w:ascii="Symbol" w:hAnsi="Symbol" w:hint="default"/>
      </w:rPr>
    </w:lvl>
    <w:lvl w:ilvl="1">
      <w:start w:val="1"/>
      <w:numFmt w:val="bullet"/>
      <w:lvlText w:val=""/>
      <w:lvlJc w:val="left"/>
      <w:pPr>
        <w:tabs>
          <w:tab w:val="left" w:pos="1080"/>
        </w:tabs>
        <w:ind w:left="1080" w:hanging="360"/>
      </w:pPr>
      <w:rPr>
        <w:rFonts w:ascii="Symbol" w:hAnsi="Symbol" w:hint="default"/>
      </w:rPr>
    </w:lvl>
    <w:lvl w:ilvl="2">
      <w:start w:val="1"/>
      <w:numFmt w:val="bullet"/>
      <w:lvlText w:val=""/>
      <w:lvlJc w:val="left"/>
      <w:pPr>
        <w:tabs>
          <w:tab w:val="left" w:pos="1800"/>
        </w:tabs>
        <w:ind w:left="1800" w:right="1800" w:hanging="360"/>
      </w:pPr>
      <w:rPr>
        <w:rFonts w:ascii="Wingdings" w:hAnsi="Wingdings" w:hint="default"/>
      </w:rPr>
    </w:lvl>
    <w:lvl w:ilvl="3">
      <w:start w:val="1"/>
      <w:numFmt w:val="bullet"/>
      <w:lvlText w:val=""/>
      <w:lvlJc w:val="left"/>
      <w:pPr>
        <w:tabs>
          <w:tab w:val="left" w:pos="2520"/>
        </w:tabs>
        <w:ind w:left="2520" w:right="2520" w:hanging="360"/>
      </w:pPr>
      <w:rPr>
        <w:rFonts w:ascii="Symbol" w:hAnsi="Symbol" w:hint="default"/>
      </w:rPr>
    </w:lvl>
    <w:lvl w:ilvl="4">
      <w:start w:val="1"/>
      <w:numFmt w:val="bullet"/>
      <w:lvlText w:val="o"/>
      <w:lvlJc w:val="left"/>
      <w:pPr>
        <w:tabs>
          <w:tab w:val="left" w:pos="3240"/>
        </w:tabs>
        <w:ind w:left="3240" w:right="3240" w:hanging="360"/>
      </w:pPr>
      <w:rPr>
        <w:rFonts w:ascii="Courier New" w:hAnsi="Courier New" w:cs="Courier New" w:hint="default"/>
      </w:rPr>
    </w:lvl>
    <w:lvl w:ilvl="5">
      <w:start w:val="1"/>
      <w:numFmt w:val="bullet"/>
      <w:lvlText w:val=""/>
      <w:lvlJc w:val="left"/>
      <w:pPr>
        <w:tabs>
          <w:tab w:val="left" w:pos="3960"/>
        </w:tabs>
        <w:ind w:left="3960" w:right="3960" w:hanging="360"/>
      </w:pPr>
      <w:rPr>
        <w:rFonts w:ascii="Wingdings" w:hAnsi="Wingdings" w:hint="default"/>
      </w:rPr>
    </w:lvl>
    <w:lvl w:ilvl="6">
      <w:start w:val="1"/>
      <w:numFmt w:val="bullet"/>
      <w:lvlText w:val=""/>
      <w:lvlJc w:val="left"/>
      <w:pPr>
        <w:tabs>
          <w:tab w:val="left" w:pos="4680"/>
        </w:tabs>
        <w:ind w:left="4680" w:right="4680" w:hanging="360"/>
      </w:pPr>
      <w:rPr>
        <w:rFonts w:ascii="Symbol" w:hAnsi="Symbol" w:hint="default"/>
      </w:rPr>
    </w:lvl>
    <w:lvl w:ilvl="7">
      <w:start w:val="1"/>
      <w:numFmt w:val="bullet"/>
      <w:lvlText w:val="o"/>
      <w:lvlJc w:val="left"/>
      <w:pPr>
        <w:tabs>
          <w:tab w:val="left" w:pos="5400"/>
        </w:tabs>
        <w:ind w:left="5400" w:right="5400" w:hanging="360"/>
      </w:pPr>
      <w:rPr>
        <w:rFonts w:ascii="Courier New" w:hAnsi="Courier New" w:cs="Courier New" w:hint="default"/>
      </w:rPr>
    </w:lvl>
    <w:lvl w:ilvl="8">
      <w:start w:val="1"/>
      <w:numFmt w:val="bullet"/>
      <w:lvlText w:val=""/>
      <w:lvlJc w:val="left"/>
      <w:pPr>
        <w:tabs>
          <w:tab w:val="left" w:pos="6120"/>
        </w:tabs>
        <w:ind w:left="6120" w:right="6120" w:hanging="360"/>
      </w:pPr>
      <w:rPr>
        <w:rFonts w:ascii="Wingdings" w:hAnsi="Wingdings" w:hint="default"/>
      </w:rPr>
    </w:lvl>
  </w:abstractNum>
  <w:abstractNum w:abstractNumId="3" w15:restartNumberingAfterBreak="0">
    <w:nsid w:val="74455947"/>
    <w:multiLevelType w:val="multilevel"/>
    <w:tmpl w:val="74455947"/>
    <w:lvl w:ilvl="0">
      <w:start w:val="1"/>
      <w:numFmt w:val="bullet"/>
      <w:lvlText w:val=""/>
      <w:lvlJc w:val="left"/>
      <w:pPr>
        <w:ind w:left="360" w:hanging="360"/>
      </w:pPr>
      <w:rPr>
        <w:rFonts w:ascii="Symbol" w:hAnsi="Symbol" w:hint="default"/>
        <w:sz w:val="20"/>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440345135">
    <w:abstractNumId w:val="2"/>
  </w:num>
  <w:num w:numId="2" w16cid:durableId="1227257337">
    <w:abstractNumId w:val="0"/>
  </w:num>
  <w:num w:numId="3" w16cid:durableId="933780985">
    <w:abstractNumId w:val="3"/>
  </w:num>
  <w:num w:numId="4" w16cid:durableId="11130922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oNotUseMarginsForDrawingGridOrigin/>
  <w:drawingGridHorizontalOrigin w:val="1800"/>
  <w:drawingGridVerticalOrigin w:val="1440"/>
  <w:doNotShadeFormData/>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3AA7"/>
    <w:rsid w:val="000038A7"/>
    <w:rsid w:val="00006CBE"/>
    <w:rsid w:val="000070B9"/>
    <w:rsid w:val="00007694"/>
    <w:rsid w:val="00011BB7"/>
    <w:rsid w:val="000164DD"/>
    <w:rsid w:val="000174CE"/>
    <w:rsid w:val="00021698"/>
    <w:rsid w:val="000322CE"/>
    <w:rsid w:val="00032639"/>
    <w:rsid w:val="000401F0"/>
    <w:rsid w:val="00041745"/>
    <w:rsid w:val="000567C1"/>
    <w:rsid w:val="0006151C"/>
    <w:rsid w:val="00062F31"/>
    <w:rsid w:val="0006338A"/>
    <w:rsid w:val="0006761F"/>
    <w:rsid w:val="00070C02"/>
    <w:rsid w:val="000852A9"/>
    <w:rsid w:val="00085F26"/>
    <w:rsid w:val="000864C0"/>
    <w:rsid w:val="0009145F"/>
    <w:rsid w:val="0009255B"/>
    <w:rsid w:val="00094AED"/>
    <w:rsid w:val="00094BD7"/>
    <w:rsid w:val="00096755"/>
    <w:rsid w:val="000A013D"/>
    <w:rsid w:val="000A0A7D"/>
    <w:rsid w:val="000A4086"/>
    <w:rsid w:val="000A7557"/>
    <w:rsid w:val="000B075F"/>
    <w:rsid w:val="000B265E"/>
    <w:rsid w:val="000B3B65"/>
    <w:rsid w:val="000C0ADA"/>
    <w:rsid w:val="000C2B73"/>
    <w:rsid w:val="000C4D2F"/>
    <w:rsid w:val="000D10B5"/>
    <w:rsid w:val="000D6E98"/>
    <w:rsid w:val="000F18D9"/>
    <w:rsid w:val="0010612D"/>
    <w:rsid w:val="00112A12"/>
    <w:rsid w:val="00113877"/>
    <w:rsid w:val="001209E0"/>
    <w:rsid w:val="001219DE"/>
    <w:rsid w:val="00124D5F"/>
    <w:rsid w:val="0012604F"/>
    <w:rsid w:val="00126179"/>
    <w:rsid w:val="00126B43"/>
    <w:rsid w:val="001367D4"/>
    <w:rsid w:val="00144C65"/>
    <w:rsid w:val="001475C8"/>
    <w:rsid w:val="00150F23"/>
    <w:rsid w:val="00151B53"/>
    <w:rsid w:val="00152774"/>
    <w:rsid w:val="00157237"/>
    <w:rsid w:val="00162CA6"/>
    <w:rsid w:val="00172722"/>
    <w:rsid w:val="00174FE2"/>
    <w:rsid w:val="00176F61"/>
    <w:rsid w:val="001779D1"/>
    <w:rsid w:val="001817B6"/>
    <w:rsid w:val="00194246"/>
    <w:rsid w:val="001953BD"/>
    <w:rsid w:val="001A4AE6"/>
    <w:rsid w:val="001B7AAE"/>
    <w:rsid w:val="001C2982"/>
    <w:rsid w:val="001D2D51"/>
    <w:rsid w:val="001D643E"/>
    <w:rsid w:val="001E6A3B"/>
    <w:rsid w:val="001E7191"/>
    <w:rsid w:val="001E75C6"/>
    <w:rsid w:val="001F1C13"/>
    <w:rsid w:val="001F3486"/>
    <w:rsid w:val="001F636C"/>
    <w:rsid w:val="002008A7"/>
    <w:rsid w:val="00202B04"/>
    <w:rsid w:val="00203B57"/>
    <w:rsid w:val="0020493A"/>
    <w:rsid w:val="00206196"/>
    <w:rsid w:val="00213602"/>
    <w:rsid w:val="0022186A"/>
    <w:rsid w:val="00223E80"/>
    <w:rsid w:val="002242A8"/>
    <w:rsid w:val="00225C7F"/>
    <w:rsid w:val="00226D47"/>
    <w:rsid w:val="00241277"/>
    <w:rsid w:val="002415EF"/>
    <w:rsid w:val="00242C88"/>
    <w:rsid w:val="00244327"/>
    <w:rsid w:val="00250215"/>
    <w:rsid w:val="0025086F"/>
    <w:rsid w:val="0025696D"/>
    <w:rsid w:val="002825C6"/>
    <w:rsid w:val="00282DA9"/>
    <w:rsid w:val="00284D80"/>
    <w:rsid w:val="0028613B"/>
    <w:rsid w:val="00293EC8"/>
    <w:rsid w:val="00295A58"/>
    <w:rsid w:val="00296E54"/>
    <w:rsid w:val="002976F2"/>
    <w:rsid w:val="002A2A6E"/>
    <w:rsid w:val="002A2F75"/>
    <w:rsid w:val="002A3274"/>
    <w:rsid w:val="002B25BE"/>
    <w:rsid w:val="002C2775"/>
    <w:rsid w:val="002C4386"/>
    <w:rsid w:val="002C527F"/>
    <w:rsid w:val="002D0173"/>
    <w:rsid w:val="002D6C95"/>
    <w:rsid w:val="002E5D9E"/>
    <w:rsid w:val="002E7C35"/>
    <w:rsid w:val="002F1C00"/>
    <w:rsid w:val="002F2AD8"/>
    <w:rsid w:val="002F36B8"/>
    <w:rsid w:val="00300905"/>
    <w:rsid w:val="00306B19"/>
    <w:rsid w:val="00313B5A"/>
    <w:rsid w:val="003373D7"/>
    <w:rsid w:val="003400A6"/>
    <w:rsid w:val="003464DB"/>
    <w:rsid w:val="003517C3"/>
    <w:rsid w:val="0035607E"/>
    <w:rsid w:val="00360949"/>
    <w:rsid w:val="00360963"/>
    <w:rsid w:val="0036168E"/>
    <w:rsid w:val="00362993"/>
    <w:rsid w:val="00363E4B"/>
    <w:rsid w:val="00373106"/>
    <w:rsid w:val="0038416D"/>
    <w:rsid w:val="003850B3"/>
    <w:rsid w:val="00387A70"/>
    <w:rsid w:val="00390463"/>
    <w:rsid w:val="00392313"/>
    <w:rsid w:val="00392614"/>
    <w:rsid w:val="00395842"/>
    <w:rsid w:val="003A0B3B"/>
    <w:rsid w:val="003A34D5"/>
    <w:rsid w:val="003A54BD"/>
    <w:rsid w:val="003B5639"/>
    <w:rsid w:val="003C35C1"/>
    <w:rsid w:val="003C50EC"/>
    <w:rsid w:val="003C5FAA"/>
    <w:rsid w:val="003D186B"/>
    <w:rsid w:val="003D1DCC"/>
    <w:rsid w:val="003D2870"/>
    <w:rsid w:val="003E1834"/>
    <w:rsid w:val="003E6FF5"/>
    <w:rsid w:val="003E7285"/>
    <w:rsid w:val="003E7694"/>
    <w:rsid w:val="003F1D3C"/>
    <w:rsid w:val="004074A7"/>
    <w:rsid w:val="00407E13"/>
    <w:rsid w:val="00413570"/>
    <w:rsid w:val="00414883"/>
    <w:rsid w:val="0042201D"/>
    <w:rsid w:val="004224DB"/>
    <w:rsid w:val="00425B12"/>
    <w:rsid w:val="0042615B"/>
    <w:rsid w:val="004332DF"/>
    <w:rsid w:val="004416EA"/>
    <w:rsid w:val="004458DF"/>
    <w:rsid w:val="00445B92"/>
    <w:rsid w:val="00457B84"/>
    <w:rsid w:val="00464D9A"/>
    <w:rsid w:val="004658B9"/>
    <w:rsid w:val="00470F36"/>
    <w:rsid w:val="00471468"/>
    <w:rsid w:val="0047468F"/>
    <w:rsid w:val="00475516"/>
    <w:rsid w:val="0048095F"/>
    <w:rsid w:val="00483BF3"/>
    <w:rsid w:val="004966B8"/>
    <w:rsid w:val="004A437B"/>
    <w:rsid w:val="004B440E"/>
    <w:rsid w:val="004D23E5"/>
    <w:rsid w:val="004D3C8A"/>
    <w:rsid w:val="004E39D2"/>
    <w:rsid w:val="004E60E5"/>
    <w:rsid w:val="004F032C"/>
    <w:rsid w:val="004F22D4"/>
    <w:rsid w:val="004F279E"/>
    <w:rsid w:val="004F608B"/>
    <w:rsid w:val="00506C26"/>
    <w:rsid w:val="00506F71"/>
    <w:rsid w:val="00512B28"/>
    <w:rsid w:val="00512F79"/>
    <w:rsid w:val="00513F54"/>
    <w:rsid w:val="005270A2"/>
    <w:rsid w:val="00537145"/>
    <w:rsid w:val="0053749D"/>
    <w:rsid w:val="0054567E"/>
    <w:rsid w:val="0054622B"/>
    <w:rsid w:val="00547EFF"/>
    <w:rsid w:val="00552EB3"/>
    <w:rsid w:val="0055318B"/>
    <w:rsid w:val="00554240"/>
    <w:rsid w:val="005623AD"/>
    <w:rsid w:val="005625A4"/>
    <w:rsid w:val="005714B0"/>
    <w:rsid w:val="00573BF3"/>
    <w:rsid w:val="00575FFD"/>
    <w:rsid w:val="00576450"/>
    <w:rsid w:val="0058356D"/>
    <w:rsid w:val="00583895"/>
    <w:rsid w:val="00586D52"/>
    <w:rsid w:val="00590509"/>
    <w:rsid w:val="005A1437"/>
    <w:rsid w:val="005A1AA2"/>
    <w:rsid w:val="005A1CAC"/>
    <w:rsid w:val="005A1EA7"/>
    <w:rsid w:val="005A282E"/>
    <w:rsid w:val="005A367F"/>
    <w:rsid w:val="005A6E03"/>
    <w:rsid w:val="005A7A99"/>
    <w:rsid w:val="005B1D74"/>
    <w:rsid w:val="005B3135"/>
    <w:rsid w:val="005B5527"/>
    <w:rsid w:val="005C5461"/>
    <w:rsid w:val="005C632C"/>
    <w:rsid w:val="005D75D4"/>
    <w:rsid w:val="005E287D"/>
    <w:rsid w:val="005F0030"/>
    <w:rsid w:val="005F76DF"/>
    <w:rsid w:val="005F788E"/>
    <w:rsid w:val="00607E4F"/>
    <w:rsid w:val="00614A13"/>
    <w:rsid w:val="00627A9E"/>
    <w:rsid w:val="00631389"/>
    <w:rsid w:val="00637030"/>
    <w:rsid w:val="006406EA"/>
    <w:rsid w:val="00640EB8"/>
    <w:rsid w:val="00641B44"/>
    <w:rsid w:val="00647FA2"/>
    <w:rsid w:val="006516A5"/>
    <w:rsid w:val="0065453A"/>
    <w:rsid w:val="0067104A"/>
    <w:rsid w:val="006715B7"/>
    <w:rsid w:val="0067563B"/>
    <w:rsid w:val="006756FE"/>
    <w:rsid w:val="00682961"/>
    <w:rsid w:val="0068298D"/>
    <w:rsid w:val="00685AAE"/>
    <w:rsid w:val="0069074F"/>
    <w:rsid w:val="0069296E"/>
    <w:rsid w:val="00694115"/>
    <w:rsid w:val="006A04E2"/>
    <w:rsid w:val="006A0C59"/>
    <w:rsid w:val="006A5D8F"/>
    <w:rsid w:val="006A5F11"/>
    <w:rsid w:val="006B007B"/>
    <w:rsid w:val="006B2CEC"/>
    <w:rsid w:val="006B4D63"/>
    <w:rsid w:val="006C1B5E"/>
    <w:rsid w:val="006C6944"/>
    <w:rsid w:val="006D57AF"/>
    <w:rsid w:val="006E0813"/>
    <w:rsid w:val="006E7123"/>
    <w:rsid w:val="006F0C29"/>
    <w:rsid w:val="006F1B2C"/>
    <w:rsid w:val="006F72F5"/>
    <w:rsid w:val="006F7CCC"/>
    <w:rsid w:val="00702B51"/>
    <w:rsid w:val="00706198"/>
    <w:rsid w:val="00711EE9"/>
    <w:rsid w:val="007152A2"/>
    <w:rsid w:val="00727F53"/>
    <w:rsid w:val="007324B7"/>
    <w:rsid w:val="007403F7"/>
    <w:rsid w:val="0074176F"/>
    <w:rsid w:val="00747E72"/>
    <w:rsid w:val="00754B36"/>
    <w:rsid w:val="00760E73"/>
    <w:rsid w:val="00765F96"/>
    <w:rsid w:val="0077010D"/>
    <w:rsid w:val="0077283A"/>
    <w:rsid w:val="00773155"/>
    <w:rsid w:val="0077595A"/>
    <w:rsid w:val="00780A27"/>
    <w:rsid w:val="007838CC"/>
    <w:rsid w:val="00793A25"/>
    <w:rsid w:val="0079406D"/>
    <w:rsid w:val="007945AE"/>
    <w:rsid w:val="00795D00"/>
    <w:rsid w:val="007B17DF"/>
    <w:rsid w:val="007B7F2D"/>
    <w:rsid w:val="007C4F5A"/>
    <w:rsid w:val="007D086D"/>
    <w:rsid w:val="007D3512"/>
    <w:rsid w:val="007D37FB"/>
    <w:rsid w:val="007D3FB1"/>
    <w:rsid w:val="007D4B55"/>
    <w:rsid w:val="007E4380"/>
    <w:rsid w:val="007E7F7D"/>
    <w:rsid w:val="007F074C"/>
    <w:rsid w:val="007F14AE"/>
    <w:rsid w:val="007F64AC"/>
    <w:rsid w:val="0080237B"/>
    <w:rsid w:val="00811D70"/>
    <w:rsid w:val="008216AE"/>
    <w:rsid w:val="00822B3C"/>
    <w:rsid w:val="00824788"/>
    <w:rsid w:val="008262CD"/>
    <w:rsid w:val="00826792"/>
    <w:rsid w:val="008312F8"/>
    <w:rsid w:val="00834481"/>
    <w:rsid w:val="00834736"/>
    <w:rsid w:val="00837076"/>
    <w:rsid w:val="00843425"/>
    <w:rsid w:val="00852571"/>
    <w:rsid w:val="00857809"/>
    <w:rsid w:val="0087497F"/>
    <w:rsid w:val="008774DF"/>
    <w:rsid w:val="00881E55"/>
    <w:rsid w:val="00883CCF"/>
    <w:rsid w:val="00895A0A"/>
    <w:rsid w:val="00895BB7"/>
    <w:rsid w:val="008A061C"/>
    <w:rsid w:val="008A2610"/>
    <w:rsid w:val="008B1D28"/>
    <w:rsid w:val="008C37F0"/>
    <w:rsid w:val="008C6ED7"/>
    <w:rsid w:val="008D0C26"/>
    <w:rsid w:val="008D2296"/>
    <w:rsid w:val="008D2F80"/>
    <w:rsid w:val="008D3501"/>
    <w:rsid w:val="008D4592"/>
    <w:rsid w:val="008D517B"/>
    <w:rsid w:val="008E0792"/>
    <w:rsid w:val="008E35A3"/>
    <w:rsid w:val="008E584B"/>
    <w:rsid w:val="008E7A17"/>
    <w:rsid w:val="008F072B"/>
    <w:rsid w:val="008F57ED"/>
    <w:rsid w:val="008F5AD6"/>
    <w:rsid w:val="009017A6"/>
    <w:rsid w:val="00910CD0"/>
    <w:rsid w:val="00921122"/>
    <w:rsid w:val="00923796"/>
    <w:rsid w:val="00932846"/>
    <w:rsid w:val="0093546E"/>
    <w:rsid w:val="00937259"/>
    <w:rsid w:val="0094133D"/>
    <w:rsid w:val="009426E8"/>
    <w:rsid w:val="009438C2"/>
    <w:rsid w:val="009551D6"/>
    <w:rsid w:val="009672EC"/>
    <w:rsid w:val="0096799B"/>
    <w:rsid w:val="00973C26"/>
    <w:rsid w:val="009750C9"/>
    <w:rsid w:val="00986D2D"/>
    <w:rsid w:val="00994321"/>
    <w:rsid w:val="00994C34"/>
    <w:rsid w:val="009A3C41"/>
    <w:rsid w:val="009A4EEE"/>
    <w:rsid w:val="009B4C14"/>
    <w:rsid w:val="009C0598"/>
    <w:rsid w:val="009D037E"/>
    <w:rsid w:val="009F5169"/>
    <w:rsid w:val="00A0536F"/>
    <w:rsid w:val="00A0562D"/>
    <w:rsid w:val="00A11686"/>
    <w:rsid w:val="00A1377B"/>
    <w:rsid w:val="00A14B2B"/>
    <w:rsid w:val="00A172AA"/>
    <w:rsid w:val="00A24553"/>
    <w:rsid w:val="00A26118"/>
    <w:rsid w:val="00A269BF"/>
    <w:rsid w:val="00A27E2E"/>
    <w:rsid w:val="00A325B5"/>
    <w:rsid w:val="00A35C8C"/>
    <w:rsid w:val="00A378C8"/>
    <w:rsid w:val="00A52FDC"/>
    <w:rsid w:val="00A61820"/>
    <w:rsid w:val="00A636E5"/>
    <w:rsid w:val="00A706FA"/>
    <w:rsid w:val="00A766E3"/>
    <w:rsid w:val="00A7671C"/>
    <w:rsid w:val="00A95C61"/>
    <w:rsid w:val="00AA03C1"/>
    <w:rsid w:val="00AA2A6C"/>
    <w:rsid w:val="00AA5ABC"/>
    <w:rsid w:val="00AA7F7D"/>
    <w:rsid w:val="00AB3651"/>
    <w:rsid w:val="00AB5389"/>
    <w:rsid w:val="00AB7DE3"/>
    <w:rsid w:val="00AC316F"/>
    <w:rsid w:val="00AC3ACF"/>
    <w:rsid w:val="00AC514B"/>
    <w:rsid w:val="00AE388D"/>
    <w:rsid w:val="00AE4CC2"/>
    <w:rsid w:val="00AE6810"/>
    <w:rsid w:val="00B10DD8"/>
    <w:rsid w:val="00B12240"/>
    <w:rsid w:val="00B149D2"/>
    <w:rsid w:val="00B150DA"/>
    <w:rsid w:val="00B20DD2"/>
    <w:rsid w:val="00B22BC1"/>
    <w:rsid w:val="00B26164"/>
    <w:rsid w:val="00B30F15"/>
    <w:rsid w:val="00B34834"/>
    <w:rsid w:val="00B36BB7"/>
    <w:rsid w:val="00B4135D"/>
    <w:rsid w:val="00B41B55"/>
    <w:rsid w:val="00B42248"/>
    <w:rsid w:val="00B457FF"/>
    <w:rsid w:val="00B4696B"/>
    <w:rsid w:val="00B5333D"/>
    <w:rsid w:val="00B669A1"/>
    <w:rsid w:val="00B67D02"/>
    <w:rsid w:val="00B71801"/>
    <w:rsid w:val="00B73AA7"/>
    <w:rsid w:val="00B73B58"/>
    <w:rsid w:val="00B75012"/>
    <w:rsid w:val="00B75D2A"/>
    <w:rsid w:val="00B762FC"/>
    <w:rsid w:val="00B80A76"/>
    <w:rsid w:val="00B83419"/>
    <w:rsid w:val="00B85C04"/>
    <w:rsid w:val="00B93FFF"/>
    <w:rsid w:val="00B95F0F"/>
    <w:rsid w:val="00B97FA8"/>
    <w:rsid w:val="00BA29B9"/>
    <w:rsid w:val="00BB2B80"/>
    <w:rsid w:val="00BB5020"/>
    <w:rsid w:val="00BB59D9"/>
    <w:rsid w:val="00BC3E9E"/>
    <w:rsid w:val="00BC74DE"/>
    <w:rsid w:val="00BD03A3"/>
    <w:rsid w:val="00BE01FB"/>
    <w:rsid w:val="00BE389F"/>
    <w:rsid w:val="00BF31DF"/>
    <w:rsid w:val="00BF4D1D"/>
    <w:rsid w:val="00C07F84"/>
    <w:rsid w:val="00C11A16"/>
    <w:rsid w:val="00C20D6D"/>
    <w:rsid w:val="00C27779"/>
    <w:rsid w:val="00C33AC1"/>
    <w:rsid w:val="00C35DC0"/>
    <w:rsid w:val="00C470B1"/>
    <w:rsid w:val="00C4713C"/>
    <w:rsid w:val="00C53738"/>
    <w:rsid w:val="00C56EB6"/>
    <w:rsid w:val="00C647A1"/>
    <w:rsid w:val="00C77BC4"/>
    <w:rsid w:val="00C92B08"/>
    <w:rsid w:val="00C92FFA"/>
    <w:rsid w:val="00CA366D"/>
    <w:rsid w:val="00CC2275"/>
    <w:rsid w:val="00CC369A"/>
    <w:rsid w:val="00CC6468"/>
    <w:rsid w:val="00CD10B8"/>
    <w:rsid w:val="00CD6F7B"/>
    <w:rsid w:val="00CE07B5"/>
    <w:rsid w:val="00CE71E8"/>
    <w:rsid w:val="00CE7902"/>
    <w:rsid w:val="00CF3386"/>
    <w:rsid w:val="00CF597D"/>
    <w:rsid w:val="00D000F8"/>
    <w:rsid w:val="00D029F7"/>
    <w:rsid w:val="00D318EF"/>
    <w:rsid w:val="00D40B10"/>
    <w:rsid w:val="00D446CB"/>
    <w:rsid w:val="00D469C3"/>
    <w:rsid w:val="00D519A2"/>
    <w:rsid w:val="00D53FB1"/>
    <w:rsid w:val="00D63E58"/>
    <w:rsid w:val="00D72CED"/>
    <w:rsid w:val="00D73F13"/>
    <w:rsid w:val="00D7564A"/>
    <w:rsid w:val="00D8145F"/>
    <w:rsid w:val="00D8756B"/>
    <w:rsid w:val="00D945BF"/>
    <w:rsid w:val="00D96E47"/>
    <w:rsid w:val="00DA6E38"/>
    <w:rsid w:val="00DB1E36"/>
    <w:rsid w:val="00DB5B83"/>
    <w:rsid w:val="00DC36DA"/>
    <w:rsid w:val="00DC3830"/>
    <w:rsid w:val="00DD3D78"/>
    <w:rsid w:val="00DE1524"/>
    <w:rsid w:val="00DE1C1C"/>
    <w:rsid w:val="00DF3E55"/>
    <w:rsid w:val="00DF40D3"/>
    <w:rsid w:val="00E01EB5"/>
    <w:rsid w:val="00E0432E"/>
    <w:rsid w:val="00E20818"/>
    <w:rsid w:val="00E330A5"/>
    <w:rsid w:val="00E33758"/>
    <w:rsid w:val="00E50DCB"/>
    <w:rsid w:val="00E5484E"/>
    <w:rsid w:val="00E55C30"/>
    <w:rsid w:val="00E56D3A"/>
    <w:rsid w:val="00E6255E"/>
    <w:rsid w:val="00E62997"/>
    <w:rsid w:val="00E66C17"/>
    <w:rsid w:val="00E67923"/>
    <w:rsid w:val="00E7366E"/>
    <w:rsid w:val="00E81986"/>
    <w:rsid w:val="00E84B18"/>
    <w:rsid w:val="00E862BC"/>
    <w:rsid w:val="00E90969"/>
    <w:rsid w:val="00E92020"/>
    <w:rsid w:val="00E94495"/>
    <w:rsid w:val="00E966B4"/>
    <w:rsid w:val="00E979EA"/>
    <w:rsid w:val="00EA767B"/>
    <w:rsid w:val="00EB61C9"/>
    <w:rsid w:val="00EB7C6F"/>
    <w:rsid w:val="00EC3E1C"/>
    <w:rsid w:val="00EC7337"/>
    <w:rsid w:val="00ED2031"/>
    <w:rsid w:val="00EE1A25"/>
    <w:rsid w:val="00EE2F2D"/>
    <w:rsid w:val="00EE731E"/>
    <w:rsid w:val="00EF1FDE"/>
    <w:rsid w:val="00F04A95"/>
    <w:rsid w:val="00F06B7B"/>
    <w:rsid w:val="00F07199"/>
    <w:rsid w:val="00F1106F"/>
    <w:rsid w:val="00F11F50"/>
    <w:rsid w:val="00F149A2"/>
    <w:rsid w:val="00F15BCE"/>
    <w:rsid w:val="00F215CF"/>
    <w:rsid w:val="00F228C1"/>
    <w:rsid w:val="00F23D9F"/>
    <w:rsid w:val="00F243F7"/>
    <w:rsid w:val="00F25F55"/>
    <w:rsid w:val="00F26917"/>
    <w:rsid w:val="00F316B9"/>
    <w:rsid w:val="00F3418D"/>
    <w:rsid w:val="00F37409"/>
    <w:rsid w:val="00F412EF"/>
    <w:rsid w:val="00F417D2"/>
    <w:rsid w:val="00F423F4"/>
    <w:rsid w:val="00F53E26"/>
    <w:rsid w:val="00F60D46"/>
    <w:rsid w:val="00F617C8"/>
    <w:rsid w:val="00F7252B"/>
    <w:rsid w:val="00F74391"/>
    <w:rsid w:val="00F74C41"/>
    <w:rsid w:val="00F76067"/>
    <w:rsid w:val="00F84F46"/>
    <w:rsid w:val="00F857E7"/>
    <w:rsid w:val="00F85F81"/>
    <w:rsid w:val="00F86B21"/>
    <w:rsid w:val="00F96B42"/>
    <w:rsid w:val="00FA111B"/>
    <w:rsid w:val="00FA5EF2"/>
    <w:rsid w:val="00FA770F"/>
    <w:rsid w:val="00FB4326"/>
    <w:rsid w:val="00FB43D8"/>
    <w:rsid w:val="00FB6E29"/>
    <w:rsid w:val="00FC3B9F"/>
    <w:rsid w:val="00FC6BAB"/>
    <w:rsid w:val="00FD422D"/>
    <w:rsid w:val="00FD474C"/>
    <w:rsid w:val="00FF62C6"/>
    <w:rsid w:val="00FF7645"/>
    <w:rsid w:val="02E01C47"/>
    <w:rsid w:val="09730E8F"/>
    <w:rsid w:val="0AC06D75"/>
    <w:rsid w:val="0AD70623"/>
    <w:rsid w:val="0BAB0918"/>
    <w:rsid w:val="0CE40393"/>
    <w:rsid w:val="0F8B3E22"/>
    <w:rsid w:val="17890E47"/>
    <w:rsid w:val="189764CC"/>
    <w:rsid w:val="1AFC1190"/>
    <w:rsid w:val="1C237D46"/>
    <w:rsid w:val="21551829"/>
    <w:rsid w:val="22157B7B"/>
    <w:rsid w:val="227B5090"/>
    <w:rsid w:val="25612267"/>
    <w:rsid w:val="25EA6A1D"/>
    <w:rsid w:val="27533F68"/>
    <w:rsid w:val="2A0C4820"/>
    <w:rsid w:val="2EA96AE1"/>
    <w:rsid w:val="36C97D20"/>
    <w:rsid w:val="3A121F53"/>
    <w:rsid w:val="3C522566"/>
    <w:rsid w:val="45327DE5"/>
    <w:rsid w:val="46670015"/>
    <w:rsid w:val="4A05330E"/>
    <w:rsid w:val="4A9F5650"/>
    <w:rsid w:val="57D83E10"/>
    <w:rsid w:val="57F73B56"/>
    <w:rsid w:val="661029C7"/>
    <w:rsid w:val="67DC5256"/>
    <w:rsid w:val="69674A06"/>
    <w:rsid w:val="6AA96927"/>
    <w:rsid w:val="7028360F"/>
    <w:rsid w:val="70CF3030"/>
    <w:rsid w:val="71290DE0"/>
    <w:rsid w:val="771509A7"/>
    <w:rsid w:val="7D0804C4"/>
    <w:rsid w:val="7DBB26C1"/>
    <w:rsid w:val="BDE96EED"/>
    <w:rsid w:val="F575E0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6A9A6C2"/>
  <w15:docId w15:val="{BFB9D21A-68F0-405D-B526-5AEA820FA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unhideWhenUsed="1" w:qFormat="1"/>
    <w:lsdException w:name="header" w:qFormat="1"/>
    <w:lsdException w:name="footer" w:qFormat="1"/>
    <w:lsdException w:name="caption" w:semiHidden="1" w:unhideWhenUsed="1" w:qFormat="1"/>
    <w:lsdException w:name="annotation reference" w:uiPriority="99" w:unhideWhenUsed="1" w:qFormat="1"/>
    <w:lsdException w:name="page number" w:qFormat="1"/>
    <w:lsdException w:name="Title" w:qFormat="1"/>
    <w:lsdException w:name="Default Paragraph Font" w:semiHidden="1" w:uiPriority="1" w:unhideWhenUsed="1" w:qFormat="1"/>
    <w:lsdException w:name="Body Text" w:qFormat="1"/>
    <w:lsdException w:name="Subtitle" w:qFormat="1"/>
    <w:lsdException w:name="Salutation" w:qFormat="1"/>
    <w:lsdException w:name="Body Text 2" w:qFormat="1"/>
    <w:lsdException w:name="Block Text" w:qFormat="1"/>
    <w:lsdException w:name="Hyperlink" w:qFormat="1"/>
    <w:lsdException w:name="Followed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HTML Preformatted"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lang w:val="en-GB" w:eastAsia="en-US"/>
    </w:rPr>
  </w:style>
  <w:style w:type="paragraph" w:styleId="1">
    <w:name w:val="heading 1"/>
    <w:basedOn w:val="a"/>
    <w:next w:val="a"/>
    <w:qFormat/>
    <w:pPr>
      <w:keepNext/>
      <w:widowControl w:val="0"/>
      <w:autoSpaceDE w:val="0"/>
      <w:autoSpaceDN w:val="0"/>
      <w:adjustRightInd w:val="0"/>
      <w:jc w:val="center"/>
      <w:outlineLvl w:val="0"/>
    </w:pPr>
    <w:rPr>
      <w:b/>
      <w:bCs/>
      <w:lang w:val="en-US"/>
    </w:rPr>
  </w:style>
  <w:style w:type="paragraph" w:styleId="2">
    <w:name w:val="heading 2"/>
    <w:basedOn w:val="a"/>
    <w:next w:val="a"/>
    <w:qFormat/>
    <w:pPr>
      <w:keepNext/>
      <w:widowControl w:val="0"/>
      <w:pBdr>
        <w:top w:val="single" w:sz="6" w:space="0" w:color="auto"/>
      </w:pBdr>
      <w:autoSpaceDE w:val="0"/>
      <w:autoSpaceDN w:val="0"/>
      <w:adjustRightInd w:val="0"/>
      <w:outlineLvl w:val="1"/>
    </w:pPr>
    <w:rPr>
      <w:b/>
      <w:bCs/>
      <w:lang w:val="en-US"/>
    </w:rPr>
  </w:style>
  <w:style w:type="paragraph" w:styleId="3">
    <w:name w:val="heading 3"/>
    <w:basedOn w:val="a"/>
    <w:next w:val="a"/>
    <w:qFormat/>
    <w:pPr>
      <w:keepNext/>
      <w:widowControl w:val="0"/>
      <w:autoSpaceDE w:val="0"/>
      <w:autoSpaceDN w:val="0"/>
      <w:adjustRightInd w:val="0"/>
      <w:outlineLvl w:val="2"/>
    </w:pPr>
    <w:rPr>
      <w:b/>
      <w:bCs/>
      <w:u w:val="single"/>
      <w:lang w:val="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widowControl w:val="0"/>
    </w:pPr>
    <w:rPr>
      <w:kern w:val="2"/>
      <w:sz w:val="21"/>
      <w:szCs w:val="22"/>
      <w:lang w:val="en-US" w:eastAsia="zh-CN"/>
    </w:rPr>
  </w:style>
  <w:style w:type="paragraph" w:styleId="a5">
    <w:name w:val="Salutation"/>
    <w:basedOn w:val="a"/>
    <w:next w:val="a"/>
    <w:qFormat/>
    <w:pPr>
      <w:spacing w:before="600" w:after="220"/>
    </w:pPr>
    <w:rPr>
      <w:rFonts w:ascii="BTMedium" w:hAnsi="BTMedium"/>
      <w:sz w:val="22"/>
    </w:rPr>
  </w:style>
  <w:style w:type="paragraph" w:styleId="a6">
    <w:name w:val="Body Text"/>
    <w:basedOn w:val="a"/>
    <w:qFormat/>
    <w:pPr>
      <w:widowControl w:val="0"/>
      <w:autoSpaceDE w:val="0"/>
      <w:autoSpaceDN w:val="0"/>
      <w:adjustRightInd w:val="0"/>
      <w:jc w:val="both"/>
    </w:pPr>
    <w:rPr>
      <w:i/>
      <w:iCs/>
      <w:lang w:val="en-US"/>
    </w:rPr>
  </w:style>
  <w:style w:type="paragraph" w:styleId="a7">
    <w:name w:val="Block Text"/>
    <w:basedOn w:val="a"/>
    <w:qFormat/>
    <w:pPr>
      <w:spacing w:line="260" w:lineRule="exact"/>
      <w:ind w:left="162" w:right="342"/>
    </w:pPr>
    <w:rPr>
      <w:szCs w:val="20"/>
      <w:lang w:val="en-US"/>
    </w:rPr>
  </w:style>
  <w:style w:type="paragraph" w:styleId="a8">
    <w:name w:val="Balloon Text"/>
    <w:basedOn w:val="a"/>
    <w:link w:val="a9"/>
    <w:qFormat/>
    <w:rPr>
      <w:rFonts w:ascii="Tahoma" w:hAnsi="Tahoma"/>
      <w:sz w:val="16"/>
      <w:szCs w:val="16"/>
    </w:rPr>
  </w:style>
  <w:style w:type="paragraph" w:styleId="aa">
    <w:name w:val="footer"/>
    <w:basedOn w:val="a"/>
    <w:qFormat/>
    <w:pPr>
      <w:tabs>
        <w:tab w:val="center" w:pos="4153"/>
        <w:tab w:val="right" w:pos="8306"/>
      </w:tabs>
    </w:pPr>
  </w:style>
  <w:style w:type="paragraph" w:styleId="ab">
    <w:name w:val="header"/>
    <w:basedOn w:val="a"/>
    <w:qFormat/>
    <w:pPr>
      <w:tabs>
        <w:tab w:val="center" w:pos="4153"/>
        <w:tab w:val="right" w:pos="8306"/>
      </w:tabs>
    </w:pPr>
  </w:style>
  <w:style w:type="paragraph" w:styleId="20">
    <w:name w:val="Body Text 2"/>
    <w:basedOn w:val="a"/>
    <w:qFormat/>
    <w:pPr>
      <w:widowControl w:val="0"/>
      <w:autoSpaceDE w:val="0"/>
      <w:autoSpaceDN w:val="0"/>
      <w:adjustRightInd w:val="0"/>
      <w:jc w:val="both"/>
    </w:pPr>
    <w:rPr>
      <w:sz w:val="22"/>
    </w:r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hint="eastAsia"/>
      <w:lang w:val="en-US" w:eastAsia="zh-CN"/>
    </w:rPr>
  </w:style>
  <w:style w:type="paragraph" w:styleId="ac">
    <w:name w:val="Title"/>
    <w:basedOn w:val="a"/>
    <w:qFormat/>
    <w:pPr>
      <w:widowControl w:val="0"/>
      <w:pBdr>
        <w:bottom w:val="double" w:sz="6" w:space="0" w:color="auto"/>
      </w:pBdr>
      <w:autoSpaceDE w:val="0"/>
      <w:autoSpaceDN w:val="0"/>
      <w:adjustRightInd w:val="0"/>
      <w:jc w:val="center"/>
    </w:pPr>
    <w:rPr>
      <w:b/>
      <w:bCs/>
      <w:sz w:val="36"/>
      <w:szCs w:val="32"/>
      <w:lang w:val="en-US"/>
    </w:rPr>
  </w:style>
  <w:style w:type="paragraph" w:styleId="ad">
    <w:name w:val="annotation subject"/>
    <w:basedOn w:val="a3"/>
    <w:next w:val="a3"/>
    <w:link w:val="ae"/>
    <w:qFormat/>
    <w:pPr>
      <w:widowControl/>
    </w:pPr>
    <w:rPr>
      <w:b/>
      <w:bCs/>
      <w:kern w:val="0"/>
      <w:sz w:val="24"/>
      <w:szCs w:val="24"/>
      <w:lang w:val="en-GB" w:eastAsia="en-US"/>
    </w:rPr>
  </w:style>
  <w:style w:type="table" w:styleId="af">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uiPriority w:val="22"/>
    <w:qFormat/>
    <w:rPr>
      <w:b/>
    </w:rPr>
  </w:style>
  <w:style w:type="character" w:styleId="af1">
    <w:name w:val="page number"/>
    <w:basedOn w:val="a0"/>
    <w:qFormat/>
  </w:style>
  <w:style w:type="character" w:styleId="af2">
    <w:name w:val="FollowedHyperlink"/>
    <w:qFormat/>
    <w:rPr>
      <w:color w:val="800080"/>
      <w:u w:val="single"/>
    </w:rPr>
  </w:style>
  <w:style w:type="character" w:styleId="af3">
    <w:name w:val="Hyperlink"/>
    <w:qFormat/>
    <w:rPr>
      <w:color w:val="0000FF"/>
      <w:u w:val="single"/>
    </w:rPr>
  </w:style>
  <w:style w:type="character" w:styleId="af4">
    <w:name w:val="annotation reference"/>
    <w:uiPriority w:val="99"/>
    <w:unhideWhenUsed/>
    <w:qFormat/>
    <w:rPr>
      <w:sz w:val="21"/>
      <w:szCs w:val="21"/>
    </w:rPr>
  </w:style>
  <w:style w:type="character" w:customStyle="1" w:styleId="Char1">
    <w:name w:val="批注文字 Char1"/>
    <w:qFormat/>
    <w:rPr>
      <w:sz w:val="24"/>
      <w:szCs w:val="24"/>
      <w:lang w:val="en-GB" w:eastAsia="en-US"/>
    </w:rPr>
  </w:style>
  <w:style w:type="character" w:customStyle="1" w:styleId="a4">
    <w:name w:val="批注文字 字符"/>
    <w:link w:val="a3"/>
    <w:uiPriority w:val="99"/>
    <w:qFormat/>
    <w:rPr>
      <w:kern w:val="2"/>
      <w:sz w:val="21"/>
      <w:szCs w:val="22"/>
    </w:rPr>
  </w:style>
  <w:style w:type="character" w:customStyle="1" w:styleId="contenttitle2">
    <w:name w:val="contenttitle2"/>
    <w:qFormat/>
    <w:rPr>
      <w:b/>
      <w:bCs/>
      <w:color w:val="2779B6"/>
    </w:rPr>
  </w:style>
  <w:style w:type="character" w:customStyle="1" w:styleId="highlight1">
    <w:name w:val="highlight1"/>
    <w:qFormat/>
    <w:rPr>
      <w:shd w:val="clear" w:color="auto" w:fill="D6EBF9"/>
    </w:rPr>
  </w:style>
  <w:style w:type="character" w:customStyle="1" w:styleId="a9">
    <w:name w:val="批注框文本 字符"/>
    <w:link w:val="a8"/>
    <w:qFormat/>
    <w:rPr>
      <w:rFonts w:ascii="Tahoma" w:hAnsi="Tahoma" w:cs="Tahoma"/>
      <w:sz w:val="16"/>
      <w:szCs w:val="16"/>
      <w:lang w:val="en-GB"/>
    </w:rPr>
  </w:style>
  <w:style w:type="paragraph" w:customStyle="1" w:styleId="ResumeSectionHeading">
    <w:name w:val="ResumeSectionHeading"/>
    <w:basedOn w:val="a"/>
    <w:qFormat/>
    <w:pPr>
      <w:shd w:val="pct60" w:color="auto" w:fill="FFFFFF"/>
      <w:spacing w:beforeLines="30" w:before="72"/>
    </w:pPr>
    <w:rPr>
      <w:rFonts w:ascii="Book Antiqua" w:hAnsi="Book Antiqua"/>
      <w:b/>
      <w:color w:val="FFFFFF"/>
      <w:sz w:val="22"/>
      <w:szCs w:val="22"/>
    </w:rPr>
  </w:style>
  <w:style w:type="paragraph" w:customStyle="1" w:styleId="detailswbullets1">
    <w:name w:val="details w/bullets 1"/>
    <w:basedOn w:val="a"/>
    <w:link w:val="detailswbullets1Char"/>
    <w:qFormat/>
    <w:pPr>
      <w:numPr>
        <w:numId w:val="1"/>
      </w:numPr>
    </w:pPr>
    <w:rPr>
      <w:rFonts w:eastAsia="Times New Roman"/>
      <w:sz w:val="20"/>
      <w:lang w:val="en-US"/>
    </w:rPr>
  </w:style>
  <w:style w:type="character" w:customStyle="1" w:styleId="detailswbullets1Char">
    <w:name w:val="details w/bullets 1 Char"/>
    <w:link w:val="detailswbullets1"/>
    <w:qFormat/>
    <w:rPr>
      <w:rFonts w:eastAsia="Times New Roman"/>
      <w:szCs w:val="24"/>
    </w:rPr>
  </w:style>
  <w:style w:type="character" w:customStyle="1" w:styleId="ae">
    <w:name w:val="批注主题 字符"/>
    <w:link w:val="ad"/>
    <w:qFormat/>
    <w:rPr>
      <w:b/>
      <w:bCs/>
      <w:kern w:val="2"/>
      <w:sz w:val="24"/>
      <w:szCs w:val="24"/>
      <w:lang w:val="en-GB" w:eastAsia="en-US"/>
    </w:rPr>
  </w:style>
  <w:style w:type="paragraph" w:styleId="af5">
    <w:name w:val="List Paragraph"/>
    <w:basedOn w:val="a"/>
    <w:uiPriority w:val="34"/>
    <w:qFormat/>
    <w:pPr>
      <w:widowControl w:val="0"/>
      <w:ind w:firstLineChars="200" w:firstLine="420"/>
      <w:jc w:val="both"/>
    </w:pPr>
    <w:rPr>
      <w:rFonts w:asciiTheme="minorHAnsi" w:eastAsiaTheme="minorEastAsia" w:hAnsiTheme="minorHAnsi" w:cstheme="minorBidi"/>
      <w:kern w:val="2"/>
      <w:sz w:val="21"/>
      <w:szCs w:val="22"/>
      <w:lang w:val="en-US" w:eastAsia="zh-CN"/>
    </w:rPr>
  </w:style>
  <w:style w:type="paragraph" w:customStyle="1" w:styleId="ds-markdown-paragraph">
    <w:name w:val="ds-markdown-paragraph"/>
    <w:basedOn w:val="a"/>
    <w:pPr>
      <w:spacing w:before="100" w:beforeAutospacing="1" w:after="100" w:afterAutospacing="1"/>
    </w:pPr>
    <w:rPr>
      <w:rFonts w:ascii="宋体" w:hAnsi="宋体" w:cs="宋体"/>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zenglei_0824@163.com"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2013 - 2022 主题">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122</TotalTime>
  <Pages>2</Pages>
  <Words>1271</Words>
  <Characters>1500</Characters>
  <Application>Microsoft Office Word</Application>
  <DocSecurity>0</DocSecurity>
  <Lines>60</Lines>
  <Paragraphs>72</Paragraphs>
  <ScaleCrop>false</ScaleCrop>
  <Company>The CV Centre</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dc:title>
  <dc:creator>Lei Zeng</dc:creator>
  <cp:lastModifiedBy>Lei Zeng</cp:lastModifiedBy>
  <cp:revision>42</cp:revision>
  <cp:lastPrinted>2025-09-26T11:28:00Z</cp:lastPrinted>
  <dcterms:created xsi:type="dcterms:W3CDTF">2024-06-05T02:41:00Z</dcterms:created>
  <dcterms:modified xsi:type="dcterms:W3CDTF">2026-07-20T14:55:00Z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KSOTemplateDocerSaveRecord">
    <vt:lpwstr>eyJoZGlkIjoiOTQ3MGQxZjQ1OWYxOTdhNGRlYTdmZTQ5MmI2MWM0M2YiLCJ1c2VySWQiOiI2Mzg0MjUzNTkifQ==</vt:lpwstr>
  </property>
  <property fmtid="{D5CDD505-2E9C-101B-9397-08002B2CF9AE}" pid="4" name="ICV">
    <vt:lpwstr>585B13AF9E964229B93D9BCD82489115_13</vt:lpwstr>
  </property>
</Properties>
</file>