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360"/>
      </w:pPr>
      <w:r>
        <w:rPr>
          <w:rFonts w:ascii="Calibri" w:hAnsi="Calibri"/>
          <w:b/>
          <w:i w:val="0"/>
          <w:color w:val="111820"/>
          <w:sz w:val="24"/>
          <w:highlight w:val="yellow"/>
        </w:rPr>
        <w:t>LTFT</w:t>
      </w:r>
      <w:r>
        <w:rPr>
          <w:rFonts w:ascii="Calibri" w:hAnsi="Calibri"/>
          <w:b/>
          <w:i w:val="0"/>
          <w:color w:val="132431"/>
          <w:sz w:val="24"/>
        </w:rPr>
        <w:t xml:space="preserve">  COMAND CENTER</w:t>
      </w:r>
    </w:p>
    <w:p>
      <w:pPr>
        <w:keepNext w:val="0"/>
        <w:spacing w:before="0" w:after="240" w:line="300" w:lineRule="auto"/>
      </w:pPr>
      <w:r>
        <w:rPr>
          <w:rFonts w:ascii="Calibri" w:hAnsi="Calibri"/>
          <w:b/>
          <w:i w:val="0"/>
          <w:color w:val="E30613"/>
          <w:sz w:val="22"/>
        </w:rPr>
        <w:t>RELATÓRIO TÉCNICO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32431"/>
          <w:sz w:val="56"/>
        </w:rPr>
        <w:t>Arquitetura, prioridades e estado de implementação</w:t>
      </w:r>
    </w:p>
    <w:p>
      <w:pPr>
        <w:keepNext w:val="0"/>
        <w:spacing w:before="0" w:after="400" w:line="300" w:lineRule="auto"/>
      </w:pPr>
      <w:r>
        <w:rPr>
          <w:rFonts w:ascii="Calibri" w:hAnsi="Calibri"/>
          <w:b/>
          <w:i w:val="0"/>
          <w:color w:val="294967"/>
          <w:sz w:val="34"/>
        </w:rPr>
        <w:t>Inventário P0 · P1 · P2</w:t>
      </w:r>
    </w:p>
    <w:p>
      <w:pPr>
        <w:keepNext w:val="0"/>
        <w:spacing w:before="0" w:after="480" w:line="300" w:lineRule="auto"/>
      </w:pPr>
      <w:r>
        <w:rPr>
          <w:rFonts w:ascii="Calibri" w:hAnsi="Calibri"/>
          <w:b w:val="0"/>
          <w:i w:val="0"/>
          <w:color w:val="66737F"/>
          <w:sz w:val="24"/>
        </w:rPr>
        <w:t>Documento de passagem para revisão e estabilização do produto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D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57A00"/>
                <w:sz w:val="22"/>
              </w:rPr>
              <w:t xml:space="preserve">Leitura rápida  </w:t>
            </w:r>
            <w:r>
              <w:rPr>
                <w:rFonts w:ascii="Calibri" w:hAnsi="Calibri"/>
                <w:b w:val="0"/>
                <w:i w:val="0"/>
                <w:color w:val="111820"/>
                <w:sz w:val="22"/>
              </w:rPr>
              <w:t>A base funcional está operacional e os fluxos principais foram demonstrados. A plataforma ainda não deve ser considerada estabilizada: existem cinco bloqueadores P0, testes de segurança em falso negativo e lacunas importantes de automação.</w:t>
            </w:r>
          </w:p>
        </w:tc>
      </w:tr>
    </w:tbl>
    <w:p>
      <w:pPr>
        <w:spacing w:after="20"/>
      </w:pPr>
    </w:p>
    <w:p>
      <w:pPr>
        <w:keepNext w:val="0"/>
        <w:spacing w:before="0" w:after="60" w:line="300" w:lineRule="auto"/>
      </w:pPr>
      <w:r>
        <w:rPr>
          <w:rFonts w:ascii="Calibri" w:hAnsi="Calibri"/>
          <w:b/>
          <w:i w:val="0"/>
          <w:color w:val="132431"/>
          <w:sz w:val="22"/>
        </w:rPr>
        <w:t>Âmbito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111820"/>
          <w:sz w:val="21"/>
        </w:rPr>
        <w:t>Frontend React, backend Spring Boot, PostgreSQL/Flyway, Keycloak/OIDC, ciclo Joiner–Mover–Leaver, validação VIES e geração de PDF.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/>
          <w:i w:val="0"/>
          <w:color w:val="132431"/>
          <w:sz w:val="22"/>
        </w:rPr>
        <w:t>Base de evidência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111820"/>
          <w:sz w:val="21"/>
        </w:rPr>
        <w:t>Build frontend, suite Maven, testes E2E com roles reais, inspeção de código e validação visual do PDF.</w:t>
      </w:r>
    </w:p>
    <w:p>
      <w:pPr>
        <w:keepNext w:val="0"/>
        <w:spacing w:before="0" w:after="0" w:line="300" w:lineRule="auto"/>
      </w:pPr>
      <w:r>
        <w:rPr>
          <w:rFonts w:ascii="Calibri" w:hAnsi="Calibri"/>
          <w:b/>
          <w:i w:val="0"/>
          <w:color w:val="66737F"/>
          <w:sz w:val="19"/>
        </w:rPr>
        <w:t>Estado do documento: para revisão técnica e execução</w:t>
      </w:r>
    </w:p>
    <w:p>
      <w:r>
        <w:br w:type="page"/>
      </w:r>
    </w:p>
    <w:p>
      <w:pPr>
        <w:pStyle w:val="Heading1"/>
        <w:keepNext/>
      </w:pPr>
      <w:r>
        <w:t>1. Resumo executivo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O LTFT Comand Center já possui uma fundação utilizável: autenticação OIDC, gestão de clientes, conta com serviços mock, PDF, validação VIES e administração JML. A arquitetura é coerente para esta fase, mas alguns comportamentos quebram regras de negócio ou impedem uma validação confiável.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94967"/>
                <w:sz w:val="22"/>
              </w:rPr>
              <w:t xml:space="preserve">Decisão recomendada  </w:t>
            </w:r>
            <w:r>
              <w:rPr>
                <w:rFonts w:ascii="Calibri" w:hAnsi="Calibri"/>
                <w:b w:val="0"/>
                <w:i w:val="0"/>
                <w:color w:val="111820"/>
                <w:sz w:val="22"/>
              </w:rPr>
              <w:t>Suspender novas funcionalidades grandes até os P0 estarem corrigidos e automatizados. Em seguida, fechar os P1 de qualidade e só depois avançar para P2 de robustez e evolução.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Legenda de estado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6835D"/>
                <w:sz w:val="19"/>
              </w:rPr>
              <w:t>PRONTO</w:t>
            </w:r>
          </w:p>
        </w:tc>
        <w:tc>
          <w:tcPr>
            <w:tcW w:type="dxa" w:w="2340"/>
            <w:shd w:fill="FFF2D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C57A00"/>
                <w:sz w:val="19"/>
              </w:rPr>
              <w:t>PARCIAL</w:t>
            </w:r>
          </w:p>
        </w:tc>
        <w:tc>
          <w:tcPr>
            <w:tcW w:type="dxa" w:w="2340"/>
            <w:shd w:fill="FBE9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E30613"/>
                <w:sz w:val="19"/>
              </w:rPr>
              <w:t>BUG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94967"/>
                <w:sz w:val="19"/>
              </w:rPr>
              <w:t>PLANEADO</w:t>
            </w:r>
          </w:p>
        </w:tc>
      </w:tr>
    </w:tbl>
    <w:p>
      <w:pPr>
        <w:pStyle w:val="Heading2"/>
        <w:keepNext/>
      </w:pPr>
      <w:r>
        <w:t>Indicadores verificados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Frontend: build de produção concluído com sucesso.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Backend: 34 testes executados; 29 passaram e 5 falharam por configuração do harness de segurança.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E2E: login, logout, matriz real de roles, clientes, JML, conta, PDF e cenários VIES determinísticos foram exercitados.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Infraestrutura: PostgreSQL, Keycloak, backend e frontend responderam localmente; Flyway validou V1–V5.</w:t>
      </w:r>
    </w:p>
    <w:p>
      <w:pPr>
        <w:pStyle w:val="Heading1"/>
        <w:keepNext/>
      </w:pPr>
      <w:r>
        <w:t>2. Arquitetura atual</w:t>
      </w:r>
    </w:p>
    <w:p>
      <w:r>
        <w:drawing>
          <wp:inline xmlns:a="http://schemas.openxmlformats.org/drawingml/2006/main" xmlns:pic="http://schemas.openxmlformats.org/drawingml/2006/picture">
            <wp:extent cx="5943600" cy="3417570"/>
            <wp:docPr id="1" name="Picture 1" descr="Diagrama da arquitetura LTFT Comand Center: frontend React comunica com backend Spring Boot; backend valida JWT e usa a Admin API do Keycloak, persiste em PostgreSQL e consulta o VIES; o frontend gera o PDF localm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f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 — Arquitetura lógica e fronteiras de confiança.</w:t>
      </w:r>
      <w:r>
        <w:rPr>
          <w:rFonts w:ascii="Calibri" w:hAnsi="Calibri"/>
          <w:b w:val="0"/>
          <w:i/>
          <w:color w:val="66737F"/>
          <w:sz w:val="18"/>
        </w:rPr>
      </w:r>
    </w:p>
    <w:p>
      <w:pPr>
        <w:pStyle w:val="Heading2"/>
        <w:keepNext/>
      </w:pPr>
      <w:r>
        <w:t>Responsabilidades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Frontend: experiência de utilizador, rotas, formulários, filtros, PDF local e fluxo OIDC com PKCE.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Backend: autorização efetiva, regras de negócio, APIs, persistência e isolamento das integrações externas.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Keycloak: autenticação, emissão de JWT, roles, sessões e gestão de identidades usada pelo JML.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PostgreSQL: clientes, sequências por agência e auditoria JML, governados por Flyway.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VIES: validação externa de VAT intracomunitário; não é uma fonte universal de existência do NIF nem de faturação.</w:t>
      </w:r>
    </w:p>
    <w:p>
      <w:r>
        <w:br w:type="page"/>
      </w:r>
    </w:p>
    <w:p>
      <w:pPr>
        <w:pStyle w:val="Heading1"/>
        <w:keepNext/>
      </w:pPr>
      <w:r>
        <w:t>3. Matriz consolidada de funcionalidades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150"/>
        <w:gridCol w:w="3160"/>
        <w:gridCol w:w="3150"/>
      </w:tblGrid>
      <w:tr>
        <w:trPr>
          <w:cantSplit/>
        </w:trPr>
        <w:tc>
          <w:tcPr>
            <w:tcW w:type="dxa" w:w="190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Área</w:t>
            </w:r>
          </w:p>
        </w:tc>
        <w:tc>
          <w:tcPr>
            <w:tcW w:type="dxa" w:w="115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316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Evidência</w:t>
            </w:r>
          </w:p>
        </w:tc>
        <w:tc>
          <w:tcPr>
            <w:tcW w:type="dxa" w:w="315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Próxima condição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Infraestrutura local</w:t>
            </w:r>
          </w:p>
        </w:tc>
        <w:tc>
          <w:tcPr>
            <w:tcW w:type="dxa" w:w="1150"/>
            <w:shd w:fill="E7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6835D"/>
                <w:sz w:val="18"/>
              </w:rPr>
              <w:t>PRONTO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PostgreSQL, Keycloak, backend e frontend disponíveis; health 200.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Automatizar ambiente limpo e health checks.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Login/logout OIDC</w:t>
            </w:r>
          </w:p>
        </w:tc>
        <w:tc>
          <w:tcPr>
            <w:tcW w:type="dxa" w:w="1150"/>
            <w:shd w:fill="FFF2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C57A00"/>
                <w:sz w:val="18"/>
              </w:rPr>
              <w:t>PARCIAL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prompt=none, PKCE, destino seguro, mutex e logout com id_token_hint implementados; fluxo público validado.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Confirmar F5/deep-link/logout com utilizador local autenticado.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Matriz de roles</w:t>
            </w:r>
          </w:p>
        </w:tc>
        <w:tc>
          <w:tcPr>
            <w:tcW w:type="dxa" w:w="1150"/>
            <w:shd w:fill="FFF2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C57A00"/>
                <w:sz w:val="18"/>
              </w:rPr>
              <w:t>PARCIAL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E2E real passou; 5 testes MockMvc falham por authorities.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Corrigir harness sem enfraquecer segurança.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Lista de clientes</w:t>
            </w:r>
          </w:p>
        </w:tc>
        <w:tc>
          <w:tcPr>
            <w:tcW w:type="dxa" w:w="1150"/>
            <w:shd w:fill="E7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6835D"/>
                <w:sz w:val="18"/>
              </w:rPr>
              <w:t>PRONTO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Página pedida atualiza diretamente conteúdo e metadados; mocks só na página 0.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Adicionar regressão automatizada com 51+ clientes.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Criação/edição</w:t>
            </w:r>
          </w:p>
        </w:tc>
        <w:tc>
          <w:tcPr>
            <w:tcW w:type="dxa" w:w="1150"/>
            <w:shd w:fill="FFF2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C57A00"/>
                <w:sz w:val="18"/>
              </w:rPr>
              <w:t>PARCIAL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CRUD e códigos por agência funcionam.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Forçar criação inativa; validar UX de aprovação.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Ativar/eliminar</w:t>
            </w:r>
          </w:p>
        </w:tc>
        <w:tc>
          <w:tcPr>
            <w:tcW w:type="dxa" w:w="1150"/>
            <w:shd w:fill="FFF2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C57A00"/>
                <w:sz w:val="18"/>
              </w:rPr>
              <w:t>PARCIAL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Endpoints ADMIN funcionam no E2E.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Cobrir regras e remover estado do formulário OPERATOR.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Conta e filtros</w:t>
            </w:r>
          </w:p>
        </w:tc>
        <w:tc>
          <w:tcPr>
            <w:tcW w:type="dxa" w:w="1150"/>
            <w:shd w:fill="FFF2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C57A00"/>
                <w:sz w:val="18"/>
              </w:rPr>
              <w:t>PARCIAL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Filtros mock por pagamento e data funcionam.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Carregar cliente por endpoint e ligar dados reais.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PDF</w:t>
            </w:r>
          </w:p>
        </w:tc>
        <w:tc>
          <w:tcPr>
            <w:tcW w:type="dxa" w:w="1150"/>
            <w:shd w:fill="FFF2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C57A00"/>
                <w:sz w:val="18"/>
              </w:rPr>
              <w:t>PARCIAL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Layout, logo, linhas e total validados.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Respeitar datas e corrigir acentos.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VIES</w:t>
            </w:r>
          </w:p>
        </w:tc>
        <w:tc>
          <w:tcPr>
            <w:tcW w:type="dxa" w:w="1150"/>
            <w:shd w:fill="FFF2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C57A00"/>
                <w:sz w:val="18"/>
              </w:rPr>
              <w:t>PARCIAL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Contrato, normalização e indisponibilidade implementados.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Smoke opt-in e robustez operacional.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JML</w:t>
            </w:r>
          </w:p>
        </w:tc>
        <w:tc>
          <w:tcPr>
            <w:tcW w:type="dxa" w:w="1150"/>
            <w:shd w:fill="FBE9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E30613"/>
                <w:sz w:val="18"/>
              </w:rPr>
              <w:t>BUG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Fluxo passa após permissão manual view-realm.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Configuração reproduzível e compensação atómica.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Erros genéricos</w:t>
            </w:r>
          </w:p>
        </w:tc>
        <w:tc>
          <w:tcPr>
            <w:tcW w:type="dxa" w:w="1150"/>
            <w:shd w:fill="E7F4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6835D"/>
                <w:sz w:val="18"/>
              </w:rPr>
              <w:t>PRONTO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400/404/409/502 e VIES não expõem detalhe técnico.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Adicionar testes negativos de não exposição.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Testes frontend</w:t>
            </w:r>
          </w:p>
        </w:tc>
        <w:tc>
          <w:tcPr>
            <w:tcW w:type="dxa" w:w="1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94967"/>
                <w:sz w:val="18"/>
              </w:rPr>
              <w:t>PLANEADO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Build passa; não existe suite frontend.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Vitest/RTL e Playwright.</w:t>
            </w:r>
          </w:p>
        </w:tc>
      </w:tr>
    </w:tbl>
    <w:p>
      <w:pPr>
        <w:pStyle w:val="Heading2"/>
        <w:keepNext/>
      </w:pPr>
      <w:r>
        <w:t>Regra de autorização de referência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Operação</w:t>
            </w:r>
          </w:p>
        </w:tc>
        <w:tc>
          <w:tcPr>
            <w:tcW w:type="dxa" w:w="156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ADMIN</w:t>
            </w:r>
          </w:p>
        </w:tc>
        <w:tc>
          <w:tcPr>
            <w:tcW w:type="dxa" w:w="156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OPERATOR</w:t>
            </w:r>
          </w:p>
        </w:tc>
        <w:tc>
          <w:tcPr>
            <w:tcW w:type="dxa" w:w="156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ACCOUNTING</w:t>
            </w:r>
          </w:p>
        </w:tc>
        <w:tc>
          <w:tcPr>
            <w:tcW w:type="dxa" w:w="156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CUSTOMER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Consultar clientes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Criar/editar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Ativar/eliminar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Conta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VIES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JML</w:t>
            </w:r>
          </w:p>
        </w:tc>
        <w:tc>
          <w:tcPr>
            <w:tcW w:type="dxa" w:w="1560"/>
            <w:shd w:fill="E7F4EE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Sim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  <w:tc>
          <w:tcPr>
            <w:tcW w:type="dxa" w:w="15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Não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P0 — Bloqueadores antes de avançar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E9EB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30613"/>
                <w:sz w:val="22"/>
              </w:rPr>
              <w:t xml:space="preserve">Definição P0  </w:t>
            </w:r>
            <w:r>
              <w:rPr>
                <w:rFonts w:ascii="Calibri" w:hAnsi="Calibri"/>
                <w:b w:val="0"/>
                <w:i w:val="0"/>
                <w:color w:val="111820"/>
                <w:sz w:val="22"/>
              </w:rPr>
              <w:t>Falha que quebra uma regra de segurança/negócio, impede validação confiável ou deixa estado inconsistente. Deve ser resolvida antes de novas funcionalidades.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943600" cy="3677602"/>
            <wp:docPr id="2" name="Picture 2" descr="Diagrama funcional P0 com cinco fluxos: testes de segurança, Joiner JML, aprovação de cliente, paginação e sessão OIDC, comparando risco atual e comportamento alv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ft_p0_funct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6737F"/>
          <w:sz w:val="18"/>
        </w:rPr>
        <w:t>Figura 2 — Fluxos funcionais P0: do comportamento atual ao estado corrigido.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E30613"/>
          <w:sz w:val="24"/>
        </w:rPr>
        <w:t xml:space="preserve">P0.1  </w:t>
      </w:r>
      <w:r>
        <w:rPr>
          <w:rFonts w:ascii="Calibri" w:hAnsi="Calibri"/>
          <w:b/>
          <w:i w:val="0"/>
          <w:color w:val="132431"/>
          <w:sz w:val="24"/>
        </w:rPr>
        <w:t>Cinco testes de segurança devolvem 403 incorreto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E30613"/>
          <w:sz w:val="19"/>
        </w:rPr>
        <w:t>Bug confirmado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A suite Maven não fica verde e pode mascarar regressões reais.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ACCOUNTING GET, ADMIN PATCH/DELETE e ADMIN/OPERATOR VIES falham no MockMvc; os mesmos acessos passaram com JWT reais.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Criar helper de teste que injete explicitamente ROLE_&lt;role&gt; ou exercite o conversor JwtAuthenticationConverter. Não alterar SecurityConfig para acomodar o teste.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mvn test com 34/34 ou mais testes verdes; casos de ausência de claims, lowercase e role proibida cobertos.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E30613"/>
          <w:sz w:val="24"/>
        </w:rPr>
        <w:t xml:space="preserve">P0.2  </w:t>
      </w:r>
      <w:r>
        <w:rPr>
          <w:rFonts w:ascii="Calibri" w:hAnsi="Calibri"/>
          <w:b/>
          <w:i w:val="0"/>
          <w:color w:val="132431"/>
          <w:sz w:val="24"/>
        </w:rPr>
        <w:t>JML depende de view-realm não declarada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E30613"/>
          <w:sz w:val="19"/>
        </w:rPr>
        <w:t>Bloqueador de ambiente limpo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Joiner pode devolver 502 e deixar utilizador parcialmente criado.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O cliente ltft-jml-service declarava manage-users/view-users/query-users; o GET da role exigiu view-realm no Keycloak 26.3.3.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Declarar a permissão mínima necessária no realm ou usar endpoint mais restrito. Implementar compensação: apagar/desativar o utilizador criado quando password, role ou auditoria falhar.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Realm importado de raiz executa Joiner/Mover/Leaver; falha induzida não deixa conta ativa incompleta.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E30613"/>
          <w:sz w:val="24"/>
        </w:rPr>
        <w:t xml:space="preserve">P0.3  </w:t>
      </w:r>
      <w:r>
        <w:rPr>
          <w:rFonts w:ascii="Calibri" w:hAnsi="Calibri"/>
          <w:b/>
          <w:i w:val="0"/>
          <w:color w:val="132431"/>
          <w:sz w:val="24"/>
        </w:rPr>
        <w:t>OPERATOR consegue criar cliente ativo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E30613"/>
          <w:sz w:val="19"/>
        </w:rPr>
        <w:t>Bug de autorização funcional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Contorna o processo de aprovação reservado a ADMIN.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active começa true, o checkbox é visível e o backend aceita active=true no POST do OPERATOR.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Backend deve ignorar o estado recebido e criar sempre active=false. Remover checkbox do formulário; status muda apenas no PATCH ADMIN.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POST de ADMIN ou OPERATOR resulta sempre inativo; apenas ADMIN altera o estado.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E30613"/>
          <w:sz w:val="24"/>
        </w:rPr>
        <w:t xml:space="preserve">P0.4  </w:t>
      </w:r>
      <w:r>
        <w:rPr>
          <w:rFonts w:ascii="Calibri" w:hAnsi="Calibri"/>
          <w:b/>
          <w:i w:val="0"/>
          <w:color w:val="132431"/>
          <w:sz w:val="24"/>
        </w:rPr>
        <w:t>Paginação da lista de clientes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16835D"/>
          <w:sz w:val="19"/>
        </w:rPr>
        <w:t>Pronto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O defeito fazia o utilizador ver metadados da página 2 com registos da página 1.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A correção removeu o refresh para page=0, guarda result.content da página pedida e mostra mocks apenas na página zero. O build frontend passou.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Implementado. Falta apenas transformar o cenário de 51+ clientes num teste automático de regressão.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Seguinte e Anterior usam a página pedida; mutações recarregam a página adequada; página vazia recua uma posição.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E30613"/>
          <w:sz w:val="24"/>
        </w:rPr>
        <w:t xml:space="preserve">P0.5  </w:t>
      </w:r>
      <w:r>
        <w:rPr>
          <w:rFonts w:ascii="Calibri" w:hAnsi="Calibri"/>
          <w:b/>
          <w:i w:val="0"/>
          <w:color w:val="132431"/>
          <w:sz w:val="24"/>
        </w:rPr>
        <w:t>Login/logout e recuperação da sessão OIDC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Parcial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O defeito original fazia F5 regressar ao Login apesar da sessão SSO continuar ativa.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Foram implementados prompt=none, preservação segura do deep-link, validação state/PKCE, mutex do refresh e logout com id_token_hint. Build e fluxo sem sessão passaram no Keycloak real.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Implementado no código. Falta confirmar recuperação e logout numa sessão autenticada com utilizador local válido.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F5 e deep-link recuperam SSO; logout termina sessão; pedidos concorrentes fazem uma única renovação.</w:t>
      </w:r>
    </w:p>
    <w:p>
      <w:r>
        <w:br w:type="page"/>
      </w:r>
    </w:p>
    <w:p>
      <w:pPr>
        <w:pStyle w:val="Heading1"/>
        <w:keepNext/>
      </w:pPr>
      <w:r>
        <w:t>5. P1 — Correções de qualidade e consistência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D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C57A00"/>
                <w:sz w:val="22"/>
              </w:rPr>
              <w:t xml:space="preserve">Definição P1  </w:t>
            </w:r>
            <w:r>
              <w:rPr>
                <w:rFonts w:ascii="Calibri" w:hAnsi="Calibri"/>
                <w:b w:val="0"/>
                <w:i w:val="0"/>
                <w:color w:val="111820"/>
                <w:sz w:val="22"/>
              </w:rPr>
              <w:t>Problema relevante que não bloqueia toda a plataforma, mas pode causar erro operacional, exposição desnecessária ou uma experiência enganadora.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943600" cy="4205097"/>
            <wp:docPr id="3" name="Picture 3" descr="Diagrama funcional P1 com seis fluxos: PDF, limpeza do Joiner, mutações da interface, conta e pesquisa, países versus VIES e resiliência V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ft_p1_functio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6737F"/>
          <w:sz w:val="18"/>
        </w:rPr>
        <w:t>Figura 3 — Fluxos funcionais P1: consistência operacional e experiência.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C57A00"/>
          <w:sz w:val="24"/>
        </w:rPr>
        <w:t xml:space="preserve">P1.1  </w:t>
      </w:r>
      <w:r>
        <w:rPr>
          <w:rFonts w:ascii="Calibri" w:hAnsi="Calibri"/>
          <w:b/>
          <w:i w:val="0"/>
          <w:color w:val="132431"/>
          <w:sz w:val="24"/>
        </w:rPr>
        <w:t>PDF ignora o intervalo de datas visível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Parcial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O documento pode incluir serviços fora do período que o utilizador pensa estar a exportar.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Com agosto selecionado, o PDF incluiu também um serviço de junho; a chamada recebe services em vez de filtered.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Definir se exporta todos os pendentes ou pendentes filtrados. Recomendação: respeitar datas, manter estado pendente e alterar o rótulo do botão. Incorporar fonte Unicode/WinAnsi para acentos.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PDF corresponde ao intervalo, mantém total sem sobreposição e escreve Página/Referência/Serviço/Não corretamente.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C57A00"/>
          <w:sz w:val="24"/>
        </w:rPr>
        <w:t xml:space="preserve">P1.2  </w:t>
      </w:r>
      <w:r>
        <w:rPr>
          <w:rFonts w:ascii="Calibri" w:hAnsi="Calibri"/>
          <w:b/>
          <w:i w:val="0"/>
          <w:color w:val="132431"/>
          <w:sz w:val="24"/>
        </w:rPr>
        <w:t>Password temporária permanece ao fechar o Joiner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E30613"/>
          <w:sz w:val="19"/>
        </w:rPr>
        <w:t>Bug confirmado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Credencial sensível fica no estado da interface e reaparece ao reabrir.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Cancelar e reabrir mantém username e password.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Centralizar closeJoiner() para limpar formulário e erro em Cancelar, X, overlay e sucesso.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Todos os fechos repõem emptyJoiner; teste RTL cobre os quatro caminhos.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C57A00"/>
          <w:sz w:val="24"/>
        </w:rPr>
        <w:t xml:space="preserve">P1.3  </w:t>
      </w:r>
      <w:r>
        <w:rPr>
          <w:rFonts w:ascii="Calibri" w:hAnsi="Calibri"/>
          <w:b/>
          <w:i w:val="0"/>
          <w:color w:val="132431"/>
          <w:sz w:val="24"/>
        </w:rPr>
        <w:t>Ações sem saving/pending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Por implementar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Duplo clique pode repetir POST, PUT, PATCH, DELETE e ações JML.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Não existe bloqueio consistente por formulário ou linha.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Adicionar submitting e pendingActionId; desativar botões; impedir erro tardio de uma segunda chamada.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Cada gesto gera uma só mutação e mostra feedback previsível.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C57A00"/>
          <w:sz w:val="24"/>
        </w:rPr>
        <w:t xml:space="preserve">P1.4  </w:t>
      </w:r>
      <w:r>
        <w:rPr>
          <w:rFonts w:ascii="Calibri" w:hAnsi="Calibri"/>
          <w:b/>
          <w:i w:val="0"/>
          <w:color w:val="132431"/>
          <w:sz w:val="24"/>
        </w:rPr>
        <w:t>Pesquisa e conta dependem da página carregada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Parcial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Clientes fora dos primeiros 50 podem não ser encontrados ou filtrados.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Pesquisa é client-side e a conta procura no array; já existe GET /api/customers/{uuid}.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Carregar cliente pelo endpoint individual, apresentar loading e mover pesquisa/estado para query params quando o requisito for global.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Deep-link de qualquer UUID funciona; pesquisa devolve resultados além da página atual.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C57A00"/>
          <w:sz w:val="24"/>
        </w:rPr>
        <w:t xml:space="preserve">P1.5  </w:t>
      </w:r>
      <w:r>
        <w:rPr>
          <w:rFonts w:ascii="Calibri" w:hAnsi="Calibri"/>
          <w:b/>
          <w:i w:val="0"/>
          <w:color w:val="132431"/>
          <w:sz w:val="24"/>
        </w:rPr>
        <w:t>Lista de países confundida com elegibilidade VIES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Parcial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Clientes fora da UE podem ficar impossibilitados de preencher a morada.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O seletor está limitado ao conjunto VIES.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Usar lista de países ampla para morada/faturação e uma regra separada para eligibleForVies.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País fora do VIES pode ser guardado e devolve NOT_APPLICABLE na validação.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C57A00"/>
          <w:sz w:val="24"/>
        </w:rPr>
        <w:t xml:space="preserve">P1.6  </w:t>
      </w:r>
      <w:r>
        <w:rPr>
          <w:rFonts w:ascii="Calibri" w:hAnsi="Calibri"/>
          <w:b/>
          <w:i w:val="0"/>
          <w:color w:val="132431"/>
          <w:sz w:val="24"/>
        </w:rPr>
        <w:t>Resiliência e privacidade da chamada VIES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Por implementar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Cliques repetidos podem saturar threads ou provocar bloqueio do IP.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Timeout existe, mas não há rate limit, bulkhead/circuit breaker ou métricas específicas.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Adicionar limitação por utilizador, circuit breaker/bulkhead, métricas sem NIF e cache curta apenas após decisão de privacidade.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Indisponibilidade degrada para UNAVAILABLE sem dados sensíveis em logs e sem bloquear a criação.</w:t>
      </w:r>
    </w:p>
    <w:p>
      <w:r>
        <w:br w:type="page"/>
      </w:r>
    </w:p>
    <w:p>
      <w:pPr>
        <w:pStyle w:val="Heading1"/>
        <w:keepNext/>
      </w:pPr>
      <w:r>
        <w:t>6. P2 — Robustez, cobertura e evolução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94967"/>
                <w:sz w:val="22"/>
              </w:rPr>
              <w:t xml:space="preserve">Definição P2  </w:t>
            </w:r>
            <w:r>
              <w:rPr>
                <w:rFonts w:ascii="Calibri" w:hAnsi="Calibri"/>
                <w:b w:val="0"/>
                <w:i w:val="0"/>
                <w:color w:val="111820"/>
                <w:sz w:val="22"/>
              </w:rPr>
              <w:t>Melhoria planeada que reduz dívida técnica, aumenta observabilidade e prepara dados reais, sem corrigir um bloqueador imediato.</w:t>
            </w:r>
          </w:p>
        </w:tc>
      </w:tr>
    </w:tbl>
    <w:p>
      <w:pPr>
        <w:spacing w:after="20"/>
      </w:pPr>
    </w:p>
    <w:p>
      <w:r>
        <w:drawing>
          <wp:inline xmlns:a="http://schemas.openxmlformats.org/drawingml/2006/main" xmlns:pic="http://schemas.openxmlformats.org/drawingml/2006/picture">
            <wp:extent cx="5943600" cy="4205097"/>
            <wp:docPr id="4" name="Picture 4" descr="Diagrama funcional P2 com seis capacidades alvo: testes frontend, Flyway com Testcontainers, concorrência dos códigos, auditoria JML, serviços reais e acessibilidad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ft_p2_functio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6737F"/>
          <w:sz w:val="18"/>
        </w:rPr>
        <w:t>Figura 4 — Fluxos funcionais P2: evolução da base atual para capacidades sustentáveis.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294967"/>
          <w:sz w:val="24"/>
        </w:rPr>
        <w:t xml:space="preserve">P2.1  </w:t>
      </w:r>
      <w:r>
        <w:rPr>
          <w:rFonts w:ascii="Calibri" w:hAnsi="Calibri"/>
          <w:b/>
          <w:i w:val="0"/>
          <w:color w:val="132431"/>
          <w:sz w:val="24"/>
        </w:rPr>
        <w:t>Suite frontend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Planeado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Sem testes, regressões de roles, paginação e modais só são detetadas manualmente.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Apenas npm run build está disponível.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Configurar Vitest + RTL para componentes e Playwright para login, deep-links, roles, clientes, conta e PDF.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Pipeline executa build, unit/component e E2E mínimo.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294967"/>
          <w:sz w:val="24"/>
        </w:rPr>
        <w:t xml:space="preserve">P2.2  </w:t>
      </w:r>
      <w:r>
        <w:rPr>
          <w:rFonts w:ascii="Calibri" w:hAnsi="Calibri"/>
          <w:b/>
          <w:i w:val="0"/>
          <w:color w:val="132431"/>
          <w:sz w:val="24"/>
        </w:rPr>
        <w:t>PostgreSQL/Flyway em ambiente limpo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Planeado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Upgrade pode funcionar numa base existente e falhar numa instalação nova.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V1–V5 foram validadas numa base local, mas não por teste automatizado limpo.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Usar Testcontainers para base vazia V1→V5 e upgrade com dados representativos.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CI prova criação limpa e upgrade sem perda de dados.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294967"/>
          <w:sz w:val="24"/>
        </w:rPr>
        <w:t xml:space="preserve">P2.3  </w:t>
      </w:r>
      <w:r>
        <w:rPr>
          <w:rFonts w:ascii="Calibri" w:hAnsi="Calibri"/>
          <w:b/>
          <w:i w:val="0"/>
          <w:color w:val="132431"/>
          <w:sz w:val="24"/>
        </w:rPr>
        <w:t>Concorrência do código de cliente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Planeado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Criações simultâneas podem revelar colisões ou esgotamento não tratado.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Sequência por LTFT01/LTFT02 passou no caminho normal; faltam testes concorrentes e limite 99999.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Testar CustomerCodeGenerator com transações concorrentes, rollback e esgotamento explícito.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Códigos permanecem únicos, sequenciais por agência e falham de forma genérica no limite.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294967"/>
          <w:sz w:val="24"/>
        </w:rPr>
        <w:t xml:space="preserve">P2.4  </w:t>
      </w:r>
      <w:r>
        <w:rPr>
          <w:rFonts w:ascii="Calibri" w:hAnsi="Calibri"/>
          <w:b/>
          <w:i w:val="0"/>
          <w:color w:val="132431"/>
          <w:sz w:val="24"/>
        </w:rPr>
        <w:t>Auditoria JML consultável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Planeado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Eventos existem na base, mas não há interface de consulta operacional.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Joiner/Mover/Leaver persistem identity_audit_events.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Definir retenção, pesquisa e endpoint/admin view read-only; nunca registar passwords ou tokens.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ADMIN consulta eventos com ator, ação, alvo, data e correlation ID.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294967"/>
          <w:sz w:val="24"/>
        </w:rPr>
        <w:t xml:space="preserve">P2.5  </w:t>
      </w:r>
      <w:r>
        <w:rPr>
          <w:rFonts w:ascii="Calibri" w:hAnsi="Calibri"/>
          <w:b/>
          <w:i w:val="0"/>
          <w:color w:val="132431"/>
          <w:sz w:val="24"/>
        </w:rPr>
        <w:t>Dados reais de serviços e faturação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Planeado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Conta e PDF ainda dependem de dados mock.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Filtros e apresentação estão funcionais, mas não há domínio/persistência completa de serviços.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Definir modelo de serviço, pagamento, vencimento e fonte de integração antes de substituir mocks.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Conta usa dados persistidos, paginação e totais reconciliados.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294967"/>
          <w:sz w:val="24"/>
        </w:rPr>
        <w:t xml:space="preserve">P2.6  </w:t>
      </w:r>
      <w:r>
        <w:rPr>
          <w:rFonts w:ascii="Calibri" w:hAnsi="Calibri"/>
          <w:b/>
          <w:i w:val="0"/>
          <w:color w:val="132431"/>
          <w:sz w:val="24"/>
        </w:rPr>
        <w:t>Acessibilidade e navegação</w:t>
      </w:r>
    </w:p>
    <w:p>
      <w:pPr>
        <w:spacing w:after="100"/>
      </w:pPr>
      <w:r>
        <w:rPr>
          <w:rFonts w:ascii="Calibri" w:hAnsi="Calibri"/>
          <w:b/>
          <w:i w:val="0"/>
          <w:color w:val="66737F"/>
          <w:sz w:val="19"/>
        </w:rPr>
        <w:t xml:space="preserve">Estado: </w:t>
      </w:r>
      <w:r>
        <w:rPr>
          <w:rFonts w:ascii="Calibri" w:hAnsi="Calibri"/>
          <w:b/>
          <w:i w:val="0"/>
          <w:color w:val="C57A00"/>
          <w:sz w:val="19"/>
        </w:rPr>
        <w:t>Planeado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Impacto: </w:t>
      </w:r>
      <w:r>
        <w:rPr>
          <w:rFonts w:ascii="Calibri" w:hAnsi="Calibri"/>
          <w:b w:val="0"/>
          <w:i w:val="0"/>
          <w:color w:val="111820"/>
          <w:sz w:val="20"/>
        </w:rPr>
        <w:t>Modais e dropdowns podem falhar para teclado e leitores de ecrã.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Evidência: </w:t>
      </w:r>
      <w:r>
        <w:rPr>
          <w:rFonts w:ascii="Calibri" w:hAnsi="Calibri"/>
          <w:b w:val="0"/>
          <w:i w:val="0"/>
          <w:color w:val="111820"/>
          <w:sz w:val="20"/>
        </w:rPr>
        <w:t>Faltam focus trap, Escape, retorno de foco e validação de z-index.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Correção/decisão: </w:t>
      </w:r>
      <w:r>
        <w:rPr>
          <w:rFonts w:ascii="Calibri" w:hAnsi="Calibri"/>
          <w:b w:val="0"/>
          <w:i w:val="0"/>
          <w:color w:val="111820"/>
          <w:sz w:val="20"/>
        </w:rPr>
        <w:t>Implementar semântica ARIA, foco inicial/retorno e testes de teclado; adicionar 404/redirect para rotas desconhecidas.</w:t>
      </w:r>
    </w:p>
    <w:p>
      <w:pPr>
        <w:spacing w:after="60" w:line="283" w:lineRule="auto"/>
        <w:ind w:left="259" w:hanging="259"/>
      </w:pPr>
      <w:r>
        <w:rPr>
          <w:rFonts w:ascii="Calibri" w:hAnsi="Calibri"/>
          <w:b/>
          <w:i w:val="0"/>
          <w:color w:val="294967"/>
          <w:sz w:val="20"/>
        </w:rPr>
        <w:t xml:space="preserve">Aceitação: </w:t>
      </w:r>
      <w:r>
        <w:rPr>
          <w:rFonts w:ascii="Calibri" w:hAnsi="Calibri"/>
          <w:b w:val="0"/>
          <w:i w:val="0"/>
          <w:color w:val="111820"/>
          <w:sz w:val="20"/>
        </w:rPr>
        <w:t>Fluxos principais são utilizáveis apenas com teclado e passam auditoria básica.</w:t>
      </w:r>
    </w:p>
    <w:p>
      <w:r>
        <w:br w:type="page"/>
      </w:r>
    </w:p>
    <w:p>
      <w:pPr>
        <w:pStyle w:val="Heading1"/>
        <w:keepNext/>
      </w:pPr>
      <w:r>
        <w:t>7. VIES — contrato e limites funcionais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A integração usa a API REST oficial da Comissão Europeia e não necessita API key. O endpoint interno está protegido para ADMIN e OPERATOR e devolve um resultado normalizado, sem expor o payload externo ao frontend.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94967"/>
                <w:sz w:val="19"/>
              </w:rPr>
              <w:t>Endpoint oficial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9"/>
              </w:rPr>
              <w:t>POST /taxation_customs/vies/rest-api/check-vat-number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94967"/>
                <w:sz w:val="19"/>
              </w:rPr>
              <w:t>Endpoint interno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9"/>
              </w:rPr>
              <w:t>POST /api/vat-validations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94967"/>
                <w:sz w:val="19"/>
              </w:rPr>
              <w:t>Autenticação externa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9"/>
              </w:rPr>
              <w:t>Sem API key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94967"/>
                <w:sz w:val="19"/>
              </w:rPr>
              <w:t>Estados internos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9"/>
              </w:rPr>
              <w:t>VALID, NOT_VALID, NOT_APPLICABLE, NOT_CHECKED, UNAVAILABLE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94967"/>
                <w:sz w:val="19"/>
              </w:rPr>
              <w:t>Uso correto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9"/>
              </w:rPr>
              <w:t>Registo VAT para comércio intra-UE</w:t>
            </w:r>
          </w:p>
        </w:tc>
      </w:tr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294967"/>
                <w:sz w:val="19"/>
              </w:rPr>
              <w:t>Não comprova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9"/>
              </w:rPr>
              <w:t>Existência universal do NIF ou dados de faturação autoritativos</w:t>
            </w:r>
          </w:p>
        </w:tc>
      </w:tr>
    </w:tbl>
    <w:p>
      <w:pPr>
        <w:pStyle w:val="Heading2"/>
        <w:keepNext/>
      </w:pPr>
      <w:r>
        <w:t>Comportamentos já preparados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Formato PT inválido: formatValid=false e NOT_CHECKED, sem chamada externa.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Particular: NOT_APPLICABLE.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País não participante: NOT_APPLICABLE.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Timeout/indisponibilidade: HTTP interno funcional com UNAVAILABLE e mensagem genérica.</w:t>
      </w:r>
    </w:p>
    <w:p>
      <w:pPr>
        <w:pStyle w:val="Heading2"/>
        <w:keepNext/>
      </w:pPr>
      <w:r>
        <w:t>Guardrails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Não preencher automaticamente faturação a partir de nome/morada VIES.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Não concluir que o NIF não existe quando valid=false.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Não guardar NIF completo em métricas ou logs técnicos.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Smoke live deve ser opt-in e nunca tornar o CI dependente do serviço europeu.</w:t>
      </w:r>
    </w:p>
    <w:p>
      <w:pPr>
        <w:pStyle w:val="Heading1"/>
        <w:keepNext/>
      </w:pPr>
      <w:r>
        <w:t>8. Evidência de testes e lacunas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c>
          <w:tcPr>
            <w:tcW w:type="dxa" w:w="180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Camada</w:t>
            </w:r>
          </w:p>
        </w:tc>
        <w:tc>
          <w:tcPr>
            <w:tcW w:type="dxa" w:w="378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Executado</w:t>
            </w:r>
          </w:p>
        </w:tc>
        <w:tc>
          <w:tcPr>
            <w:tcW w:type="dxa" w:w="3780"/>
            <w:shd w:fill="1324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Lacuna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Frontend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Build Vite passou; fluxos visuais exercitados.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Sem Vitest/RTL/Playwright.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Backend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34 testes: 29 pass, 5 fail por harness JWT.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Sem JML, Testcontainers e concorrência.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Autorização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Matriz E2E com utilizadores de role única passou.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MockMvc precisa authorities explícitas.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JML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Joiner/Mover/Leaver e auditoria passaram após ajuste local.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Realm declarativo e compensação em falta.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VIES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Caminhos determinísticos e UNAVAILABLE passaram.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Sem resposta live VALID/NOT_VALID no ambiente testado.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11820"/>
                <w:sz w:val="18"/>
              </w:rPr>
              <w:t>PDF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Layout e total inspecionados.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11820"/>
                <w:sz w:val="18"/>
              </w:rPr>
              <w:t>Filtros e acentos por corrigir.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9. Plano de execução recomendado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Fechar a validação: corrigir os cinco testes de segurança e manter a matriz real intacta.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Fechar regras P0: criação sempre inativa, paginação correta e recuperação silenciosa de sessão.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Estabilizar JML: permissão declarativa mínima, compensação, timeouts e testes.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Corrigir P1: PDF, limpeza da password, estados pending, conta por UUID e países.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Criar rede de segurança P2: Vitest/RTL, Playwright, Testcontainers e concorrência.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Só depois iniciar um novo módulo funcional grande ou substituir mocks por integrações reais.</w:t>
      </w:r>
    </w:p>
    <w:p>
      <w:pPr>
        <w:pStyle w:val="Heading2"/>
        <w:keepNext/>
      </w:pPr>
      <w:r>
        <w:t>Critérios de saída — P0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Suite Maven totalmente verde sem reduzir proteção.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Realm novo executa JML sem configuração manual.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Falha Joiner não deixa utilizador parcial.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OPERATOR nunca cria cliente ativo.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Página 2 apresenta registos da página 2.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F5 e deep-link recuperam a sessão SSO.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Mensagens frontend permanecem genéricas.</w:t>
      </w:r>
    </w:p>
    <w:p>
      <w:pPr>
        <w:pStyle w:val="Heading2"/>
        <w:keepNext/>
      </w:pPr>
      <w:r>
        <w:t>Definition of Done global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mvn test, build frontend e suites frontend verdes.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Base vazia migra até V5 e upgrade preserva dados.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Matriz de roles coberta automaticamente.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PDF coerente com filtros e português correto.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Nenhuma password, token, secret ou detalhe externo aparece em documentos, logs ou respostas.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Alterações pequenas, reversíveis, documentadas e fáceis de rever.</w:t>
      </w:r>
    </w:p>
    <w:p>
      <w:pPr>
        <w:pStyle w:val="Heading1"/>
        <w:keepNext/>
      </w:pPr>
      <w:r>
        <w:t>10. Restrições de implementação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Não remover autorização para fazer testes passar.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Não guardar tokens OIDC em localStorage como solução rápida.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Não expor stack traces ou mensagens do Keycloak/VIES no frontend.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Não assumir que VIES prova existência universal do NIF.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Não alterar migrations aplicadas; criar nova migration quando necessário.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Não apagar volumes Docker sem validar o conteúdo.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11820"/>
          <w:sz w:val="22"/>
        </w:rPr>
        <w:t>Credenciais locais devem ficar em ficheiro ignorado pelo Git e ser referenciadas apenas por variáveis.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4EE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6835D"/>
                <w:sz w:val="22"/>
              </w:rPr>
              <w:t xml:space="preserve">Conclusão  </w:t>
            </w:r>
            <w:r>
              <w:rPr>
                <w:rFonts w:ascii="Calibri" w:hAnsi="Calibri"/>
                <w:b w:val="0"/>
                <w:i w:val="0"/>
                <w:color w:val="111820"/>
                <w:sz w:val="22"/>
              </w:rPr>
              <w:t>A arquitetura suporta a evolução pretendida. O caminho mais sólido é transformar os comportamentos já demonstrados em garantias automáticas, corrigir os cinco P0 e só então aumentar o âmbito funcional.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37F"/>
        <w:sz w:val="17"/>
      </w:rPr>
      <w:t xml:space="preserve">LTFT Comand Center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37F"/>
        <w:sz w:val="17"/>
      </w:rPr>
      <w:t>RELATÓRIO DE ESTADO TÉCNICO  |  14 AGO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949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949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LTFT Comand Center — Arquitetura e Estado P0/P1/P2</dc:title>
  <dc:subject>Relatório técnico de estabilização</dc:subject>
  <dc:creator>LTFT</dc:creator>
  <cp:keywords>LTFT, arquitetura, P0, P1, P2, Keycloak, VIES, JML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