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4472C4"/>
          <w:sz w:val="32"/>
          <w:szCs w:val="32"/>
        </w:rPr>
        <w:t xml:space="preserve">COSMETIC INSIGHTS</w:t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Navigating Cosmetics Trends and Consumer Insights with Tableau</w:t>
      </w:r>
    </w:p>
    <w:p>
      <w:pPr>
        <w:pStyle w:val="Heading1"/>
        <w:spacing w:after="200" w:before="100"/>
      </w:pPr>
      <w:r>
        <w:rPr>
          <w:b/>
          <w:bCs/>
        </w:rPr>
        <w:t xml:space="preserve">Data Flow Diagram (Description)</w:t>
      </w:r>
    </w:p>
    <w:p>
      <w:pPr>
        <w:spacing w:after="160"/>
      </w:pPr>
      <w:r>
        <w:t xml:space="preserve">As a text-based description of the data flow (see also the architecture diagram in Solution Architecture):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1: Raw transactional data collected in CSV format (cosmetics_insights_dataset.csv)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2: CSV connected to Tableau Public as a Text File data source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3: Tableau auto-classifies fields into Dimensions (Category, Brand, Country, etc.) and Measures (Revenue, Units Sold, Rating, etc.)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4: Individual worksheets built, each aggregating measures by a chosen dimension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5: Worksheets combined into a single Dashboard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6: Filter action added on the Category chart, propagating to all other worksheets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7: Final dashboard published to Tableau Public and linked in the GitHub repository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2026-07-19T01:27:38.976Z</dcterms:created>
  <dcterms:modified xsi:type="dcterms:W3CDTF">2026-07-19T01:27:38.976Z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