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Customer Journey Map</w:t>
      </w:r>
    </w:p>
    <w:p>
      <w:pPr>
        <w:spacing w:after="160"/>
      </w:pPr>
      <w:r>
        <w:t xml:space="preserve">Journey of the dashboard's end user (business/marketing analyst) from need to insight.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000"/>
      </w:tblGrid>
      <w:tr>
        <w:tc>
          <w:tcPr>
            <w:tcW w:type="dxa" w:w="20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8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User Action</w:t>
            </w:r>
          </w:p>
        </w:tc>
        <w:tc>
          <w:tcPr>
            <w:tcW w:type="dxa" w:w="30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Experience</w:t>
            </w:r>
          </w:p>
        </w:tc>
      </w:tr>
      <w:tr>
        <w:tc>
          <w:tcPr>
            <w:tcW w:type="dxa" w:w="2000"/>
          </w:tcPr>
          <w:p>
            <w:r>
              <w:t xml:space="preserve">Awareness</w:t>
            </w:r>
          </w:p>
        </w:tc>
        <w:tc>
          <w:tcPr>
            <w:tcW w:type="dxa" w:w="3800"/>
          </w:tcPr>
          <w:p>
            <w:r>
              <w:t xml:space="preserve">Realizes they need category/brand performance data for a meeting</w:t>
            </w:r>
          </w:p>
        </w:tc>
        <w:tc>
          <w:tcPr>
            <w:tcW w:type="dxa" w:w="3000"/>
          </w:tcPr>
          <w:p>
            <w:r>
              <w:t xml:space="preserve">Frustrated — no quick source available</w:t>
            </w:r>
          </w:p>
        </w:tc>
      </w:tr>
      <w:tr>
        <w:tc>
          <w:tcPr>
            <w:tcW w:type="dxa" w:w="2000"/>
          </w:tcPr>
          <w:p>
            <w:r>
              <w:t xml:space="preserve">Access</w:t>
            </w:r>
          </w:p>
        </w:tc>
        <w:tc>
          <w:tcPr>
            <w:tcW w:type="dxa" w:w="3800"/>
          </w:tcPr>
          <w:p>
            <w:r>
              <w:t xml:space="preserve">Opens the Tableau Public dashboard link</w:t>
            </w:r>
          </w:p>
        </w:tc>
        <w:tc>
          <w:tcPr>
            <w:tcW w:type="dxa" w:w="3000"/>
          </w:tcPr>
          <w:p>
            <w:r>
              <w:t xml:space="preserve">Relieved — single link, no login/setup needed</w:t>
            </w:r>
          </w:p>
        </w:tc>
      </w:tr>
      <w:tr>
        <w:tc>
          <w:tcPr>
            <w:tcW w:type="dxa" w:w="2000"/>
          </w:tcPr>
          <w:p>
            <w:r>
              <w:t xml:space="preserve">Exploration</w:t>
            </w:r>
          </w:p>
        </w:tc>
        <w:tc>
          <w:tcPr>
            <w:tcW w:type="dxa" w:w="3800"/>
          </w:tcPr>
          <w:p>
            <w:r>
              <w:t xml:space="preserve">Clicks through category filters to explore revenue by brand/region</w:t>
            </w:r>
          </w:p>
        </w:tc>
        <w:tc>
          <w:tcPr>
            <w:tcW w:type="dxa" w:w="3000"/>
          </w:tcPr>
          <w:p>
            <w:r>
              <w:t xml:space="preserve">Engaged — instant visual feedback</w:t>
            </w:r>
          </w:p>
        </w:tc>
      </w:tr>
      <w:tr>
        <w:tc>
          <w:tcPr>
            <w:tcW w:type="dxa" w:w="2000"/>
          </w:tcPr>
          <w:p>
            <w:r>
              <w:t xml:space="preserve">Insight</w:t>
            </w:r>
          </w:p>
        </w:tc>
        <w:tc>
          <w:tcPr>
            <w:tcW w:type="dxa" w:w="3800"/>
          </w:tcPr>
          <w:p>
            <w:r>
              <w:t xml:space="preserve">Identifies top category and underperforming region</w:t>
            </w:r>
          </w:p>
        </w:tc>
        <w:tc>
          <w:tcPr>
            <w:tcW w:type="dxa" w:w="3000"/>
          </w:tcPr>
          <w:p>
            <w:r>
              <w:t xml:space="preserve">Confident — clear, data-backed answer</w:t>
            </w:r>
          </w:p>
        </w:tc>
      </w:tr>
      <w:tr>
        <w:tc>
          <w:tcPr>
            <w:tcW w:type="dxa" w:w="2000"/>
          </w:tcPr>
          <w:p>
            <w:r>
              <w:t xml:space="preserve">Action</w:t>
            </w:r>
          </w:p>
        </w:tc>
        <w:tc>
          <w:tcPr>
            <w:tcW w:type="dxa" w:w="3800"/>
          </w:tcPr>
          <w:p>
            <w:r>
              <w:t xml:space="preserve">Shares dashboard link / screenshot in a business meeting</w:t>
            </w:r>
          </w:p>
        </w:tc>
        <w:tc>
          <w:tcPr>
            <w:tcW w:type="dxa" w:w="3000"/>
          </w:tcPr>
          <w:p>
            <w:r>
              <w:t xml:space="preserve">Satisfied — saved time vs. manual reporting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2026-07-19T01:27:38.883Z</dcterms:created>
  <dcterms:modified xsi:type="dcterms:W3CDTF">2026-07-19T01:27:38.883Z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