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C8D33"/>
    <w:p w14:paraId="5509A71A"/>
    <w:p w14:paraId="78534700"/>
    <w:p w14:paraId="3798E57F"/>
    <w:p w14:paraId="05C2E988"/>
    <w:p w14:paraId="6555209D"/>
    <w:p w14:paraId="1DDD07C0">
      <w:pPr>
        <w:spacing w:before="0" w:after="0" w:line="360" w:lineRule="auto"/>
        <w:jc w:val="center"/>
      </w:pPr>
      <w:r>
        <w:rPr>
          <w:rFonts w:ascii="宋体" w:hAnsi="宋体" w:eastAsia="宋体"/>
          <w:b/>
          <w:sz w:val="44"/>
        </w:rPr>
        <w:t>task2 数据炼金术：数据诊断与构造交易指标</w:t>
      </w:r>
    </w:p>
    <w:p w14:paraId="483E58B8"/>
    <w:p w14:paraId="6381A249"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8"/>
        </w:rPr>
        <w:t>量化分析课程作业</w:t>
      </w:r>
    </w:p>
    <w:p w14:paraId="747C7E22"/>
    <w:p w14:paraId="6537E36A"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1"/>
        </w:rPr>
        <w:t>分析标的：埃斯顿 (002747.SZ)</w:t>
      </w:r>
    </w:p>
    <w:p w14:paraId="2A449828"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1"/>
        </w:rPr>
        <w:t>数据区间：2025-07-04 ~ 2026-07-03</w:t>
      </w:r>
    </w:p>
    <w:p w14:paraId="0601E07C"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sz w:val="21"/>
        </w:rPr>
        <w:t>日期：2026年07月04日</w:t>
      </w:r>
    </w:p>
    <w:p w14:paraId="7078B398">
      <w:r>
        <w:br w:type="page"/>
      </w:r>
    </w:p>
    <w:p w14:paraId="3CD00E94">
      <w:pPr>
        <w:pStyle w:val="3"/>
      </w:pPr>
      <w:r>
        <w:rPr>
          <w:rFonts w:ascii="宋体" w:hAnsi="宋体" w:eastAsia="宋体"/>
          <w:sz w:val="32"/>
        </w:rPr>
        <w:t>一、数据获取与诊断</w:t>
      </w:r>
    </w:p>
    <w:p w14:paraId="49BCEB00">
      <w:pPr>
        <w:pStyle w:val="4"/>
      </w:pPr>
      <w:r>
        <w:rPr>
          <w:rFonts w:ascii="宋体" w:hAnsi="宋体" w:eastAsia="宋体"/>
          <w:sz w:val="26"/>
        </w:rPr>
        <w:t>1.1 数据获取过程</w:t>
      </w:r>
    </w:p>
    <w:p w14:paraId="6F18AE7B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我通过 WorkBuddy AI 编程助手，调用 Tushare 金融数据接口（mcp__tushareMcp__daily），获取了埃斯顿（002747.SZ）的日 K 线数据。在对话中，我向 AI 提出了「通过 Tushare 获取埃斯顿近一年的交易价格和交易量信息，存储到本地」的需求。AI 自动完成了接口调用、日期格式化、成交额单位换算（Tushare 返回的金额单位为千元，需乘以 1000 转换为元），并将干净数据输出为 CSV 和 JSON 两种格式，存入 埃斯顿_002747/ 目录。</w:t>
      </w:r>
    </w:p>
    <w:p w14:paraId="40F69D49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最终获得 242 个交易日的数据，时间跨度为 2025年07月04日 至 2026年07月03日。价格从 19.67 元上涨至 44.77 元，区间涨幅 +127.6 %。</w:t>
      </w:r>
    </w:p>
    <w:p w14:paraId="45B951B8">
      <w:pPr>
        <w:pStyle w:val="4"/>
      </w:pPr>
      <w:r>
        <w:rPr>
          <w:rFonts w:ascii="宋体" w:hAnsi="宋体" w:eastAsia="宋体"/>
          <w:sz w:val="26"/>
        </w:rPr>
        <w:t>1.2 数据质量检查</w:t>
      </w:r>
    </w:p>
    <w:p w14:paraId="05093CF9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数据质量是量化分析的基础。我在 AI 的协助下完成了以下检查：</w:t>
      </w:r>
    </w:p>
    <w:p w14:paraId="776D23C3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（1）缺失值扫描：对 open、high、low、close、volume、amount 六列逐一检查，结果为 0 条缺失，数据完整性 100 %。</w:t>
      </w:r>
    </w:p>
    <w:p w14:paraId="58665BA4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（2）日期断点分析：识别出 4 处间隔超过 4 个自然日的断点（2025年国庆 9 天、2026年元旦 5 天、2026年春节 11 天、2026年劳动节 6 天），经确认均为中国法定节假日休市，无数据丢失。</w:t>
      </w:r>
    </w:p>
    <w:p w14:paraId="77EA490F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（3）价格逻辑验证：逐条验证 low &lt;= open &lt;= high 且 low &lt;= close &lt;= high，全部通过，无异常极值。</w:t>
      </w:r>
    </w:p>
    <w:p w14:paraId="48511756">
      <w:pPr>
        <w:pStyle w:val="4"/>
      </w:pPr>
      <w:r>
        <w:rPr>
          <w:rFonts w:ascii="宋体" w:hAnsi="宋体" w:eastAsia="宋体"/>
          <w:sz w:val="26"/>
        </w:rPr>
        <w:t>1.3 描述性统计</w:t>
      </w:r>
    </w:p>
    <w:p w14:paraId="61072CB1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以下为收盘价及日收益率的完整描述性统计，由 AI 代我执行 Node.js 计算得出。</w:t>
      </w:r>
    </w:p>
    <w:p w14:paraId="6459FCDF">
      <w:pPr>
        <w:spacing w:before="80" w:after="160"/>
        <w:jc w:val="center"/>
      </w:pPr>
      <w:r>
        <w:rPr>
          <w:rFonts w:ascii="宋体" w:hAnsi="宋体" w:eastAsia="宋体"/>
          <w:i/>
          <w:sz w:val="18"/>
        </w:rPr>
        <w:t>表 1：收盘价描述性统计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7A9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39FFE0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w="2351" w:type="dxa"/>
          </w:tcPr>
          <w:p w14:paraId="0974878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收盘价(元)</w:t>
            </w:r>
          </w:p>
        </w:tc>
        <w:tc>
          <w:tcPr>
            <w:tcW w:w="2351" w:type="dxa"/>
          </w:tcPr>
          <w:p w14:paraId="599BF31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成交量(手)</w:t>
            </w:r>
          </w:p>
        </w:tc>
        <w:tc>
          <w:tcPr>
            <w:tcW w:w="2351" w:type="dxa"/>
          </w:tcPr>
          <w:p w14:paraId="6AD32BDE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成交额(万元)</w:t>
            </w:r>
          </w:p>
        </w:tc>
      </w:tr>
      <w:tr w14:paraId="34E8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53A7F9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均值</w:t>
            </w:r>
          </w:p>
        </w:tc>
        <w:tc>
          <w:tcPr>
            <w:tcW w:w="2351" w:type="dxa"/>
          </w:tcPr>
          <w:p w14:paraId="4BC1F46F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24.28</w:t>
            </w:r>
          </w:p>
        </w:tc>
        <w:tc>
          <w:tcPr>
            <w:tcW w:w="2351" w:type="dxa"/>
          </w:tcPr>
          <w:p w14:paraId="02292C4D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w="2351" w:type="dxa"/>
          </w:tcPr>
          <w:p w14:paraId="65B5D547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96260</w:t>
            </w:r>
          </w:p>
        </w:tc>
      </w:tr>
      <w:tr w14:paraId="6675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9051CFD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中位数</w:t>
            </w:r>
          </w:p>
        </w:tc>
        <w:tc>
          <w:tcPr>
            <w:tcW w:w="2351" w:type="dxa"/>
          </w:tcPr>
          <w:p w14:paraId="0D77AF9E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23.65</w:t>
            </w:r>
          </w:p>
        </w:tc>
        <w:tc>
          <w:tcPr>
            <w:tcW w:w="2351" w:type="dxa"/>
          </w:tcPr>
          <w:p w14:paraId="01DB5D1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2351" w:type="dxa"/>
          </w:tcPr>
          <w:p w14:paraId="6CC6263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56940</w:t>
            </w:r>
          </w:p>
        </w:tc>
      </w:tr>
      <w:tr w14:paraId="64A2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6CA3F6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标准差</w:t>
            </w:r>
          </w:p>
        </w:tc>
        <w:tc>
          <w:tcPr>
            <w:tcW w:w="2351" w:type="dxa"/>
          </w:tcPr>
          <w:p w14:paraId="7E3B8451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4.21</w:t>
            </w:r>
          </w:p>
        </w:tc>
        <w:tc>
          <w:tcPr>
            <w:tcW w:w="2351" w:type="dxa"/>
          </w:tcPr>
          <w:p w14:paraId="372933CC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w="2351" w:type="dxa"/>
          </w:tcPr>
          <w:p w14:paraId="648BAF78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114521</w:t>
            </w:r>
          </w:p>
        </w:tc>
      </w:tr>
      <w:tr w14:paraId="1799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49ADCE6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最小值</w:t>
            </w:r>
          </w:p>
        </w:tc>
        <w:tc>
          <w:tcPr>
            <w:tcW w:w="2351" w:type="dxa"/>
          </w:tcPr>
          <w:p w14:paraId="5B7899EE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19.37</w:t>
            </w:r>
          </w:p>
        </w:tc>
        <w:tc>
          <w:tcPr>
            <w:tcW w:w="2351" w:type="dxa"/>
          </w:tcPr>
          <w:p w14:paraId="6C7D155D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2351" w:type="dxa"/>
          </w:tcPr>
          <w:p w14:paraId="0F706D3C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13517</w:t>
            </w:r>
          </w:p>
        </w:tc>
      </w:tr>
      <w:tr w14:paraId="3A57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8F1C9F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最大值</w:t>
            </w:r>
          </w:p>
        </w:tc>
        <w:tc>
          <w:tcPr>
            <w:tcW w:w="2351" w:type="dxa"/>
          </w:tcPr>
          <w:p w14:paraId="624A0B68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44.77</w:t>
            </w:r>
          </w:p>
        </w:tc>
        <w:tc>
          <w:tcPr>
            <w:tcW w:w="2351" w:type="dxa"/>
          </w:tcPr>
          <w:p w14:paraId="4C6FA6FA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194</w:t>
            </w:r>
          </w:p>
        </w:tc>
        <w:tc>
          <w:tcPr>
            <w:tcW w:w="2351" w:type="dxa"/>
          </w:tcPr>
          <w:p w14:paraId="4A18D822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724866</w:t>
            </w:r>
          </w:p>
        </w:tc>
      </w:tr>
      <w:tr w14:paraId="13A5F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A2B5D95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Q1 (25%)</w:t>
            </w:r>
          </w:p>
        </w:tc>
        <w:tc>
          <w:tcPr>
            <w:tcW w:w="2351" w:type="dxa"/>
          </w:tcPr>
          <w:p w14:paraId="6B3B1C3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21.72</w:t>
            </w:r>
          </w:p>
        </w:tc>
        <w:tc>
          <w:tcPr>
            <w:tcW w:w="2351" w:type="dxa"/>
          </w:tcPr>
          <w:p w14:paraId="5CC3EE03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2351" w:type="dxa"/>
          </w:tcPr>
          <w:p w14:paraId="57CC214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30387</w:t>
            </w:r>
          </w:p>
        </w:tc>
      </w:tr>
      <w:tr w14:paraId="6105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E20980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Q3 (75%)</w:t>
            </w:r>
          </w:p>
        </w:tc>
        <w:tc>
          <w:tcPr>
            <w:tcW w:w="2351" w:type="dxa"/>
          </w:tcPr>
          <w:p w14:paraId="717EBDA5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24.93</w:t>
            </w:r>
          </w:p>
        </w:tc>
        <w:tc>
          <w:tcPr>
            <w:tcW w:w="2351" w:type="dxa"/>
          </w:tcPr>
          <w:p w14:paraId="6D84DD2C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w="2351" w:type="dxa"/>
          </w:tcPr>
          <w:p w14:paraId="74B9FD7C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98842</w:t>
            </w:r>
          </w:p>
        </w:tc>
      </w:tr>
    </w:tbl>
    <w:p w14:paraId="5D533C96"/>
    <w:p w14:paraId="0DF0A927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从表 1 可以看出，收盘价右偏（均值 24.28 &gt; 中位数 23.65），成交量分布同样右偏（均值 35 万手 &gt; 中位数 24 万手），说明存在少数放量交易日拉高了整体均值。收盘价标准差 4.21 元，相对于 24.28 元的均值，变异系数约 17.3 %，波动性适中。</w:t>
      </w:r>
    </w:p>
    <w:p w14:paraId="2590C995">
      <w:pPr>
        <w:spacing w:before="80" w:after="160"/>
        <w:jc w:val="center"/>
      </w:pPr>
      <w:r>
        <w:rPr>
          <w:rFonts w:ascii="宋体" w:hAnsi="宋体" w:eastAsia="宋体"/>
          <w:i/>
          <w:sz w:val="18"/>
        </w:rPr>
        <w:t>表 2：日收益率统计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A2A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798645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w="4703" w:type="dxa"/>
          </w:tcPr>
          <w:p w14:paraId="07687B2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 w14:paraId="375D1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ED99BED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日均收益率</w:t>
            </w:r>
          </w:p>
        </w:tc>
        <w:tc>
          <w:tcPr>
            <w:tcW w:w="4703" w:type="dxa"/>
          </w:tcPr>
          <w:p w14:paraId="4A202FB0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0.3818%</w:t>
            </w:r>
          </w:p>
        </w:tc>
      </w:tr>
      <w:tr w14:paraId="2444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7AFE8E2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标准差</w:t>
            </w:r>
          </w:p>
        </w:tc>
        <w:tc>
          <w:tcPr>
            <w:tcW w:w="4703" w:type="dxa"/>
          </w:tcPr>
          <w:p w14:paraId="26CB7BE2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2.8607%</w:t>
            </w:r>
          </w:p>
        </w:tc>
      </w:tr>
      <w:tr w14:paraId="6A2E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038A6EF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最大单日涨幅</w:t>
            </w:r>
          </w:p>
        </w:tc>
        <w:tc>
          <w:tcPr>
            <w:tcW w:w="4703" w:type="dxa"/>
          </w:tcPr>
          <w:p w14:paraId="7FB6EFE2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10.01%</w:t>
            </w:r>
          </w:p>
        </w:tc>
      </w:tr>
      <w:tr w14:paraId="30F4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19E7377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最大单日跌幅</w:t>
            </w:r>
          </w:p>
        </w:tc>
        <w:tc>
          <w:tcPr>
            <w:tcW w:w="4703" w:type="dxa"/>
          </w:tcPr>
          <w:p w14:paraId="5D7AB62F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-6.84%</w:t>
            </w:r>
          </w:p>
        </w:tc>
      </w:tr>
      <w:tr w14:paraId="7D01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E997466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年化收益率</w:t>
            </w:r>
          </w:p>
        </w:tc>
        <w:tc>
          <w:tcPr>
            <w:tcW w:w="4703" w:type="dxa"/>
          </w:tcPr>
          <w:p w14:paraId="32B3CA80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96.23%</w:t>
            </w:r>
          </w:p>
        </w:tc>
      </w:tr>
      <w:tr w14:paraId="51C1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91EA9EE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年化波动率</w:t>
            </w:r>
          </w:p>
        </w:tc>
        <w:tc>
          <w:tcPr>
            <w:tcW w:w="4703" w:type="dxa"/>
          </w:tcPr>
          <w:p w14:paraId="51C6A75B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45.41%</w:t>
            </w:r>
          </w:p>
        </w:tc>
      </w:tr>
      <w:tr w14:paraId="0AAB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DA6B1FF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夏普比率(0%)</w:t>
            </w:r>
          </w:p>
        </w:tc>
        <w:tc>
          <w:tcPr>
            <w:tcW w:w="4703" w:type="dxa"/>
          </w:tcPr>
          <w:p w14:paraId="4BED09D9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2.1190</w:t>
            </w:r>
          </w:p>
        </w:tc>
      </w:tr>
      <w:tr w14:paraId="780A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3FFB26D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上涨/下跌天数</w:t>
            </w:r>
          </w:p>
        </w:tc>
        <w:tc>
          <w:tcPr>
            <w:tcW w:w="4703" w:type="dxa"/>
          </w:tcPr>
          <w:p w14:paraId="10511A0C"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120 / 117 (50.6% / 49.4%)</w:t>
            </w:r>
          </w:p>
        </w:tc>
      </w:tr>
    </w:tbl>
    <w:p w14:paraId="10828BD5"/>
    <w:p w14:paraId="7F2ED7C6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从表 2 可以看出，日收益率均值 +0.38 %，年化约 96.2 %，但标准差达 2.86 %（年化 45.4 %），表明波动较大。夏普比率 2.12，在 A 股中属于较高水平，但近一年正值机器人/智能制造赛道景气周期，该数值是否可持续需要警惕。上涨日与下跌日基本持平（120 vs 117），说明收益率中有正向偏态。</w:t>
      </w:r>
    </w:p>
    <w:p w14:paraId="6BC42CBD">
      <w:r>
        <w:br w:type="page"/>
      </w:r>
    </w:p>
    <w:p w14:paraId="57F4A08B">
      <w:pPr>
        <w:pStyle w:val="3"/>
      </w:pPr>
      <w:r>
        <w:rPr>
          <w:rFonts w:ascii="宋体" w:hAnsi="宋体" w:eastAsia="宋体"/>
          <w:sz w:val="32"/>
        </w:rPr>
        <w:t>二、技术指标理论与计算方法</w:t>
      </w:r>
    </w:p>
    <w:p w14:paraId="2E4B48CE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在完成数据清洗后，我请 AI 解释了 RSI、MACD 和布林带的含义与计算方法。以下是整理后的理论内容。</w:t>
      </w:r>
    </w:p>
    <w:p w14:paraId="1B8A2278">
      <w:pPr>
        <w:pStyle w:val="4"/>
      </w:pPr>
      <w:r>
        <w:rPr>
          <w:rFonts w:ascii="宋体" w:hAnsi="宋体" w:eastAsia="宋体"/>
          <w:sz w:val="26"/>
        </w:rPr>
        <w:t>2.1 RSI — 相对强弱指标</w:t>
      </w:r>
    </w:p>
    <w:p w14:paraId="774591A8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RSI（Relative Strength Index）由 J. Welles Wilder 于 1978 年提出，衡量价格变动的内部强度，取值范围 0 - 100。其核心思想是：将过去 N 日的平均涨幅与平均跌幅做比值，通过归一化得到反映多空力量对比的震荡指标。</w:t>
      </w:r>
    </w:p>
    <w:p w14:paraId="2EF31B70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计算步骤：(1) 逐日计算涨跌：Gain[t] = max(Close[t]-Close[t-1], 0)，Loss[t] = max(Close[t-1]-Close[t], 0)；(2) 使用 Wilder 平滑法（alpha = 1/N）计算 N 日平均涨幅 AvgG 和平均跌幅 AvgL；(3) 计算 RS = AvgG/AvgL；(4) RSI = 100 - 100/(1+RS)。标准参数 N = 14。</w:t>
      </w:r>
    </w:p>
    <w:p w14:paraId="435D3E8B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RSI &gt; 70 通常视为超买，可能回调；RSI &lt; 30 视为超卖，可能反弹；30 - 70 之间为正常波动区间。此外，RSI 的顶/底背离（价格新高而 RSI 未新高，或价格新低而 RSI 未新低）是重要的趋势反转信号。</w:t>
      </w:r>
    </w:p>
    <w:p w14:paraId="40D58301">
      <w:pPr>
        <w:pStyle w:val="4"/>
      </w:pPr>
      <w:r>
        <w:rPr>
          <w:rFonts w:ascii="宋体" w:hAnsi="宋体" w:eastAsia="宋体"/>
          <w:sz w:val="26"/>
        </w:rPr>
        <w:t>2.2 MACD — 指数平滑异同移动平均线</w:t>
      </w:r>
    </w:p>
    <w:p w14:paraId="77AB0798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MACD（Moving Average Convergence Divergence）由 Gerald Appel 于 1979 年提出，是经典的趋势跟踪兼动量指标。它通过短周期与长周期指数移动平均（EMA）的差值衡量趋势力度，再对该差值做平滑得到信号线。</w:t>
      </w:r>
    </w:p>
    <w:p w14:paraId="4F409A83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MACD 由三条曲线构成：DIF（快线）= EMA(12) - EMA(26)，反映短期与长期趋势的偏离；DEA（慢线/信号线）= EMA(DIF, 9)，是 DIF 的平滑线，减缓噪音；MACD 柱 = (DIF - DEA) x 2，正值表示多头动能，负值表示空头动能。</w:t>
      </w:r>
    </w:p>
    <w:p w14:paraId="01EB2989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信号规则：金叉（DIF 上穿 DEA）为多头入场信号，死叉（DIF 下穿 DEA）为空头出场信号。柱状线的增减速度同样具有参考价值。</w:t>
      </w:r>
    </w:p>
    <w:p w14:paraId="4A7503C5">
      <w:pPr>
        <w:pStyle w:val="4"/>
      </w:pPr>
      <w:r>
        <w:rPr>
          <w:rFonts w:ascii="宋体" w:hAnsi="宋体" w:eastAsia="宋体"/>
          <w:sz w:val="26"/>
        </w:rPr>
        <w:t>2.3 布林带 — Bollinger Bands</w:t>
      </w:r>
    </w:p>
    <w:p w14:paraId="7A634C0A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布林带由 John Bollinger 于 1980 年代提出，基于统计学中正态分布的性质，用移动平均与标准差构建价格的动态波动区间。三条轨线为：中轨 = MA(Close, 20)，上轨 = MA(20) + 2 x sigma(20)，下轨 = MA(20) - 2 x sigma(20)，其中 sigma 为 20 日收盘价标准差。</w:t>
      </w:r>
    </w:p>
    <w:p w14:paraId="45F517FA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若价格服从正态分布，约 95 % 的观测值将落在上下轨之间。因此上轨可视为统计意义上的阻力参考，下轨为支撑参考。带宽收窄（Squeeze）预示波动率极低，通常伴随大幅突破；价格突破上轨表示短期强势但可能超买，跌破下轨表示短期弱势但可能超卖。</w:t>
      </w:r>
    </w:p>
    <w:p w14:paraId="73E39A6E">
      <w:r>
        <w:br w:type="page"/>
      </w:r>
    </w:p>
    <w:p w14:paraId="6A2ADC2F">
      <w:pPr>
        <w:pStyle w:val="3"/>
      </w:pPr>
      <w:r>
        <w:rPr>
          <w:rFonts w:ascii="宋体" w:hAnsi="宋体" w:eastAsia="宋体"/>
          <w:sz w:val="32"/>
        </w:rPr>
        <w:t>三、程序实现与图表解读</w:t>
      </w:r>
    </w:p>
    <w:p w14:paraId="76ADCE38">
      <w:pPr>
        <w:pStyle w:val="4"/>
      </w:pPr>
      <w:r>
        <w:rPr>
          <w:rFonts w:ascii="宋体" w:hAnsi="宋体" w:eastAsia="宋体"/>
          <w:sz w:val="26"/>
        </w:rPr>
        <w:t>3.1 编程实现过程</w:t>
      </w:r>
    </w:p>
    <w:p w14:paraId="66BDB1C7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在理解指标原理后，我请 AI 编写了一个通用的 Python 程序 technical_indicators.py。该程序使用 pandas 进行数据处理和指标计算，matplotlib 进行可视化，支持命令行参数调用。AI 在编写过程中经历了几轮调试：最初遇到了 K 线宽度计算不准确的问题（日历日 vs 交易日），以及中文字体渲染异常，最终通过使用整数索引替代日期坐标、自动检测系统字体得以解决。整个过程让我体会到，即使是标准的指标公式，落地到代码中也需要处理许多琐碎的工程细节。</w:t>
      </w:r>
    </w:p>
    <w:p w14:paraId="185FB189">
      <w:pPr>
        <w:pStyle w:val="4"/>
      </w:pPr>
      <w:r>
        <w:rPr>
          <w:rFonts w:ascii="宋体" w:hAnsi="宋体" w:eastAsia="宋体"/>
          <w:sz w:val="26"/>
        </w:rPr>
        <w:t>3.2 运行结果</w:t>
      </w:r>
    </w:p>
    <w:p w14:paraId="52F2ACA8">
      <w:pPr>
        <w:jc w:val="center"/>
      </w:pPr>
      <w:r>
        <w:drawing>
          <wp:inline distT="0" distB="0" distL="114300" distR="114300">
            <wp:extent cx="5029200" cy="34150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DF78">
      <w:pPr>
        <w:spacing w:before="80" w:after="160"/>
        <w:jc w:val="center"/>
      </w:pPr>
      <w:r>
        <w:rPr>
          <w:rFonts w:ascii="宋体" w:hAnsi="宋体" w:eastAsia="宋体"/>
          <w:i/>
          <w:sz w:val="18"/>
        </w:rPr>
        <w:t>图 1：埃斯顿(002747)技术指标综合分析 (2025.07 - 2026.07)</w:t>
      </w:r>
    </w:p>
    <w:p w14:paraId="1F3DBB2A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图 1 为 technical_indicators.py 对埃斯顿 242 个交易日的输出结果，自上而下分别展示 K 线图（叠加布林带）、成交量、MACD 和 RSI。</w:t>
      </w:r>
    </w:p>
    <w:p w14:paraId="452C3DEE">
      <w:pPr>
        <w:pStyle w:val="4"/>
      </w:pPr>
      <w:r>
        <w:rPr>
          <w:rFonts w:ascii="宋体" w:hAnsi="宋体" w:eastAsia="宋体"/>
          <w:sz w:val="26"/>
        </w:rPr>
        <w:t>3.3 图表解读</w:t>
      </w:r>
    </w:p>
    <w:p w14:paraId="118DB6F3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截至 2026 年 7 月 3 日收盘价 44.77 元，各指标状态如下：</w:t>
      </w:r>
    </w:p>
    <w:p w14:paraId="3900DE19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布林带与 K 线（第一面板）：价格 44.77 元已突破布林上轨 42.71 元，属于统计意义上的强势突破。中轨（MA20）自 2026 年 3 月以来持续向上倾斜，短中期均线呈多头排列。</w:t>
      </w:r>
    </w:p>
    <w:p w14:paraId="2F83CB59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MACD（第三面板）：DIF = 3.21，DEA = 2.72，DIF &gt; DEA 维持金叉状态，柱线为正值。全区间共出现 7 次金叉和 7 次死叉，信号频率适中。当前 DIF 处于零轴上方且自 6 月初加速上行，表明多头动能尚未衰减。</w:t>
      </w:r>
    </w:p>
    <w:p w14:paraId="22053F19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RSI（第四面板）：RSI(14) = 73.52，已进入超买区间（&gt; 70）。回顾区间历史，RSI 在 6 月初曾降至 21.12（超卖区），随后在一个月内迅速攀升至 70 以上，上升速度较快。</w:t>
      </w:r>
    </w:p>
    <w:p w14:paraId="270DABCE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综合来看，三指标均指向强势多头格局：布林带确认价格处于极端强势区，MACD 确认趋势方向向上且动能充沛，RSI 提示短期已经过热。这种指标共振既可能意味着趋势延续，也可能预示回调的临近。对于量化策略而言，此时更需要关注后续 RSI 回落至 70 以下和价格回归布林带内的反转信号。</w:t>
      </w:r>
    </w:p>
    <w:p w14:paraId="1463814B">
      <w:r>
        <w:br w:type="page"/>
      </w:r>
    </w:p>
    <w:p w14:paraId="437A51FA">
      <w:pPr>
        <w:pStyle w:val="3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32"/>
        </w:rPr>
        <w:t>四、</w:t>
      </w:r>
      <w:r>
        <w:rPr>
          <w:rFonts w:hint="eastAsia" w:ascii="宋体" w:hAnsi="宋体" w:eastAsia="宋体"/>
          <w:sz w:val="32"/>
          <w:lang w:val="en-US" w:eastAsia="zh-CN"/>
        </w:rPr>
        <w:t>创新工作</w:t>
      </w:r>
    </w:p>
    <w:p w14:paraId="61A75818">
      <w:pPr>
        <w:pStyle w:val="4"/>
      </w:pPr>
      <w:r>
        <w:rPr>
          <w:rFonts w:ascii="宋体" w:hAnsi="宋体" w:eastAsia="宋体"/>
          <w:sz w:val="26"/>
        </w:rPr>
        <w:t xml:space="preserve">4.1 </w:t>
      </w:r>
      <w:r>
        <w:rPr>
          <w:rFonts w:hint="eastAsia" w:ascii="宋体" w:hAnsi="宋体" w:eastAsia="宋体"/>
          <w:sz w:val="26"/>
          <w:lang w:val="en-US" w:eastAsia="zh-CN"/>
        </w:rPr>
        <w:t>生成</w:t>
      </w:r>
      <w:r>
        <w:rPr>
          <w:rFonts w:ascii="宋体" w:hAnsi="宋体" w:eastAsia="宋体"/>
          <w:sz w:val="26"/>
        </w:rPr>
        <w:t>tushare-stock-loader 技能</w:t>
      </w:r>
    </w:p>
    <w:p w14:paraId="4ECF2AAE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为便于日后复用，我请 AI 将完整流程封装为 WorkBuddy 技能（名为 tushare-stock-loader），包含 SKILL.md 工作流文档、Python 批处理脚本、交互式 HTML 分析工具和诊断统计清单。在此之后，只需在对话中提及「加载股票数据」或「计算技术指标」等关键词，AI 将自动调用此技能。</w:t>
      </w:r>
    </w:p>
    <w:p w14:paraId="038D0261">
      <w:pPr>
        <w:pStyle w:val="4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6"/>
        </w:rPr>
        <w:t xml:space="preserve">4.2 </w:t>
      </w:r>
      <w:r>
        <w:rPr>
          <w:rFonts w:hint="eastAsia" w:ascii="宋体" w:hAnsi="宋体" w:eastAsia="宋体"/>
          <w:sz w:val="26"/>
          <w:lang w:val="en-US" w:eastAsia="zh-CN"/>
        </w:rPr>
        <w:t>在线计数分析网站</w:t>
      </w:r>
    </w:p>
    <w:p w14:paraId="060F89D6">
      <w:pPr>
        <w:spacing w:before="0" w:after="0" w:line="360" w:lineRule="auto"/>
        <w:jc w:val="both"/>
      </w:pPr>
      <w:r>
        <w:rPr>
          <w:rFonts w:hint="eastAsia"/>
          <w:b w:val="0"/>
          <w:sz w:val="21"/>
          <w:lang w:val="en-US" w:eastAsia="zh-CN"/>
        </w:rPr>
        <w:t>借助AI生成了</w:t>
      </w:r>
      <w:r>
        <w:rPr>
          <w:rFonts w:ascii="宋体" w:hAnsi="宋体" w:eastAsia="宋体"/>
          <w:b w:val="0"/>
          <w:sz w:val="21"/>
        </w:rPr>
        <w:t>技术指标在线分析工具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实现</w:t>
      </w:r>
      <w:r>
        <w:rPr>
          <w:rFonts w:ascii="宋体" w:hAnsi="宋体" w:eastAsia="宋体"/>
          <w:b w:val="0"/>
          <w:sz w:val="21"/>
        </w:rPr>
        <w:t>上传任意 CSV 即可生成四面板交互图表：</w:t>
      </w:r>
    </w:p>
    <w:p w14:paraId="3D7F11E1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https://ff88feeaf3ed4183b8ad6c361a915199.app.codebuddy.work</w:t>
      </w:r>
    </w:p>
    <w:p w14:paraId="0DF21572">
      <w:pPr>
        <w:spacing w:before="0" w:after="0" w:line="360" w:lineRule="auto"/>
        <w:jc w:val="both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5970905" cy="2230755"/>
            <wp:effectExtent l="0" t="0" r="1079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9E41">
      <w:pPr>
        <w:spacing w:before="0" w:after="0" w:line="360" w:lineRule="auto"/>
        <w:jc w:val="both"/>
      </w:pPr>
      <w:r>
        <w:rPr>
          <w:rFonts w:hint="eastAsia"/>
          <w:b w:val="0"/>
          <w:sz w:val="21"/>
          <w:lang w:val="en-US" w:eastAsia="zh-CN"/>
        </w:rPr>
        <w:t>导入</w:t>
      </w:r>
      <w:r>
        <w:rPr>
          <w:rFonts w:ascii="宋体" w:hAnsi="宋体" w:eastAsia="宋体"/>
          <w:b w:val="0"/>
          <w:sz w:val="21"/>
        </w:rPr>
        <w:t>埃斯顿</w:t>
      </w:r>
      <w:r>
        <w:rPr>
          <w:rFonts w:hint="eastAsia"/>
          <w:b w:val="0"/>
          <w:sz w:val="21"/>
          <w:lang w:val="en-US" w:eastAsia="zh-CN"/>
        </w:rPr>
        <w:t>数据为例，导入后</w:t>
      </w:r>
      <w:bookmarkStart w:id="0" w:name="_GoBack"/>
      <w:bookmarkEnd w:id="0"/>
      <w:r>
        <w:rPr>
          <w:rFonts w:hint="eastAsia"/>
          <w:b w:val="0"/>
          <w:sz w:val="21"/>
          <w:lang w:val="en-US" w:eastAsia="zh-CN"/>
        </w:rPr>
        <w:t>网站自动产生</w:t>
      </w:r>
      <w:r>
        <w:rPr>
          <w:rFonts w:ascii="宋体" w:hAnsi="宋体" w:eastAsia="宋体"/>
          <w:b w:val="0"/>
          <w:sz w:val="21"/>
        </w:rPr>
        <w:t xml:space="preserve"> K 线看板：</w:t>
      </w:r>
    </w:p>
    <w:p w14:paraId="28264F27">
      <w:pPr>
        <w:spacing w:before="0" w:after="0" w:line="360" w:lineRule="auto"/>
        <w:jc w:val="both"/>
      </w:pPr>
      <w:r>
        <w:drawing>
          <wp:inline distT="0" distB="0" distL="114300" distR="114300">
            <wp:extent cx="4197985" cy="3154680"/>
            <wp:effectExtent l="0" t="0" r="1206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5AFB">
      <w:pPr>
        <w:pStyle w:val="3"/>
      </w:pPr>
      <w:r>
        <w:rPr>
          <w:rFonts w:ascii="宋体" w:hAnsi="宋体" w:eastAsia="宋体"/>
          <w:sz w:val="32"/>
        </w:rPr>
        <w:t>五、延伸讨论与思考题</w:t>
      </w:r>
    </w:p>
    <w:p w14:paraId="7605BFC8">
      <w:pPr>
        <w:pStyle w:val="4"/>
      </w:pPr>
      <w:r>
        <w:rPr>
          <w:rFonts w:ascii="宋体" w:hAnsi="宋体" w:eastAsia="宋体"/>
          <w:sz w:val="26"/>
        </w:rPr>
        <w:t>5.1 指标共识与市场自反性</w:t>
      </w:r>
    </w:p>
    <w:p w14:paraId="207ECCAF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乔治·索罗斯的自反性理论指出，市场参与者的认知与价格之间存在双向反馈作用。当越来越多的机构和个人投资者使用 RSI 的 70/30 阈值、MACD 的金叉/死叉信号、布林带的上下轨触达作为交易决策依据时，这种行为本身是否会改变价格的运动轨迹？例如，当 RSI 接近 70 时，大量交易者可能提前卖出以抢跑信号，导致价格在触及 70 之前就发生反转。这种现象在学术文献中被称为指标拥挤（Indicator Crowding）。</w:t>
      </w:r>
    </w:p>
    <w:p w14:paraId="64112788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思考题 1：在 A 股市场中，技术指标的广泛使用是否已经导致了显著的抢跑效应？是否有实证数据表明某些经典指标的预测效力在近年来出现了下降？</w:t>
      </w:r>
    </w:p>
    <w:p w14:paraId="1D092BF7">
      <w:pPr>
        <w:pStyle w:val="4"/>
      </w:pPr>
      <w:r>
        <w:rPr>
          <w:rFonts w:ascii="宋体" w:hAnsi="宋体" w:eastAsia="宋体"/>
          <w:sz w:val="26"/>
        </w:rPr>
        <w:t>5.2 适应性市场假说 (AMH)</w:t>
      </w:r>
    </w:p>
    <w:p w14:paraId="5DEDED80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MIT 教授 Andrew Lo 提出的适应性市场假说认为，市场效率并非静态，而是随着参与者、制度和技术的变化而动态调整。技术指标的盈利能力会经历发现 - 利用 - 饱和 - 衰退的循环，但衰退后的指标不会永久失效，当足够多的交易者放弃使用后，其效能可能再度恢复。</w:t>
      </w:r>
    </w:p>
    <w:p w14:paraId="17C91472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思考题 2：对于 RSI、MACD、布林带这三个经典指标，它们当前处于 AMH 循环的哪个阶段？是否有学者尝试量化指标在不同市场周期中的有效性变化？</w:t>
      </w:r>
    </w:p>
    <w:p w14:paraId="5051590D">
      <w:pPr>
        <w:pStyle w:val="4"/>
      </w:pPr>
      <w:r>
        <w:rPr>
          <w:rFonts w:ascii="宋体" w:hAnsi="宋体" w:eastAsia="宋体"/>
          <w:sz w:val="26"/>
        </w:rPr>
        <w:t>5.3 固定参数的适配性</w:t>
      </w:r>
    </w:p>
    <w:p w14:paraId="665FF124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RSI 的 14 日、MACD 的 (12,26,9)、布林带的 (20, 2) 等参数均产生于 20 世纪后半叶的美国市场环境。在当今 A 股市场中，信息传播速度、交易制度（T+1、涨跌停限制）、投资者结构（散户占比较高）都与美国市场存在显著差异。</w:t>
      </w:r>
    </w:p>
    <w:p w14:paraId="7A4FD1C7">
      <w:pPr>
        <w:spacing w:before="0" w:after="0" w:line="360" w:lineRule="auto"/>
        <w:jc w:val="both"/>
      </w:pPr>
      <w:r>
        <w:rPr>
          <w:rFonts w:ascii="宋体" w:hAnsi="宋体" w:eastAsia="宋体"/>
          <w:b w:val="0"/>
          <w:sz w:val="21"/>
        </w:rPr>
        <w:t>思考题 3：在 A 股市场中使用这些原厂参数是否仍然合理？是否应该对参数进行本地化调整？这种参数调整是否属于数据挖掘（Data Snooping）的范畴？</w:t>
      </w:r>
    </w:p>
    <w:p w14:paraId="73213FF5">
      <w:pPr>
        <w:spacing w:before="0" w:after="0" w:line="360" w:lineRule="auto"/>
        <w:jc w:val="both"/>
      </w:pPr>
    </w:p>
    <w:sectPr>
      <w:pgSz w:w="12240" w:h="15840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179B4"/>
    <w:rsid w:val="5DB2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3052</Words>
  <Characters>4150</Characters>
  <Lines>0</Lines>
  <Paragraphs>0</Paragraphs>
  <TotalTime>17</TotalTime>
  <ScaleCrop>false</ScaleCrop>
  <LinksUpToDate>false</LinksUpToDate>
  <CharactersWithSpaces>4535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安生</cp:lastModifiedBy>
  <dcterms:modified xsi:type="dcterms:W3CDTF">2026-07-04T13:43:02Z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eyJoZGlkIjoiMmJhYThmYTY4ZTQ5YzViOGUxZjRlYjE0MTI2YzY3OWIiLCJ1c2VySWQiOiIzMzcyNjk4ODUifQ==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65B99AFC3BB542B592821D0FE94AA183_12</vt:lpwstr>
  </property>
</Properties>
</file>