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DDD分享：从零到落地</w:t>
      </w:r>
    </w:p>
    <w:p>
      <w:pPr>
        <w:jc w:val="center"/>
      </w:pPr>
      <w:r>
        <w:rPr>
          <w:sz w:val="24"/>
        </w:rPr>
        <w:t>分享时长：60分钟 | 面向对象：研发、产品、架构团队</w:t>
      </w:r>
    </w:p>
    <w:p>
      <w:r>
        <w:t>分享目标：帮助团队理解DDD在复杂业务中的价值、关键概念与落地步骤，为后续试点项目提供可执行的行动计划。</w:t>
      </w:r>
    </w:p>
    <w:p>
      <w:pPr>
        <w:pStyle w:val="Heading1"/>
      </w:pPr>
      <w:r>
        <w:t>议程安排（60分钟）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时间段</w:t>
            </w:r>
          </w:p>
        </w:tc>
        <w:tc>
          <w:tcPr>
            <w:tcW w:type="dxa" w:w="2880"/>
          </w:tcPr>
          <w:p>
            <w:r>
              <w:t>主题</w:t>
            </w:r>
          </w:p>
        </w:tc>
        <w:tc>
          <w:tcPr>
            <w:tcW w:type="dxa" w:w="2880"/>
          </w:tcPr>
          <w:p>
            <w:r>
              <w:t>关键点</w:t>
            </w:r>
          </w:p>
        </w:tc>
      </w:tr>
      <w:tr>
        <w:tc>
          <w:tcPr>
            <w:tcW w:type="dxa" w:w="2880"/>
          </w:tcPr>
          <w:p>
            <w:r>
              <w:t>0 - 5 分钟</w:t>
            </w:r>
          </w:p>
        </w:tc>
        <w:tc>
          <w:tcPr>
            <w:tcW w:type="dxa" w:w="2880"/>
          </w:tcPr>
          <w:p>
            <w:r>
              <w:t>背景与预期</w:t>
            </w:r>
          </w:p>
        </w:tc>
        <w:tc>
          <w:tcPr>
            <w:tcW w:type="dxa" w:w="2880"/>
          </w:tcPr>
          <w:p>
            <w:r>
              <w:t>现状梳理、痛点与目标</w:t>
            </w:r>
          </w:p>
        </w:tc>
      </w:tr>
      <w:tr>
        <w:tc>
          <w:tcPr>
            <w:tcW w:type="dxa" w:w="2880"/>
          </w:tcPr>
          <w:p>
            <w:r>
              <w:t>5 - 15 分钟</w:t>
            </w:r>
          </w:p>
        </w:tc>
        <w:tc>
          <w:tcPr>
            <w:tcW w:type="dxa" w:w="2880"/>
          </w:tcPr>
          <w:p>
            <w:r>
              <w:t>DDD核心理念</w:t>
            </w:r>
          </w:p>
        </w:tc>
        <w:tc>
          <w:tcPr>
            <w:tcW w:type="dxa" w:w="2880"/>
          </w:tcPr>
          <w:p>
            <w:r>
              <w:t>领域、通用语言、限界上下文</w:t>
            </w:r>
          </w:p>
        </w:tc>
      </w:tr>
      <w:tr>
        <w:tc>
          <w:tcPr>
            <w:tcW w:type="dxa" w:w="2880"/>
          </w:tcPr>
          <w:p>
            <w:r>
              <w:t>15 - 30 分钟</w:t>
            </w:r>
          </w:p>
        </w:tc>
        <w:tc>
          <w:tcPr>
            <w:tcW w:type="dxa" w:w="2880"/>
          </w:tcPr>
          <w:p>
            <w:r>
              <w:t>战略设计</w:t>
            </w:r>
          </w:p>
        </w:tc>
        <w:tc>
          <w:tcPr>
            <w:tcW w:type="dxa" w:w="2880"/>
          </w:tcPr>
          <w:p>
            <w:r>
              <w:t>子域划分、上下文映射、协作模式</w:t>
            </w:r>
          </w:p>
        </w:tc>
      </w:tr>
      <w:tr>
        <w:tc>
          <w:tcPr>
            <w:tcW w:type="dxa" w:w="2880"/>
          </w:tcPr>
          <w:p>
            <w:r>
              <w:t>30 - 45 分钟</w:t>
            </w:r>
          </w:p>
        </w:tc>
        <w:tc>
          <w:tcPr>
            <w:tcW w:type="dxa" w:w="2880"/>
          </w:tcPr>
          <w:p>
            <w:r>
              <w:t>战术设计</w:t>
            </w:r>
          </w:p>
        </w:tc>
        <w:tc>
          <w:tcPr>
            <w:tcW w:type="dxa" w:w="2880"/>
          </w:tcPr>
          <w:p>
            <w:r>
              <w:t>实体/值对象/聚合、领域事件、Repository</w:t>
            </w:r>
          </w:p>
        </w:tc>
      </w:tr>
      <w:tr>
        <w:tc>
          <w:tcPr>
            <w:tcW w:type="dxa" w:w="2880"/>
          </w:tcPr>
          <w:p>
            <w:r>
              <w:t>45 - 55 分钟</w:t>
            </w:r>
          </w:p>
        </w:tc>
        <w:tc>
          <w:tcPr>
            <w:tcW w:type="dxa" w:w="2880"/>
          </w:tcPr>
          <w:p>
            <w:r>
              <w:t>落地路线与案例</w:t>
            </w:r>
          </w:p>
        </w:tc>
        <w:tc>
          <w:tcPr>
            <w:tcW w:type="dxa" w:w="2880"/>
          </w:tcPr>
          <w:p>
            <w:r>
              <w:t>试点步骤、EventStorming示例</w:t>
            </w:r>
          </w:p>
        </w:tc>
      </w:tr>
      <w:tr>
        <w:tc>
          <w:tcPr>
            <w:tcW w:type="dxa" w:w="2880"/>
          </w:tcPr>
          <w:p>
            <w:r>
              <w:t>55 - 60 分钟</w:t>
            </w:r>
          </w:p>
        </w:tc>
        <w:tc>
          <w:tcPr>
            <w:tcW w:type="dxa" w:w="2880"/>
          </w:tcPr>
          <w:p>
            <w:r>
              <w:t>Q&amp;A与共识</w:t>
            </w:r>
          </w:p>
        </w:tc>
        <w:tc>
          <w:tcPr>
            <w:tcW w:type="dxa" w:w="2880"/>
          </w:tcPr>
          <w:p>
            <w:r>
              <w:t>评估标准、下一步行动</w:t>
            </w:r>
          </w:p>
        </w:tc>
      </w:tr>
    </w:tbl>
    <w:p/>
    <w:p>
      <w:pPr>
        <w:pStyle w:val="Heading1"/>
      </w:pPr>
      <w:r>
        <w:t>1. 为什么需要DDD？（0-5 min）</w:t>
      </w:r>
    </w:p>
    <w:p>
      <w:pPr>
        <w:pStyle w:val="ListBullet"/>
      </w:pPr>
      <w:r>
        <w:t>业务复杂度持续上升，现有模块拆分以技术边界为主，难以对齐业务语义。</w:t>
      </w:r>
    </w:p>
    <w:p>
      <w:pPr>
        <w:pStyle w:val="ListBullet"/>
      </w:pPr>
      <w:r>
        <w:t>需求讨论依赖个人经验，跨角色沟通成本高，造成需求流失与实现偏差。</w:t>
      </w:r>
    </w:p>
    <w:p>
      <w:pPr>
        <w:pStyle w:val="ListBullet"/>
      </w:pPr>
      <w:r>
        <w:t>DDD提供“业务语言驱动的设计”方式，能够在架构演进与业务创新之间建立共通语境。</w:t>
      </w:r>
    </w:p>
    <w:p>
      <w:r>
        <w:t>预期收益：以核心域为中心完成系统边界重构，降低跨团队依赖，支持后续中台或微服务演进。</w:t>
      </w:r>
    </w:p>
    <w:p>
      <w:pPr>
        <w:pStyle w:val="Heading1"/>
      </w:pPr>
      <w:r>
        <w:t>2. 核心理念速览（5-15 min）</w:t>
      </w:r>
    </w:p>
    <w:p>
      <w:r>
        <w:rPr>
          <w:b/>
        </w:rPr>
        <w:t>领域与子域：</w:t>
      </w:r>
      <w:r>
        <w:t>从业务视角识别核心域、支撑域、通用域，明确投资优先级。</w:t>
      </w:r>
    </w:p>
    <w:p>
      <w:r>
        <w:rPr>
          <w:b/>
        </w:rPr>
        <w:t>通用语言（Ubiquitous Language）：</w:t>
      </w:r>
      <w:r>
        <w:t>跨产品、业务、技术共享同一语义，所有模型、接口、测试用例都使用同一语言。</w:t>
      </w:r>
    </w:p>
    <w:p>
      <w:r>
        <w:rPr>
          <w:b/>
        </w:rPr>
        <w:t>限界上下文（Bounded Context）：</w:t>
      </w:r>
      <w:r>
        <w:t>在明确边界内保持语言与模型的一致性，边界之外通过上下文映射协作。</w:t>
      </w:r>
    </w:p>
    <w:p>
      <w:r>
        <w:rPr>
          <w:b/>
        </w:rPr>
        <w:t>上下文映射：</w:t>
      </w:r>
      <w:r>
        <w:t>描述不同限界上下文之间的协作关系：合作伙伴、顺从者、开放主机、共享内核等。</w:t>
      </w:r>
    </w:p>
    <w:p>
      <w:pPr>
        <w:pStyle w:val="Heading1"/>
      </w:pPr>
      <w:r>
        <w:t>3. 战略设计实践（15-30 min）</w:t>
      </w:r>
    </w:p>
    <w:p>
      <w:pPr>
        <w:pStyle w:val="ListBullet"/>
      </w:pPr>
      <w:r>
        <w:t>识别业务能力：与业务负责人开展领域工作坊，使用事件风暴或价值流梳理端到端场景。</w:t>
      </w:r>
    </w:p>
    <w:p>
      <w:pPr>
        <w:pStyle w:val="ListBullet"/>
      </w:pPr>
      <w:r>
        <w:t>子域分层：以客户价值与差异化能力为依据，划分核心域、支撑域、通用域，并映射现有系统。</w:t>
      </w:r>
    </w:p>
    <w:p>
      <w:pPr>
        <w:pStyle w:val="ListBullet"/>
      </w:pPr>
      <w:r>
        <w:t>上下文映射：绘制Context Map，明确边界接口、数据主权和协作模式，提前识别集成风险。</w:t>
      </w:r>
    </w:p>
    <w:p>
      <w:pPr>
        <w:pStyle w:val="ListBullet"/>
      </w:pPr>
      <w:r>
        <w:t>治理机制：为每个限界上下文指定负责人与节奏，建立版本化契约与自动化契约测试。</w:t>
      </w:r>
    </w:p>
    <w:p>
      <w:r>
        <w:t>产出示例：领域词典、子域划分矩阵、Context Map、价值优先级列表。</w:t>
      </w:r>
    </w:p>
    <w:p>
      <w:pPr>
        <w:pStyle w:val="Heading1"/>
      </w:pPr>
      <w:r>
        <w:t>4. 战术设计要点（30-45 min）</w:t>
      </w:r>
    </w:p>
    <w:p>
      <w:r>
        <w:rPr>
          <w:b/>
        </w:rPr>
        <w:t>实体（Entity）：</w:t>
      </w:r>
      <w:r>
        <w:t>具备持续身份的业务对象，保持行为与约束，示例：订单、合同。</w:t>
      </w:r>
    </w:p>
    <w:p>
      <w:r>
        <w:rPr>
          <w:b/>
        </w:rPr>
        <w:t>值对象（Value Object）：</w:t>
      </w:r>
      <w:r>
        <w:t>仅描述属性组合、不可变，可作为实体的组成部分；示例：地址、金额。</w:t>
      </w:r>
    </w:p>
    <w:p>
      <w:r>
        <w:rPr>
          <w:b/>
        </w:rPr>
        <w:t>聚合与聚合根：</w:t>
      </w:r>
      <w:r>
        <w:t>通过聚合根维护业务不变量，限制跨聚合引用，控制事务边界。</w:t>
      </w:r>
    </w:p>
    <w:p>
      <w:r>
        <w:rPr>
          <w:b/>
        </w:rPr>
        <w:t>领域服务：</w:t>
      </w:r>
      <w:r>
        <w:t>体现无法归属单一实体的领域操作，强调业务语义而非技术实现。</w:t>
      </w:r>
    </w:p>
    <w:p>
      <w:r>
        <w:rPr>
          <w:b/>
        </w:rPr>
        <w:t>领域事件：</w:t>
      </w:r>
      <w:r>
        <w:t>描述发生过的重要业务事实，可触发后续流程或跨上下文集成。</w:t>
      </w:r>
    </w:p>
    <w:p>
      <w:r>
        <w:rPr>
          <w:b/>
        </w:rPr>
        <w:t>应用服务与Repository：</w:t>
      </w:r>
      <w:r>
        <w:t>应用服务负责编排用例，Repository提供聚合持久化抽象。</w:t>
      </w:r>
    </w:p>
    <w:p>
      <w:r>
        <w:t>建模技巧：优先以领域语言编写用例脚本→识别命令与事件→约束事务边界→补充技术实现。</w:t>
      </w:r>
    </w:p>
    <w:p>
      <w:pPr>
        <w:pStyle w:val="Heading1"/>
      </w:pPr>
      <w:r>
        <w:t>5. 落地路线图（45-55 min）</w:t>
      </w:r>
    </w:p>
    <w:p>
      <w:pPr>
        <w:pStyle w:val="ListNumber"/>
      </w:pPr>
      <w:r>
        <w:t>阶段1 - 对齐认知：组织跨角色工作坊，建立领域词典与共享白板。</w:t>
      </w:r>
    </w:p>
    <w:p>
      <w:pPr>
        <w:pStyle w:val="ListNumber"/>
      </w:pPr>
      <w:r>
        <w:t>阶段2 - 选择试点：挑选一个高价值但可控范围的场景（如“履约调度”），定义衡量指标。</w:t>
      </w:r>
    </w:p>
    <w:p>
      <w:pPr>
        <w:pStyle w:val="ListNumber"/>
      </w:pPr>
      <w:r>
        <w:t>阶段3 - 协同建模：开展EventStorming或Domain Storytelling，固化限界上下文与事件链。</w:t>
      </w:r>
    </w:p>
    <w:p>
      <w:pPr>
        <w:pStyle w:val="ListNumber"/>
      </w:pPr>
      <w:r>
        <w:t>阶段4 - 技术落地：基于微服务或模块边界实现聚合与上下文契约，辅以契约测试/消息追踪。</w:t>
      </w:r>
    </w:p>
    <w:p>
      <w:pPr>
        <w:pStyle w:val="ListNumber"/>
      </w:pPr>
      <w:r>
        <w:t>阶段5 - 反馈闭环：建立观测指标（交付周期、缺陷率、跨团队阻塞数），每迭代复盘模型。</w:t>
      </w:r>
    </w:p>
    <w:p>
      <w:pPr>
        <w:pStyle w:val="Heading1"/>
      </w:pPr>
      <w:r>
        <w:t>6. 示例：电商订单“履约协同”试点</w:t>
      </w:r>
    </w:p>
    <w:p>
      <w:pPr>
        <w:pStyle w:val="ListBullet"/>
      </w:pPr>
      <w:r>
        <w:t>场景：客户下单→库存锁定→仓库拣货→物流发运→签收反馈。</w:t>
      </w:r>
    </w:p>
    <w:p>
      <w:pPr>
        <w:pStyle w:val="ListBullet"/>
      </w:pPr>
      <w:r>
        <w:t>限界上下文：订单承诺、库存分配、仓储执行、配送跟踪；通过领域事件串联。</w:t>
      </w:r>
    </w:p>
    <w:p>
      <w:pPr>
        <w:pStyle w:val="ListBullet"/>
      </w:pPr>
      <w:r>
        <w:t>聚合示例：库存分配聚合维护库存承诺不变量；通过“库存承诺事件”通知仓储执行。</w:t>
      </w:r>
    </w:p>
    <w:p>
      <w:pPr>
        <w:pStyle w:val="ListBullet"/>
      </w:pPr>
      <w:r>
        <w:t>收益预期：减少跨系统手动对账，清晰界定数据主权，降低运营问题定位时间。</w:t>
      </w:r>
    </w:p>
    <w:p>
      <w:pPr>
        <w:pStyle w:val="Heading1"/>
      </w:pPr>
      <w:r>
        <w:t>7. 团队协作与基建要求</w:t>
      </w:r>
    </w:p>
    <w:p>
      <w:pPr>
        <w:pStyle w:val="ListBullet"/>
      </w:pPr>
      <w:r>
        <w:t>角色协作：产品/业务负责语言，架构师守护上下文边界，开发负责实现聚合与契约。</w:t>
      </w:r>
    </w:p>
    <w:p>
      <w:pPr>
        <w:pStyle w:val="ListBullet"/>
      </w:pPr>
      <w:r>
        <w:t>建模节奏：每次重大需求前复盘领域模型；迭代后回填词典与上下文图。</w:t>
      </w:r>
    </w:p>
    <w:p>
      <w:pPr>
        <w:pStyle w:val="ListBullet"/>
      </w:pPr>
      <w:r>
        <w:t>工程支持：需要契约测试框架、事件追踪平台、可视化Context Map。</w:t>
      </w:r>
    </w:p>
    <w:p>
      <w:pPr>
        <w:pStyle w:val="ListBullet"/>
      </w:pPr>
      <w:r>
        <w:t>知识沉淀：将建模产出同步到设计文档与代码注释中，形成“文-模-代码”一致链路。</w:t>
      </w:r>
    </w:p>
    <w:p>
      <w:pPr>
        <w:pStyle w:val="Heading1"/>
      </w:pPr>
      <w:r>
        <w:t>8. 常见误区与对策</w:t>
      </w:r>
    </w:p>
    <w:p>
      <w:r>
        <w:rPr>
          <w:b/>
        </w:rPr>
        <w:t>仅仅拆微服务 ≠ DDD：</w:t>
      </w:r>
      <w:r>
        <w:t>DDD先关心语言与模型，再决定拆分方式。</w:t>
      </w:r>
    </w:p>
    <w:p>
      <w:r>
        <w:rPr>
          <w:b/>
        </w:rPr>
        <w:t>建模停留在白板：</w:t>
      </w:r>
      <w:r>
        <w:t>必须让模型进入代码与测试，持续演进。</w:t>
      </w:r>
    </w:p>
    <w:p>
      <w:r>
        <w:rPr>
          <w:b/>
        </w:rPr>
        <w:t>忽略跨上下文契约：</w:t>
      </w:r>
      <w:r>
        <w:t>需要明确数据主权、发布节奏与回滚策略。</w:t>
      </w:r>
    </w:p>
    <w:p>
      <w:r>
        <w:rPr>
          <w:b/>
        </w:rPr>
        <w:t>一次性大重构：</w:t>
      </w:r>
      <w:r>
        <w:t>推荐“小步快跑+反馈闭环”，避免项目风险失控。</w:t>
      </w:r>
    </w:p>
    <w:p>
      <w:pPr>
        <w:pStyle w:val="Heading1"/>
      </w:pPr>
      <w:r>
        <w:t>9. Q&amp;A备忘与行动清单（55-60 min）</w:t>
      </w:r>
    </w:p>
    <w:p>
      <w:pPr>
        <w:pStyle w:val="ListBullet"/>
      </w:pPr>
      <w:r>
        <w:t>衡量成功：模型在需求、设计、代码、测试中的一致性；核心域交付周期缩短。</w:t>
      </w:r>
    </w:p>
    <w:p>
      <w:pPr>
        <w:pStyle w:val="ListBullet"/>
      </w:pPr>
      <w:r>
        <w:t>资源投入：每个试点上下文建议配备业务+产品+架构+开发跨职能小队。</w:t>
      </w:r>
    </w:p>
    <w:p>
      <w:pPr>
        <w:pStyle w:val="ListBullet"/>
      </w:pPr>
      <w:r>
        <w:t>下一步建议：确定试点范围→安排建模工作坊→规划2-3个迭代的落地路线。</w:t>
      </w:r>
    </w:p>
    <w:p>
      <w:pPr>
        <w:pStyle w:val="ListBullet"/>
      </w:pPr>
      <w:r>
        <w:t>可用资料：Eric Evans《Domain-Driven Design》、Vernon《Implementing DDD》、EventStorming工作坊手册。</w:t>
      </w:r>
    </w:p>
    <w:p>
      <w:r>
        <w:rPr>
          <w:b/>
        </w:rPr>
        <w:t>共识点：以业务语言驱动的架构演进是团队协作的核心；DDD是迭代演进的方式而非一次性的项目。</w:t>
      </w:r>
    </w:p>
    <w:p>
      <w:r>
        <w:rPr>
          <w:b/>
        </w:rPr>
        <w:t>行动建议：</w:t>
      </w:r>
      <w:r>
        <w:t>一周内完成试点场景候选清单，预约跨角色建模工作坊，并指定上下文负责人。</w:t>
      </w:r>
    </w:p>
    <w:p>
      <w:r>
        <w:rPr>
          <w:i/>
        </w:rPr>
        <w:t>（文档可直接用于Word分享，必要时可根据公司案例替换示例场景。）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