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故障演练与恢复 SOP</w:t>
      </w:r>
    </w:p>
    <w:p>
      <w:r>
        <w:t>本 SOP 按先止损、再保数、后恢复、最后复盘的顺序编排，适用于本项目的本地 Compose 试验。这里提供可执行步骤和记录模板，不代表故障演练已经完成。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启动前检查</w:t>
      </w:r>
    </w:p>
    <w:p>
      <w:pPr>
        <w:pStyle w:val="ListBullet"/>
      </w:pPr>
      <w:r>
        <w:t>在项目根目录检查 deploy/.env 是否存在，运行 docker compose --env-file deploy/.env -f deploy/docker-compose.yml ps；确认 Kafka 两个 Topic、Flink JobManager 和 TaskManager 处于预期状态。</w:t>
      </w:r>
    </w:p>
    <w:p>
      <w:pPr>
        <w:pStyle w:val="ListBullet"/>
      </w:pPr>
      <w:r>
        <w:t>记录作业 ID、消费组、Topic 分区与最早/最新位点、最近成功 Checkpoint 地址及时间；保存固定输入和相应生成器报告。</w:t>
      </w:r>
    </w:p>
    <w:p>
      <w:pPr>
        <w:pStyle w:val="ListBullet"/>
      </w:pPr>
      <w:r>
        <w:t>明确演练仅限本地环境。不要执行 docker compose down -v；该命令会清除命名卷数据，无法作为可恢复故障模拟。</w:t>
      </w:r>
    </w:p>
    <w:p>
      <w:pPr>
        <w:pStyle w:val="Heading1"/>
      </w:pPr>
      <w:r>
        <w:t>故障定位顺序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600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症状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优先查看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可能边界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Kafka Lag 增长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Source 吞吐、分区 Lag、下游反压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生产高于处理或 Sink 慢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窗口迟迟不触发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各输入 Watermark 与空闲分区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最小水位线被无数据分区拖住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结果重复或缺失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重启位点、去重 TTL、侧输出、Sink 唯一键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打印无法保证外部一致性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Checkpoint 超时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状态大小、对齐耗时、GC、存储卷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状态膨胀或下游背压</w:t>
            </w:r>
          </w:p>
        </w:tc>
      </w:tr>
    </w:tbl>
    <w:p>
      <w:pPr>
        <w:spacing w:after="0"/>
      </w:pPr>
    </w:p>
    <w:p>
      <w:pPr>
        <w:pStyle w:val="Heading1"/>
      </w:pPr>
      <w:r>
        <w:t>TaskManager 故障演练</w:t>
      </w:r>
    </w:p>
    <w:p>
      <w:r>
        <w:t>先截图或导出 Checkpoint 列表和输出计数，在独立测试批次运行中停止 TaskManager：docker compose --env-file deploy/.env -f deploy/docker-compose.yml stop taskmanager。观察 Web UI 中作业重启与最新成功 Checkpoint，再执行同一命令的 start taskmanager。等待作业恢复并核对 Kafka Lag 是否下降。未确认成功快照之前不要清理 Kafka 数据或数据卷。</w:t>
      </w:r>
    </w:p>
    <w:p>
      <w:r>
        <w:t>恢复后逐窗比较规则 A/B/C 的业务键和窗口、输入行数、dirty_data/late_data/unmatched_behavior 条数与数据库结果。当前侧输出和 Sink 尚未持久化，所以这一完整对照需等管道补齐后才能执行。</w:t>
      </w:r>
    </w:p>
    <w:p>
      <w:pPr>
        <w:pStyle w:val="Heading1"/>
      </w:pPr>
      <w:r>
        <w:t>Savepoint 与回滚</w:t>
      </w:r>
    </w:p>
    <w:p>
      <w:r>
        <w:t>人工升级前先记录作业 ID，使用 Flink CLI 触发 Savepoint，保留实际返回路径；新版本从该路径恢复并检查状态序列化兼容性。若 UID 或状态结构变更，停止升级并恢复旧版本。不要把未经验证的手工状态文件当成 Checkpoint 替代品。</w:t>
      </w:r>
    </w:p>
    <w:p>
      <w:pPr>
        <w:pStyle w:val="Heading1"/>
      </w:pPr>
      <w:r>
        <w:t>演练记录模板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4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待填写证据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故障类型与发生时间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类型、时间、注入命令及操作人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数据保护点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最近成功 Checkpoint ID、Kafka 位点及批次 ID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恢复过程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告警时间、止损动作、作业重启时间、恢复耗时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结果核对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窗口键差集、重复数、缺失数、MySQL/Redis 查询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复盘结论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根因、参数调整、回归结果及剩余风险</w:t>
            </w:r>
          </w:p>
        </w:tc>
      </w:tr>
    </w:tbl>
    <w:p>
      <w:pPr>
        <w:spacing w:after="0"/>
      </w:pPr>
    </w:p>
    <w:p>
      <w:pPr>
        <w:pStyle w:val="Heading1"/>
      </w:pPr>
      <w:r>
        <w:t>问题和结论</w:t>
      </w:r>
    </w:p>
    <w:p>
      <w:r>
        <w:t>目前尚无两次随机故障注入、30 分钟内处置或 Kill TaskManager 后一致恢复的实测记录。演练前应先使三个规则输出和旁路可查询，否则只能验证进程重启，不能验证业务恢复。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