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反压压测与容量规划笔记</w:t>
      </w:r>
    </w:p>
    <w:p>
      <w:r>
        <w:t>本笔记规定 PDF 要求的 2000 与 5000 events/s 两档压测口径，并标明目前没有采集到的指标。生成器报告中的行数不是稳定吞吐实测值。</w:t>
      </w:r>
    </w:p>
    <w:p>
      <w:pPr/>
      <w:r>
        <w:rPr>
          <w:color w:val="4B4B4B"/>
          <w:sz w:val="18"/>
        </w:rPr>
        <w:t>记录日期  2026 年 10 月 5 日    项目  realtime-hot-news</w:t>
      </w:r>
    </w:p>
    <w:p>
      <w:pPr>
        <w:pStyle w:val="Heading1"/>
      </w:pPr>
      <w:r>
        <w:t>概念说明</w:t>
      </w:r>
    </w:p>
    <w:p>
      <w:r>
        <w:t>反压是下游处理或写入低于上游产出时，背压沿网络缓冲向 Source 传播的现象。Kafka Lag 增长意味着消费未跟上生产，但要联合 Source records in、算子 busy/backpressured 时间、Sink 耗时与 Checkpoint 时长判断根因。p95 延迟应统一定义为可比的事件到结果时间，且样本时钟与窗口等待要分开。</w:t>
      </w:r>
    </w:p>
    <w:p>
      <w:pPr>
        <w:pStyle w:val="Heading1"/>
      </w:pPr>
      <w:r>
        <w:t>项目中的具体实现与试验步骤</w:t>
      </w:r>
    </w:p>
    <w:p>
      <w:pPr>
        <w:pStyle w:val="ListBullet"/>
      </w:pPr>
      <w:r>
        <w:t>单独启动同一批次 Kafka Topic，使用固定 seed；在生成器参数中分别设置 --rate 2000 和 --rate 5000，保持文章/行为数量和其他参数一致。</w:t>
      </w:r>
    </w:p>
    <w:p>
      <w:pPr>
        <w:pStyle w:val="ListBullet"/>
      </w:pPr>
      <w:r>
        <w:t>记录输入起止时间、发生速率、Source 与每个 Subtask 的 records in/out、Kafka 分区 Lag、忙碌和反压指标、Checkpoint 成功率与耗时。每档运行时间足以覆盖窗口关闭和稳态。</w:t>
      </w:r>
    </w:p>
    <w:p>
      <w:pPr>
        <w:pStyle w:val="ListBullet"/>
      </w:pPr>
      <w:r>
        <w:t>先以原始规则 A 记录基线，再运行 --optimized 的 16 分片版本；比较输出窗口键集合及 click_count，同时比较热点 Subtask 分布。</w:t>
      </w:r>
    </w:p>
    <w:p>
      <w:pPr>
        <w:pStyle w:val="ListBullet"/>
      </w:pPr>
      <w:r>
        <w:t>在接入真正 Sink 以后才降低其写入并行度或人为增大写入延迟制造反压；目前 print Sink 不能代表 MySQL/Redis 写入能力。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1872"/>
        <w:gridCol w:w="1872"/>
        <w:gridCol w:w="3312"/>
      </w:tblGrid>
      <w:tr>
        <w:trPr>
          <w:tblHeader w:val="true"/>
        </w:trPr>
        <w:tc>
          <w:tcPr>
            <w:tcW w:type="dxa" w:w="24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BEF"/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指标</w:t>
            </w:r>
          </w:p>
        </w:tc>
        <w:tc>
          <w:tcPr>
            <w:tcW w:type="dxa" w:w="24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BEF"/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2000 events/s</w:t>
            </w:r>
          </w:p>
        </w:tc>
        <w:tc>
          <w:tcPr>
            <w:tcW w:type="dxa" w:w="24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BEF"/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5000 events/s</w:t>
            </w:r>
          </w:p>
        </w:tc>
        <w:tc>
          <w:tcPr>
            <w:tcW w:type="dxa" w:w="24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BEF"/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采集方式</w:t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实际吞吐 events/s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未测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未测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Web UI records / 时间窗</w:t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端到端 p95 毫秒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未测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未测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统一打点并取分位数</w:t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Kafka Lag / Checkpoint 耗时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未测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未测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Kafka 消费位点 / Flink UI</w:t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最高 Subtask 负载与状态体积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未测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未测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算子指标 / Checkpoint</w:t>
            </w:r>
          </w:p>
        </w:tc>
      </w:tr>
    </w:tbl>
    <w:p>
      <w:pPr>
        <w:spacing w:after="0"/>
      </w:pPr>
    </w:p>
    <w:p>
      <w:pPr>
        <w:pStyle w:val="Heading1"/>
      </w:pPr>
      <w:r>
        <w:t>容量估算</w:t>
      </w:r>
    </w:p>
    <w:p>
      <w:r>
        <w:t>稳态容量应满足处理能力 ≥ 峰值输入速率，并为突发和故障追赶留余量。积压事件数 ≈ (生产速率 − 消费速率) × 持续秒数；Kafka 保留时长至少覆盖故障检测、修复、重启和追赶所需的总时长。压测要分别观测 JVM 堆、网络缓冲、托管内存、GC 和状态大小，不能把“降低 Source 并行度”当作总瓶颈的修复。</w:t>
      </w:r>
    </w:p>
    <w:p>
      <w:pPr>
        <w:pStyle w:val="Heading1"/>
      </w:pPr>
      <w:r>
        <w:t>测试结果</w:t>
      </w:r>
    </w:p>
    <w:p>
      <w:r>
        <w:t>tests/day4/results/local-skew-2026-10-05T02-44-13.756Z.json 已记录 12000 行本地热键样本、三路 Subtask 分布、输入到 keyed 探针 p95 及短作业总耗时。文章两轮基线约 6434/7735、优化约 6796/7916 events/s；IP 两轮基线约 7066/6851、优化约 6961/6848 events/s。分母包含本地作业启动和结束，不是稳定生产吞吐；p95 也不包含窗口完成与 Sink。没有 Kafka Lag、真实 Sink、状态后端对照或 2000/5000 events/s 持续压测，因此 PDF 验收仍待完成。</w:t>
      </w:r>
    </w:p>
    <w:p>
      <w:pPr>
        <w:pStyle w:val="Heading1"/>
      </w:pPr>
      <w:r>
        <w:t>问题和结论</w:t>
      </w:r>
    </w:p>
    <w:p>
      <w:r>
        <w:t>先接入真实 Sink 与结果核对，再执行两档压测；对每一次参数变化保留同一数据批次、硬件条件和窗口口径，附原始指标与结果差集。</w:t>
      </w:r>
    </w:p>
    <w:sectPr w:rsidR="00FC693F" w:rsidRPr="0006063C" w:rsidSect="00034616">
      <w:pgSz w:w="12240" w:h="15840"/>
      <w:pgMar w:top="1152" w:right="1267" w:bottom="1080" w:left="12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8" w:lineRule="auto"/>
    </w:pPr>
    <w:rPr>
      <w:rFonts w:ascii="Microsoft YaHei" w:hAnsi="Microsoft YaHei" w:eastAsia="Microsoft YaHei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88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60" w:line="288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20" w:line="288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8" w:lineRule="auto"/>
      <w:contextualSpacing/>
    </w:pPr>
    <w:rPr>
      <w:rFonts w:ascii="Microsoft YaHei" w:hAnsi="Microsoft YaHei" w:eastAsia="Microsoft YaHei"/>
      <w:b w:val="0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