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状态 TTL 与内存模型笔记</w:t>
      </w:r>
    </w:p>
    <w:p>
      <w:r>
        <w:t>本笔记将 Join、去重、热度和 IP 检测所使用的状态逐一对应到代码，并给出 TTL 和热点 Key 的实际边界。容量数据仅给计算方法，不虚构堆使用量。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概念说明</w:t>
      </w:r>
    </w:p>
    <w:p>
      <w:r>
        <w:t>ValueState 保存单值，ListState 保存待处理列表，MapState 可按子键保存分片结果。Flink Keyed State 归属于 keyBy 后的 key；TTL 能限制访问的逻辑生命周期，但不等于存储空间即时释放。状态大小还受键数量、序列化体积、保留窗口和快照增量影响。</w:t>
      </w:r>
    </w:p>
    <w:p>
      <w:pPr>
        <w:pStyle w:val="Heading1"/>
      </w:pPr>
      <w:r>
        <w:t>项目中的具体实现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456"/>
        <w:gridCol w:w="3960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存放内容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生命周期与风险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articleState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article_id → 最新文章 JSONObject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处理时间 TTL 2 小时；文章过期后新行为等待匹配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pendingBehaviors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article_id → 未匹配行为列表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无处理时间 TTL，由事件时间定时器清理；水位线滞留会延长占用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RoleStreamUtil seen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event_id → 已出现标志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处理时间 TTL 24 小时；过期后同一 ID 可再次接收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 A latestHeat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article_id → 最新热点快照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处理时间 TTL 24 小时；不等于窗口状态保存 24 小时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 A optimized shards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窗口起点和分片 → 部分计数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16 分片，窗口结束加 30 秒定时器清理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 C IP 状态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点击列表、上次告警分钟、窗口快照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处理时间 TTL 1 小时；高频 IP 的列表可能增长</w:t>
            </w:r>
          </w:p>
        </w:tc>
      </w:tr>
    </w:tbl>
    <w:p>
      <w:pPr>
        <w:spacing w:after="0"/>
      </w:pPr>
    </w:p>
    <w:p>
      <w:r>
        <w:t>规则 C 对每次点击注册事件时间定时器并扫描最近一分钟点击，复杂度随单 IP 点击数增大。规则 A 的 --optimized 按 event_id 哈希分散为 16 片，再按文章合并；在边界与重复事件上的等价性有 Java 单元测试，但未提供 2000 或 5000 events/s 的性能对比。</w:t>
      </w:r>
    </w:p>
    <w:p>
      <w:r>
        <w:t>另外，ArticleHeatStateJob 和 IpWindowStateJob 是 Day 4 独立实验作业，均提供基线和 16 分片模式。后者使用不重叠的 1 分钟窗口，与规则 C 按每条点击回看 1 分钟的语义不同，不能把两者逐行当成同一规则对照。</w:t>
      </w:r>
    </w:p>
    <w:p>
      <w:pPr>
        <w:pStyle w:val="Heading1"/>
      </w:pPr>
      <w:r>
        <w:t>容量估算与模型比较</w:t>
      </w:r>
    </w:p>
    <w:p>
      <w:r>
        <w:t>估算口径：活动 key 数 × 每 key 的平均序列化状态字节数 × 备份及后端开销系数；再加窗口状态、网络缓冲和 JVM/框架开销。应从 Flink Web UI 取实际状态大小和 Checkpoint 字节数，再在不同输入速率下观察增长斜率。2–4 核、8–16 GB 是 PDF 建议的本地试验环境，不是当前测得的占用。</w:t>
      </w:r>
    </w:p>
    <w:p>
      <w:r>
        <w:t>HashMap/堆状态适合较小、低延迟的状态；RocksDB 可承载较大状态但会增加序列化和 I/O 成本。此仓库未配置 RocksDB 对照运行，不能据此声明已切换后端或更省内存。</w:t>
      </w:r>
    </w:p>
    <w:p>
      <w:pPr>
        <w:pStyle w:val="Heading1"/>
      </w:pPr>
      <w:r>
        <w:t>测试结果</w:t>
      </w:r>
    </w:p>
    <w:p>
      <w:r>
        <w:t>RoleRulesTest 定义了去重 TTL 缩短到 100 ms 后再次接受同 ID 的测试。tests/day4/results/local-skew-2026-10-05T02-44-13.756Z.json 记录本地两类固定输入，各 12000 条、90% 集中到一个热点 key；文章基线 Subtask 为 480/11160/360，分片后为 5681/2426/3893，IP 基线为 11520/360/120，分片后为 3796/3759/4445。两种实验的窗口结果均标记相等。该记录仅证明这批本地输入上的分布和结果一致，不是生产吞吐或告警端到端延迟。</w:t>
      </w:r>
    </w:p>
    <w:p>
      <w:pPr>
        <w:pStyle w:val="Heading1"/>
      </w:pPr>
      <w:r>
        <w:t>问题和结论</w:t>
      </w:r>
    </w:p>
    <w:p>
      <w:r>
        <w:t>需补充高频 IP、长时间无文章和空闲水位线下的状态规模实测。优化前后至少记录各 Subtask records in、busy/backpressure、p95 延迟、Checkpoint 大小与输出差集，才能判断是热点倾斜还是外部 Sink 变慢。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