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［1］张瑞,李金明. 2019新型冠状病毒特异抗体检测"假阳性"原因分析及对策[J].中华检验医学杂志, 2020.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［2］王达,董梁,卿松,闫中强.新型冠状病毒核酸检测中的思维误区[J].中华医院感染学杂志,2020,30(08):1167-1170.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［3］中华人民共和国国家卫生健康委员会.新型冠状病毒感染的肺炎诊疗方案（试行第五版）.2020-2-5.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［4］中华人民共和国国家卫生健康委员会.新型冠状病毒感染的肺炎诊疗方案（试行第七版）[S].北京：中华人民共和国国家卫生健康委员会，2020-03-04.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［5］宁雅婷,侯欣,陆旻雅,等.新型冠状病毒血清特异性抗体检测技术应</w:t>
      </w:r>
      <w:bookmarkStart w:id="0" w:name="_GoBack"/>
      <w:bookmarkEnd w:id="0"/>
      <w:r>
        <w:rPr>
          <w:rFonts w:hint="eastAsia"/>
          <w:lang w:val="en-US" w:eastAsia="zh-CN"/>
        </w:rPr>
        <w:t>用探讨[J].协和医学杂志.2020-3.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[1]中华人民共和国国家卫生健康委员会. 关于印发新型冠状病毒肺炎诊疗方案（试行第七版）的通知（国卫办医函〔2020〕184号）[EB/OL]. (2020-03-03).http://www.gov.cn/zhengce/zhengceku/2020-03/04/content_5486705.htm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[2]里进，叶光明，陈良君,等. 新型冠状病毒（2019-nCoV）核酸检测假阴性结果原因分析及对策[J].中华检验医学杂志,2020,43(00):E006-E006. DOI:10.3760/cma.j.issn.1009-9158. 2010.03.000.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[3]莫茜，秦炜，傅启华,等. 正确认识新冠病毒核酸检测的影响因素[J]. 中华检验医学杂，2020,43(00): E002-E002. DOI:10.3760/cma.j.issn.1009-8158.2020.03.002.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[4]徐万洲，李娟，何晓云等.血清2019新型冠状病毒IgM和IgG抗体联合检测在新型冠状病毒感染中的诊断价值.[J]中华检验医学杂志, 2020,43. DOI: 10.3760/cma.j.cn114452-20200223-0010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B5"/>
    <w:rsid w:val="00E62CB5"/>
    <w:rsid w:val="0CC1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2020-12-12T13:18:00Z</dcterms:created>
  <dc:creator>囧阔</dc:creator>
  <cp:lastModifiedBy>囧阔</cp:lastModifiedBy>
  <dcterms:modified xsi:type="dcterms:W3CDTF">2020-12-12T15:53:40Z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