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b/>
          <w:sz w:val="36"/>
        </w:rPr>
        <w:t>川西旅游生态冲突预警与规划辅助平台</w:t>
      </w:r>
    </w:p>
    <w:p>
      <w:pPr>
        <w:jc w:val="center"/>
      </w:pPr>
      <w:r>
        <w:rPr>
          <w:rFonts w:ascii="微软雅黑" w:hAnsi="微软雅黑"/>
          <w:b w:val="0"/>
          <w:sz w:val="20"/>
        </w:rPr>
        <w:t>演示视频讲稿（终版）</w:t>
      </w:r>
    </w:p>
    <w:p>
      <w:pPr>
        <w:jc w:val="center"/>
      </w:pPr>
      <w:r>
        <w:rPr>
          <w:rFonts w:ascii="微软雅黑" w:hAnsi="微软雅黑"/>
          <w:b w:val="0"/>
          <w:sz w:val="20"/>
        </w:rPr>
        <w:t>时长：约 15 分钟 | 建议语速：中速（约 180 字/分钟）</w:t>
        <w:br/>
        <w:t>对应 PPT：41 页（含九寨沟案例 + 成果平台）</w:t>
      </w:r>
    </w:p>
    <w:p>
      <w:pPr>
        <w:jc w:val="center"/>
      </w:pPr>
      <w:r>
        <w:rPr>
          <w:rFonts w:ascii="微软雅黑" w:hAnsi="微软雅黑"/>
          <w:b w:val="0"/>
          <w:color w:val="B4B4B4"/>
          <w:sz w:val="16"/>
        </w:rPr>
        <w:t>────────────────────────────────────────────────────────────</w:t>
      </w:r>
    </w:p>
    <w:p>
      <w:r>
        <w:rPr>
          <w:rFonts w:ascii="微软雅黑" w:hAnsi="微软雅黑"/>
          <w:b/>
          <w:sz w:val="28"/>
        </w:rPr>
        <w:t>分段概览</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rFonts w:ascii="微软雅黑" w:hAnsi="微软雅黑"/>
                <w:b/>
                <w:sz w:val="20"/>
              </w:rPr>
              <w:t>段落</w:t>
            </w:r>
          </w:p>
        </w:tc>
        <w:tc>
          <w:tcPr>
            <w:tcW w:type="dxa" w:w="2340"/>
          </w:tcPr>
          <w:p>
            <w:pPr>
              <w:jc w:val="center"/>
            </w:pPr>
            <w:r>
              <w:rPr>
                <w:rFonts w:ascii="微软雅黑" w:hAnsi="微软雅黑"/>
                <w:b/>
                <w:sz w:val="20"/>
              </w:rPr>
              <w:t>内容</w:t>
            </w:r>
          </w:p>
        </w:tc>
        <w:tc>
          <w:tcPr>
            <w:tcW w:type="dxa" w:w="2340"/>
          </w:tcPr>
          <w:p>
            <w:pPr>
              <w:jc w:val="center"/>
            </w:pPr>
            <w:r>
              <w:rPr>
                <w:rFonts w:ascii="微软雅黑" w:hAnsi="微软雅黑"/>
                <w:b/>
                <w:sz w:val="20"/>
              </w:rPr>
              <w:t>时长</w:t>
            </w:r>
          </w:p>
        </w:tc>
        <w:tc>
          <w:tcPr>
            <w:tcW w:type="dxa" w:w="2340"/>
          </w:tcPr>
          <w:p>
            <w:pPr>
              <w:jc w:val="center"/>
            </w:pPr>
            <w:r>
              <w:rPr>
                <w:rFonts w:ascii="微软雅黑" w:hAnsi="微软雅黑"/>
                <w:b/>
                <w:sz w:val="20"/>
              </w:rPr>
              <w:t>PPT Slide</w:t>
            </w:r>
          </w:p>
        </w:tc>
      </w:tr>
      <w:tr>
        <w:tc>
          <w:tcPr>
            <w:tcW w:type="dxa" w:w="2340"/>
          </w:tcPr>
          <w:p>
            <w:pPr>
              <w:jc w:val="center"/>
            </w:pPr>
            <w:r>
              <w:rPr>
                <w:rFonts w:ascii="微软雅黑" w:hAnsi="微软雅黑"/>
                <w:b w:val="0"/>
                <w:sz w:val="19"/>
              </w:rPr>
              <w:t>一</w:t>
            </w:r>
          </w:p>
        </w:tc>
        <w:tc>
          <w:tcPr>
            <w:tcW w:type="dxa" w:w="2340"/>
          </w:tcPr>
          <w:p>
            <w:r>
              <w:rPr>
                <w:rFonts w:ascii="微软雅黑" w:hAnsi="微软雅黑"/>
                <w:b w:val="0"/>
                <w:sz w:val="19"/>
              </w:rPr>
              <w:t>开场：研究问题与项目定位</w:t>
            </w:r>
          </w:p>
        </w:tc>
        <w:tc>
          <w:tcPr>
            <w:tcW w:type="dxa" w:w="2340"/>
          </w:tcPr>
          <w:p>
            <w:r>
              <w:rPr>
                <w:rFonts w:ascii="微软雅黑" w:hAnsi="微软雅黑"/>
                <w:b w:val="0"/>
                <w:sz w:val="19"/>
              </w:rPr>
              <w:t>1 min</w:t>
            </w:r>
          </w:p>
        </w:tc>
        <w:tc>
          <w:tcPr>
            <w:tcW w:type="dxa" w:w="2340"/>
          </w:tcPr>
          <w:p>
            <w:r>
              <w:rPr>
                <w:rFonts w:ascii="微软雅黑" w:hAnsi="微软雅黑"/>
                <w:b w:val="0"/>
                <w:sz w:val="19"/>
              </w:rPr>
              <w:t>1-3</w:t>
            </w:r>
          </w:p>
        </w:tc>
      </w:tr>
      <w:tr>
        <w:tc>
          <w:tcPr>
            <w:tcW w:type="dxa" w:w="2340"/>
          </w:tcPr>
          <w:p>
            <w:pPr>
              <w:jc w:val="center"/>
            </w:pPr>
            <w:r>
              <w:rPr>
                <w:rFonts w:ascii="微软雅黑" w:hAnsi="微软雅黑"/>
                <w:b w:val="0"/>
                <w:sz w:val="19"/>
              </w:rPr>
              <w:t>二</w:t>
            </w:r>
          </w:p>
        </w:tc>
        <w:tc>
          <w:tcPr>
            <w:tcW w:type="dxa" w:w="2340"/>
          </w:tcPr>
          <w:p>
            <w:r>
              <w:rPr>
                <w:rFonts w:ascii="微软雅黑" w:hAnsi="微软雅黑"/>
                <w:b w:val="0"/>
                <w:sz w:val="19"/>
              </w:rPr>
              <w:t>研究区、数据与三指数构建</w:t>
            </w:r>
          </w:p>
        </w:tc>
        <w:tc>
          <w:tcPr>
            <w:tcW w:type="dxa" w:w="2340"/>
          </w:tcPr>
          <w:p>
            <w:r>
              <w:rPr>
                <w:rFonts w:ascii="微软雅黑" w:hAnsi="微软雅黑"/>
                <w:b w:val="0"/>
                <w:sz w:val="19"/>
              </w:rPr>
              <w:t>2.5 min</w:t>
            </w:r>
          </w:p>
        </w:tc>
        <w:tc>
          <w:tcPr>
            <w:tcW w:type="dxa" w:w="2340"/>
          </w:tcPr>
          <w:p>
            <w:r>
              <w:rPr>
                <w:rFonts w:ascii="微软雅黑" w:hAnsi="微软雅黑"/>
                <w:b w:val="0"/>
                <w:sz w:val="19"/>
              </w:rPr>
              <w:t>4-12</w:t>
            </w:r>
          </w:p>
        </w:tc>
      </w:tr>
      <w:tr>
        <w:tc>
          <w:tcPr>
            <w:tcW w:type="dxa" w:w="2340"/>
          </w:tcPr>
          <w:p>
            <w:pPr>
              <w:jc w:val="center"/>
            </w:pPr>
            <w:r>
              <w:rPr>
                <w:rFonts w:ascii="微软雅黑" w:hAnsi="微软雅黑"/>
                <w:b w:val="0"/>
                <w:sz w:val="19"/>
              </w:rPr>
              <w:t>三</w:t>
            </w:r>
          </w:p>
        </w:tc>
        <w:tc>
          <w:tcPr>
            <w:tcW w:type="dxa" w:w="2340"/>
          </w:tcPr>
          <w:p>
            <w:r>
              <w:rPr>
                <w:rFonts w:ascii="微软雅黑" w:hAnsi="微软雅黑"/>
                <w:b w:val="0"/>
                <w:sz w:val="19"/>
              </w:rPr>
              <w:t>核心发现：空间分析与自然本底控制</w:t>
            </w:r>
          </w:p>
        </w:tc>
        <w:tc>
          <w:tcPr>
            <w:tcW w:type="dxa" w:w="2340"/>
          </w:tcPr>
          <w:p>
            <w:r>
              <w:rPr>
                <w:rFonts w:ascii="微软雅黑" w:hAnsi="微软雅黑"/>
                <w:b w:val="0"/>
                <w:sz w:val="19"/>
              </w:rPr>
              <w:t>3.5 min</w:t>
            </w:r>
          </w:p>
        </w:tc>
        <w:tc>
          <w:tcPr>
            <w:tcW w:type="dxa" w:w="2340"/>
          </w:tcPr>
          <w:p>
            <w:r>
              <w:rPr>
                <w:rFonts w:ascii="微软雅黑" w:hAnsi="微软雅黑"/>
                <w:b w:val="0"/>
                <w:sz w:val="19"/>
              </w:rPr>
              <w:t>13-19</w:t>
            </w:r>
          </w:p>
        </w:tc>
      </w:tr>
      <w:tr>
        <w:tc>
          <w:tcPr>
            <w:tcW w:type="dxa" w:w="2340"/>
          </w:tcPr>
          <w:p>
            <w:pPr>
              <w:jc w:val="center"/>
            </w:pPr>
            <w:r>
              <w:rPr>
                <w:rFonts w:ascii="微软雅黑" w:hAnsi="微软雅黑"/>
                <w:b w:val="0"/>
                <w:sz w:val="19"/>
              </w:rPr>
              <w:t>四</w:t>
            </w:r>
          </w:p>
        </w:tc>
        <w:tc>
          <w:tcPr>
            <w:tcW w:type="dxa" w:w="2340"/>
          </w:tcPr>
          <w:p>
            <w:r>
              <w:rPr>
                <w:rFonts w:ascii="微软雅黑" w:hAnsi="微软雅黑"/>
                <w:b w:val="0"/>
                <w:sz w:val="19"/>
              </w:rPr>
              <w:t>治理转译：县域排名与三级预警</w:t>
            </w:r>
          </w:p>
        </w:tc>
        <w:tc>
          <w:tcPr>
            <w:tcW w:type="dxa" w:w="2340"/>
          </w:tcPr>
          <w:p>
            <w:r>
              <w:rPr>
                <w:rFonts w:ascii="微软雅黑" w:hAnsi="微软雅黑"/>
                <w:b w:val="0"/>
                <w:sz w:val="19"/>
              </w:rPr>
              <w:t>1.5 min</w:t>
            </w:r>
          </w:p>
        </w:tc>
        <w:tc>
          <w:tcPr>
            <w:tcW w:type="dxa" w:w="2340"/>
          </w:tcPr>
          <w:p>
            <w:r>
              <w:rPr>
                <w:rFonts w:ascii="微软雅黑" w:hAnsi="微软雅黑"/>
                <w:b w:val="0"/>
                <w:sz w:val="19"/>
              </w:rPr>
              <w:t>20-28</w:t>
            </w:r>
          </w:p>
        </w:tc>
      </w:tr>
      <w:tr>
        <w:tc>
          <w:tcPr>
            <w:tcW w:type="dxa" w:w="2340"/>
          </w:tcPr>
          <w:p>
            <w:pPr>
              <w:jc w:val="center"/>
            </w:pPr>
            <w:r>
              <w:rPr>
                <w:rFonts w:ascii="微软雅黑" w:hAnsi="微软雅黑"/>
                <w:b w:val="0"/>
                <w:sz w:val="19"/>
              </w:rPr>
              <w:t>五</w:t>
            </w:r>
          </w:p>
        </w:tc>
        <w:tc>
          <w:tcPr>
            <w:tcW w:type="dxa" w:w="2340"/>
          </w:tcPr>
          <w:p>
            <w:r>
              <w:rPr>
                <w:rFonts w:ascii="微软雅黑" w:hAnsi="微软雅黑"/>
                <w:b w:val="0"/>
                <w:sz w:val="19"/>
              </w:rPr>
              <w:t>九寨沟典型案例分析</w:t>
            </w:r>
          </w:p>
        </w:tc>
        <w:tc>
          <w:tcPr>
            <w:tcW w:type="dxa" w:w="2340"/>
          </w:tcPr>
          <w:p>
            <w:r>
              <w:rPr>
                <w:rFonts w:ascii="微软雅黑" w:hAnsi="微软雅黑"/>
                <w:b w:val="0"/>
                <w:sz w:val="19"/>
              </w:rPr>
              <w:t>3 min</w:t>
            </w:r>
          </w:p>
        </w:tc>
        <w:tc>
          <w:tcPr>
            <w:tcW w:type="dxa" w:w="2340"/>
          </w:tcPr>
          <w:p>
            <w:r>
              <w:rPr>
                <w:rFonts w:ascii="微软雅黑" w:hAnsi="微软雅黑"/>
                <w:b w:val="0"/>
                <w:sz w:val="19"/>
              </w:rPr>
              <w:t>29-38</w:t>
            </w:r>
          </w:p>
        </w:tc>
      </w:tr>
      <w:tr>
        <w:tc>
          <w:tcPr>
            <w:tcW w:type="dxa" w:w="2340"/>
          </w:tcPr>
          <w:p>
            <w:pPr>
              <w:jc w:val="center"/>
            </w:pPr>
            <w:r>
              <w:rPr>
                <w:rFonts w:ascii="微软雅黑" w:hAnsi="微软雅黑"/>
                <w:b w:val="0"/>
                <w:sz w:val="19"/>
              </w:rPr>
              <w:t>六</w:t>
            </w:r>
          </w:p>
        </w:tc>
        <w:tc>
          <w:tcPr>
            <w:tcW w:type="dxa" w:w="2340"/>
          </w:tcPr>
          <w:p>
            <w:r>
              <w:rPr>
                <w:rFonts w:ascii="微软雅黑" w:hAnsi="微软雅黑"/>
                <w:b w:val="0"/>
                <w:sz w:val="19"/>
              </w:rPr>
              <w:t>成果平台 + 工具演示</w:t>
            </w:r>
          </w:p>
        </w:tc>
        <w:tc>
          <w:tcPr>
            <w:tcW w:type="dxa" w:w="2340"/>
          </w:tcPr>
          <w:p>
            <w:r>
              <w:rPr>
                <w:rFonts w:ascii="微软雅黑" w:hAnsi="微软雅黑"/>
                <w:b w:val="0"/>
                <w:sz w:val="19"/>
              </w:rPr>
              <w:t>2.5 min</w:t>
            </w:r>
          </w:p>
        </w:tc>
        <w:tc>
          <w:tcPr>
            <w:tcW w:type="dxa" w:w="2340"/>
          </w:tcPr>
          <w:p>
            <w:r>
              <w:rPr>
                <w:rFonts w:ascii="微软雅黑" w:hAnsi="微软雅黑"/>
                <w:b w:val="0"/>
                <w:sz w:val="19"/>
              </w:rPr>
              <w:t>39-40 + 录屏</w:t>
            </w:r>
          </w:p>
        </w:tc>
      </w:tr>
      <w:tr>
        <w:tc>
          <w:tcPr>
            <w:tcW w:type="dxa" w:w="2340"/>
          </w:tcPr>
          <w:p>
            <w:pPr>
              <w:jc w:val="center"/>
            </w:pPr>
            <w:r>
              <w:rPr>
                <w:rFonts w:ascii="微软雅黑" w:hAnsi="微软雅黑"/>
                <w:b w:val="0"/>
                <w:sz w:val="19"/>
              </w:rPr>
              <w:t>七</w:t>
            </w:r>
          </w:p>
        </w:tc>
        <w:tc>
          <w:tcPr>
            <w:tcW w:type="dxa" w:w="2340"/>
          </w:tcPr>
          <w:p>
            <w:r>
              <w:rPr>
                <w:rFonts w:ascii="微软雅黑" w:hAnsi="微软雅黑"/>
                <w:b w:val="0"/>
                <w:sz w:val="19"/>
              </w:rPr>
              <w:t>总结与展望</w:t>
            </w:r>
          </w:p>
        </w:tc>
        <w:tc>
          <w:tcPr>
            <w:tcW w:type="dxa" w:w="2340"/>
          </w:tcPr>
          <w:p>
            <w:r>
              <w:rPr>
                <w:rFonts w:ascii="微软雅黑" w:hAnsi="微软雅黑"/>
                <w:b w:val="0"/>
                <w:sz w:val="19"/>
              </w:rPr>
              <w:t>0.5 min</w:t>
            </w:r>
          </w:p>
        </w:tc>
        <w:tc>
          <w:tcPr>
            <w:tcW w:type="dxa" w:w="2340"/>
          </w:tcPr>
          <w:p>
            <w:r>
              <w:rPr>
                <w:rFonts w:ascii="微软雅黑" w:hAnsi="微软雅黑"/>
                <w:b w:val="0"/>
                <w:sz w:val="19"/>
              </w:rPr>
              <w:t>41</w:t>
            </w:r>
          </w:p>
        </w:tc>
      </w:tr>
    </w:tbl>
    <w:p/>
    <w:p>
      <w:pPr>
        <w:jc w:val="center"/>
      </w:pPr>
      <w:r>
        <w:rPr>
          <w:rFonts w:ascii="微软雅黑" w:hAnsi="微软雅黑"/>
          <w:b w:val="0"/>
          <w:color w:val="B4B4B4"/>
          <w:sz w:val="16"/>
        </w:rPr>
        <w:t>────────────────────────────────────────────────────────────</w:t>
      </w:r>
    </w:p>
    <w:p>
      <w:r>
        <w:rPr>
          <w:rFonts w:ascii="微软雅黑" w:hAnsi="微软雅黑"/>
          <w:b/>
          <w:sz w:val="28"/>
        </w:rPr>
        <w:t>一、开场：研究问题与项目定位（1 分钟）</w:t>
      </w:r>
    </w:p>
    <w:p>
      <w:r>
        <w:rPr>
          <w:rFonts w:ascii="微软雅黑" w:hAnsi="微软雅黑"/>
          <w:b/>
          <w:sz w:val="22"/>
        </w:rPr>
        <w:t>【屏幕：PPT Slide 1 — 封面】</w:t>
      </w:r>
    </w:p>
    <w:p>
      <w:r>
        <w:rPr>
          <w:rFonts w:ascii="微软雅黑" w:hAnsi="微软雅黑"/>
          <w:b w:val="0"/>
          <w:sz w:val="22"/>
        </w:rPr>
        <w:t>各位评委老师好。我们的作品题目是《川西地区旅游开发与生态保护冲突识别及差异化治理空间设计》。小组成员：陈礼哲、汤越聪、张喆涵，我是队长陈礼哲。我们来自（学校名称），指导教师是（老师姓名）。</w:t>
      </w:r>
    </w:p>
    <w:p>
      <w:r>
        <w:rPr>
          <w:rFonts w:ascii="微软雅黑" w:hAnsi="微软雅黑"/>
          <w:b/>
          <w:sz w:val="22"/>
        </w:rPr>
        <w:t>【屏幕：PPT Slide 2-3 — 汇报结构 + 研究背景】</w:t>
      </w:r>
    </w:p>
    <w:p>
      <w:r>
        <w:rPr>
          <w:rFonts w:ascii="微软雅黑" w:hAnsi="微软雅黑"/>
          <w:b w:val="0"/>
          <w:sz w:val="22"/>
        </w:rPr>
        <w:t>川西地区——阿坝藏族羌族自治州与甘孜藏族自治州——地处青藏高原东缘，既是国家重点生态功能区，也是全球生物多样性热点地区。这一走廊上集中了九寨沟、稻城亚丁、海螺沟等世界级旅游资源，G318 景观大道与川藏铁路沿线近年来经历了快速的旅游增长。经济增长的同时，也提出了一个需要严肃对待的问题：旅游开发对区域生态环境的影响，究竟达到了什么程度？</w:t>
      </w:r>
    </w:p>
    <w:p>
      <w:r>
        <w:rPr>
          <w:rFonts w:ascii="微软雅黑" w:hAnsi="微软雅黑"/>
          <w:b w:val="0"/>
          <w:sz w:val="22"/>
        </w:rPr>
        <w:t>这个问题表面直接，但深入分析便涉及一个方法论层面的挑战。当我们观察到一个区域生态质量偏低时，如何判断这在多大程度上源于旅游开发的压力，又在多大程度上是其所处的高寒、高海拔、短生长季等自然条件所决定的？如果不能有效分离这两类因素，任何关于"旅游导致生态退化"或"旅游与生态兼容"的结论，都可能被自然因子的空间异质性所混淆。</w:t>
      </w:r>
    </w:p>
    <w:p>
      <w:r>
        <w:rPr>
          <w:rFonts w:ascii="微软雅黑" w:hAnsi="微软雅黑"/>
          <w:b w:val="0"/>
          <w:sz w:val="22"/>
        </w:rPr>
        <w:t>基于此，本研究以空间分析方法为核心，依次回答三个递进的问题：第一，冲突的空间格局——旅游压力与生态敏感在哪些区域形成空间重叠？第二，旅游影响的性质——在控制自然本底条件后，旅游压力的出现与旅游压力的强度，何者与生态偏离的关联更为稳健？第三，治理的落地路径——如何将空间分析结果转化为县域尺度的治理优先级排序，使其具备可操作性？</w:t>
      </w:r>
    </w:p>
    <w:p>
      <w:r>
        <w:rPr>
          <w:rFonts w:ascii="微软雅黑" w:hAnsi="微软雅黑"/>
          <w:b/>
          <w:sz w:val="28"/>
        </w:rPr>
        <w:t>二、研究区与指数构建（2.5 分钟）</w:t>
      </w:r>
    </w:p>
    <w:p>
      <w:r>
        <w:rPr>
          <w:rFonts w:ascii="微软雅黑" w:hAnsi="微软雅黑"/>
          <w:b/>
          <w:sz w:val="22"/>
        </w:rPr>
        <w:t>【屏幕：PPT Slide 4-5 — 研究区与三个应用目标】</w:t>
      </w:r>
    </w:p>
    <w:p>
      <w:r>
        <w:rPr>
          <w:rFonts w:ascii="微软雅黑" w:hAnsi="微软雅黑"/>
          <w:b w:val="0"/>
          <w:sz w:val="22"/>
        </w:rPr>
        <w:t>研究区覆盖阿坝、甘孜两州全境，县域统计按真实行政边界执行。我们设定的目标并非仅绘制一幅风险分布图，而是构建一条完整的空间决策链：识别冲突格局、进行科学归因、转译为治理优先级、最终支持差异化的空间管控方案。</w:t>
      </w:r>
    </w:p>
    <w:p>
      <w:r>
        <w:rPr>
          <w:rFonts w:ascii="微软雅黑" w:hAnsi="微软雅黑"/>
          <w:b/>
          <w:sz w:val="22"/>
        </w:rPr>
        <w:t>【屏幕：PPT Slide 6-7 — 技术路线与数据体系】</w:t>
      </w:r>
    </w:p>
    <w:p>
      <w:r>
        <w:rPr>
          <w:rFonts w:ascii="微软雅黑" w:hAnsi="微软雅黑"/>
          <w:b w:val="0"/>
          <w:sz w:val="22"/>
        </w:rPr>
        <w:t>技术路线可概括为五个环节：构建核心指数、检验指数间关系、识别冲突空间格局、剥离自然本底对生态信号的混淆、将结果转译为面向县域的治理方案。每一环节对应一个明确的研究问题，形成递进的分析逻辑。</w:t>
      </w:r>
    </w:p>
    <w:p>
      <w:r>
        <w:rPr>
          <w:rFonts w:ascii="微软雅黑" w:hAnsi="微软雅黑"/>
          <w:b w:val="0"/>
          <w:sz w:val="22"/>
        </w:rPr>
        <w:t>在指数设计阶段，我们面临一个关键的方法论选择：直接采用已有的综合指标体系，还是针对"旅游—生态冲突"这一特定问题自行构建？现有指标的优势在于成熟且广泛使用，但其设计目标与本研究的问题指向并不完全吻合。我们最终选择了自建三套指数，同时设定了严格的可复现原则——全部数据源公开可获取，全部权重设置有文献依据支撑。</w:t>
      </w:r>
    </w:p>
    <w:p>
      <w:r>
        <w:rPr>
          <w:rFonts w:ascii="微软雅黑" w:hAnsi="微软雅黑"/>
          <w:b/>
          <w:sz w:val="22"/>
        </w:rPr>
        <w:t>【屏幕：PPT Slide 8 — HAI】</w:t>
      </w:r>
    </w:p>
    <w:p>
      <w:r>
        <w:rPr>
          <w:rFonts w:ascii="微软雅黑" w:hAnsi="微软雅黑"/>
          <w:b w:val="0"/>
          <w:sz w:val="22"/>
        </w:rPr>
        <w:t>第一个指数是 HAI，人类活动强度指数。其构建逻辑在于：人类活动对生态系统的压力并非仅通过人口密度这一单一维度来体现。我们将 HAI 分解为四个分量：人口密度表征常住居民日常活动的空间扰动强度；夜间灯光表征经济活动强度的空间分布；土地利用类型表征不同开发模式的生态代价差异——建设用地与耕地的生态影响存在显著差异；道路密度表征空间可达性带来的间接生态效应。</w:t>
      </w:r>
    </w:p>
    <w:p>
      <w:r>
        <w:rPr>
          <w:rFonts w:ascii="微软雅黑" w:hAnsi="微软雅黑"/>
          <w:b w:val="0"/>
          <w:sz w:val="22"/>
        </w:rPr>
        <w:t>权重设置反映了川西高原山地特殊的地理环境：道路与土地利用合计占 75%，人口与夜光各仅占 12.5%。这一倾斜赋权的依据在于高原峡谷地形中的"通道效应"——一条公路的生态影响远不限于路面本身，它改变了整条谷地的可达性格局，随之带来设施集聚、停留时间延长和废弃物增加。这种效应在平原地区并不显著，但在川西的峡谷地形中，道路是生态压力的核心驱动因子。</w:t>
      </w:r>
    </w:p>
    <w:p>
      <w:r>
        <w:rPr>
          <w:rFonts w:ascii="微软雅黑" w:hAnsi="微软雅黑"/>
          <w:b/>
          <w:sz w:val="22"/>
        </w:rPr>
        <w:t>【屏幕：PPT Slide 9 — EQI】</w:t>
      </w:r>
    </w:p>
    <w:p>
      <w:r>
        <w:rPr>
          <w:rFonts w:ascii="微软雅黑" w:hAnsi="微软雅黑"/>
          <w:b w:val="0"/>
          <w:sz w:val="22"/>
        </w:rPr>
        <w:t>第二个指数是 EQI，生态环境质量指数。我们从五个维度综合刻画生态质量：生物丰度指数采用遥感反演的物种丰富度代理指标；植被覆盖度作为最直观的生态健康信号，对各类干扰响应灵敏；水源涵养能力反映生态系统服务功能的完整性；土壤侵蚀强度与 PM2.5 浓度作为两个负向指标，侵蚀越强、污染越重，生态质量评价越低。</w:t>
      </w:r>
    </w:p>
    <w:p>
      <w:r>
        <w:rPr>
          <w:rFonts w:ascii="微软雅黑" w:hAnsi="微软雅黑"/>
          <w:b w:val="0"/>
          <w:sz w:val="22"/>
        </w:rPr>
        <w:t>权重方面，生物丰度赋权最高——在青藏高原东缘这一生物多样性热点区域，物种层面的生态价值是首要考量。植被覆盖度次之，因其在空间上连续分布、可通过遥感持续监测，且对自然和人为干扰的响应特征明确，是生态质量最可靠的代理变量之一。</w:t>
      </w:r>
    </w:p>
    <w:p>
      <w:r>
        <w:rPr>
          <w:rFonts w:ascii="微软雅黑" w:hAnsi="微软雅黑"/>
          <w:b/>
          <w:sz w:val="22"/>
        </w:rPr>
        <w:t>【屏幕：PPT Slide 10-11 — TDPI 数据来源与构建】</w:t>
      </w:r>
    </w:p>
    <w:p>
      <w:r>
        <w:rPr>
          <w:rFonts w:ascii="微软雅黑" w:hAnsi="微软雅黑"/>
          <w:b w:val="0"/>
          <w:sz w:val="22"/>
        </w:rPr>
        <w:t>第三个指数——也是本研究的核心创新——TDPI，旅游发展压力指数。</w:t>
      </w:r>
    </w:p>
    <w:p>
      <w:r>
        <w:rPr>
          <w:rFonts w:ascii="微软雅黑" w:hAnsi="微软雅黑"/>
          <w:b w:val="0"/>
          <w:sz w:val="22"/>
        </w:rPr>
        <w:t>有必要首先说明为何不能以 HAI 直接替代。HAI 测量的是所有人类活动的综合强度，农业、牧业、城镇建设等各类活动混合在一起。但在川西，高寒草甸上的放牧活动与河谷小镇中的旅游开发，其生态影响机制存在本质区别。若不将旅游压力从一般人类活动中分离出来，便无法就"旅游业造成了何种额外生态压力"给出有针对性的回答。</w:t>
      </w:r>
    </w:p>
    <w:p>
      <w:r>
        <w:rPr>
          <w:rFonts w:ascii="微软雅黑" w:hAnsi="微软雅黑"/>
          <w:b w:val="0"/>
          <w:sz w:val="22"/>
        </w:rPr>
        <w:t>TDPI 的构建围绕旅游活动的空间行为特征展开，从四个维度进行测度。</w:t>
      </w:r>
    </w:p>
    <w:p>
      <w:r>
        <w:rPr>
          <w:rFonts w:ascii="微软雅黑" w:hAnsi="微软雅黑"/>
          <w:b w:val="0"/>
          <w:sz w:val="22"/>
        </w:rPr>
        <w:t>景区规模维度——测度的并非景区占地面积本身，而是景区等级与规模所关联的游客流量预期。一个 5A 级景区的生态压力主要来源于其吸引的年均数百万人次客流，而非景区的物理占地。</w:t>
      </w:r>
    </w:p>
    <w:p>
      <w:r>
        <w:rPr>
          <w:rFonts w:ascii="微软雅黑" w:hAnsi="微软雅黑"/>
          <w:b w:val="0"/>
          <w:sz w:val="22"/>
        </w:rPr>
        <w:t>旅游设施密度维度——从 OpenStreetMap 提取观景台、栈道、游客中心等旅游专属设施的空间分布。这些设施构成了旅游活动在空间中的停留节点，标记了游客集中活动的热点位置。</w:t>
      </w:r>
    </w:p>
    <w:p>
      <w:r>
        <w:rPr>
          <w:rFonts w:ascii="微软雅黑" w:hAnsi="微软雅黑"/>
          <w:b w:val="0"/>
          <w:sz w:val="22"/>
        </w:rPr>
        <w:t>承载条件维度——从道路通达性与住宿容量两个方面，衡量旅游压力在空间中的分布模式：是能够在区域内分散消纳，还是集中于少数节点。</w:t>
      </w:r>
    </w:p>
    <w:p>
      <w:r>
        <w:rPr>
          <w:rFonts w:ascii="微软雅黑" w:hAnsi="微软雅黑"/>
          <w:b w:val="0"/>
          <w:sz w:val="22"/>
        </w:rPr>
        <w:t>服务集聚维度——以酒店、餐饮、交通枢纽的 POI 密度为代理，反映游客停留与消费活动的空间模式，直接表征旅游经济活动的地理强度。</w:t>
      </w:r>
    </w:p>
    <w:p>
      <w:r>
        <w:rPr>
          <w:rFonts w:ascii="微软雅黑" w:hAnsi="微软雅黑"/>
          <w:b w:val="0"/>
          <w:sz w:val="22"/>
        </w:rPr>
        <w:t>四个维度等权合成，经空间定位、邻域汇总与对数标准化处理，最终覆盖全州约 23 万个有效 1 公里像元。数据本身呈现出一个值得关注的特征：全州有效像元中仅约 3% 检测到旅游压力信号，表明旅游压力在川西呈现高度集中的空间分布——并非"全域旅游"带来"全域压力"，而是少数热点区域承载了绝大部分的生态影响。这一特征本身就具有重要的管控含义：治理资源可以聚焦于有限的关键区域。</w:t>
      </w:r>
    </w:p>
    <w:p>
      <w:r>
        <w:rPr>
          <w:rFonts w:ascii="微软雅黑" w:hAnsi="微软雅黑"/>
          <w:b/>
          <w:sz w:val="22"/>
        </w:rPr>
        <w:t>【屏幕：PPT Slide 12 — 空间分析框架】</w:t>
      </w:r>
    </w:p>
    <w:p>
      <w:r>
        <w:rPr>
          <w:rFonts w:ascii="微软雅黑" w:hAnsi="微软雅黑"/>
          <w:b w:val="0"/>
          <w:sz w:val="22"/>
        </w:rPr>
        <w:t>三个指数构建完成后，分析框架的层次便清晰了：以 HAI 与 EQI 的交叉识别人类活动—生态质量冲突的基本空间格局，再叠加 TDPI 来判断旅游活动在其中所承担的角色。这一双层筛选的设计，使我们得以避免将一般性的人地冲突不加区分地归因于旅游开发。</w:t>
      </w:r>
    </w:p>
    <w:p>
      <w:r>
        <w:rPr>
          <w:rFonts w:ascii="微软雅黑" w:hAnsi="微软雅黑"/>
          <w:b/>
          <w:sz w:val="28"/>
        </w:rPr>
        <w:t>三、核心分析：冲突识别、自然本底控制与非线性效应（3.5 分钟）</w:t>
      </w:r>
    </w:p>
    <w:p>
      <w:r>
        <w:rPr>
          <w:rFonts w:ascii="微软雅黑" w:hAnsi="微软雅黑"/>
          <w:b/>
          <w:sz w:val="22"/>
        </w:rPr>
        <w:t>【屏幕：PPT Slide 13 — 四类冲突分区】</w:t>
      </w:r>
    </w:p>
    <w:p>
      <w:r>
        <w:rPr>
          <w:rFonts w:ascii="微软雅黑" w:hAnsi="微软雅黑"/>
          <w:b w:val="0"/>
          <w:sz w:val="22"/>
        </w:rPr>
        <w:t>分析工作的第一步是冲突分区。我们以 HAI 与 EQI 的中位数作为划分依据，将全域分为四个象限。选择中位数而非某一绝对阈值的原因在于，"冲突"本质上是一个相对概念——在全州尺度上，我们的研究关切是哪些区域相对于典型状态面临更尖锐的人—生态矛盾，而非设定一个脱离数据分布的人为标准。</w:t>
      </w:r>
    </w:p>
    <w:p>
      <w:r>
        <w:rPr>
          <w:rFonts w:ascii="微软雅黑" w:hAnsi="微软雅黑"/>
          <w:b w:val="0"/>
          <w:sz w:val="22"/>
        </w:rPr>
        <w:t>四个象限指向四种差异化的管理处境。高 HAI 与高 EQI 的组合——生态本底优良但人类活动密集，可称作"富饶中的冲突"，治理重心在于减量提质，在开发利用中维持保护。高 HAI 与低 EQI 的组合——生态已呈退化态势而人类压力持续存在，属于透支型区域，需要采取边利用边修复的策略。低 HAI 与高 EQI 的组合——生态质量良好且人为扰动有限，是应优先保护的珍贵生态资产，需提前划定保护红线。低 HAI 与低 EQI 的组合——生态本底较弱但人类活动强度也较低，宜采取最小干预原则。</w:t>
      </w:r>
    </w:p>
    <w:p>
      <w:r>
        <w:rPr>
          <w:rFonts w:ascii="微软雅黑" w:hAnsi="微软雅黑"/>
          <w:b/>
          <w:sz w:val="22"/>
        </w:rPr>
        <w:t>【屏幕：PPT Slide 14 — 自然本底控制工作流】</w:t>
      </w:r>
    </w:p>
    <w:p>
      <w:r>
        <w:rPr>
          <w:rFonts w:ascii="微软雅黑" w:hAnsi="微软雅黑"/>
          <w:b w:val="0"/>
          <w:sz w:val="22"/>
        </w:rPr>
        <w:t>然而，四象限分类隐含着一个前提性问题：EQI 的高低，反映的究竟是生态系统的退化程度，还是自然条件本身的差异？</w:t>
      </w:r>
    </w:p>
    <w:p>
      <w:r>
        <w:rPr>
          <w:rFonts w:ascii="微软雅黑" w:hAnsi="微软雅黑"/>
          <w:b w:val="0"/>
          <w:sz w:val="22"/>
        </w:rPr>
        <w:t>以若尔盖的高寒草甸与海螺沟的亚热带常绿阔叶林为例——前者的高海拔与短生长季、后者充沛的水热条件，决定了二者的 EQI 在自然状态下便不可能等值。若直接比较，所测得的差异主要来自海拔与气候梯度，而非人类活动的生态效应。这正是我们在方法论上投入最深的环节——自然本底控制分析——所要解决的核心问题。</w:t>
      </w:r>
    </w:p>
    <w:p>
      <w:r>
        <w:rPr>
          <w:rFonts w:ascii="微软雅黑" w:hAnsi="微软雅黑"/>
          <w:b/>
          <w:sz w:val="22"/>
        </w:rPr>
        <w:t>【屏幕：PPT Slide 15 — 自然模型诊断】</w:t>
      </w:r>
    </w:p>
    <w:p>
      <w:r>
        <w:rPr>
          <w:rFonts w:ascii="微软雅黑" w:hAnsi="微软雅黑"/>
          <w:b w:val="0"/>
          <w:sz w:val="22"/>
        </w:rPr>
        <w:t>基本思路如下：以五个纯自然因子——海拔、坡度、地形起伏度、气温、降水——构建预测模型，回答"在给定的自然条件下，该位置的 EQI 大致应处于什么水平"。若实际 EQI 显著偏离这一自然预期值，则意味着存在超越自然条件之外的影响因素，其中可能就包括旅游开发活动。</w:t>
      </w:r>
    </w:p>
    <w:p>
      <w:r>
        <w:rPr>
          <w:rFonts w:ascii="微软雅黑" w:hAnsi="微软雅黑"/>
          <w:b w:val="0"/>
          <w:sz w:val="22"/>
        </w:rPr>
        <w:t>在技术上，该分析面临一个不可回避的问题：五个自然因子之间存在严重的共线性——坡度与起伏度高度相关，海拔与温度高度负相关。在此条件下，普通最小二乘回归的系数估计将极不稳定，符号甚至可能出现反转。我们采用岭回归处理这一问题，通过引入系数惩罚项，以少量的拟合精度损失换取估计的稳健性。</w:t>
      </w:r>
    </w:p>
    <w:p>
      <w:r>
        <w:rPr>
          <w:rFonts w:ascii="微软雅黑" w:hAnsi="微软雅黑"/>
          <w:b w:val="0"/>
          <w:sz w:val="22"/>
        </w:rPr>
        <w:t>模型经 50 公里空间分块交叉验证，R² 达到 0.515。这一数值的科学含义在于：自然条件约可解释 EQI 空间变异的一半，而另一半——海拔与降水等因子所不能解释的部分——恰是我们希望进一步考察的。</w:t>
      </w:r>
    </w:p>
    <w:p>
      <w:r>
        <w:rPr>
          <w:rFonts w:ascii="微软雅黑" w:hAnsi="微软雅黑"/>
          <w:b/>
          <w:sz w:val="22"/>
        </w:rPr>
        <w:t>【屏幕：PPT Slide 16 — 自然校正 EQI 残差】</w:t>
      </w:r>
    </w:p>
    <w:p>
      <w:r>
        <w:rPr>
          <w:rFonts w:ascii="微软雅黑" w:hAnsi="微软雅黑"/>
          <w:b w:val="0"/>
          <w:sz w:val="22"/>
        </w:rPr>
        <w:t>以实际 EQI 减去自然预期值，得到 ΔEQI——剥离了自然背景后的生态偏离量。正值表示该位置的生态质量优于同类自然条件下的典型水平，负值则表示低于预期。ΔEQI 的构建使我们得以跨海拔、跨气候地考察旅游压力与生态偏离之间的关联，而不受自然因子的直接混淆。</w:t>
      </w:r>
    </w:p>
    <w:p>
      <w:r>
        <w:rPr>
          <w:rFonts w:ascii="微软雅黑" w:hAnsi="微软雅黑"/>
          <w:b/>
          <w:sz w:val="22"/>
        </w:rPr>
        <w:t>【屏幕：PPT Slide 17 — 出现效应 vs 强度效应】</w:t>
      </w:r>
    </w:p>
    <w:p>
      <w:r>
        <w:rPr>
          <w:rFonts w:ascii="微软雅黑" w:hAnsi="微软雅黑"/>
          <w:b w:val="0"/>
          <w:sz w:val="22"/>
        </w:rPr>
        <w:t>在 ΔEQI 的基础上，我们在分析中做了一个重要的概念区分：将"旅游压力是否存在"与"旅游压力有多强"作为两个独立的假设分别检验。</w:t>
      </w:r>
    </w:p>
    <w:p>
      <w:r>
        <w:rPr>
          <w:rFonts w:ascii="微软雅黑" w:hAnsi="微软雅黑"/>
          <w:b w:val="0"/>
          <w:sz w:val="22"/>
        </w:rPr>
        <w:t>这一区分的逻辑基础在于：旅游活动的生态影响可能并非线性递增的。修建一条栈道或一处停车场——旅游活动在空间中的"出现"——这一事实本身可能就改变了局部生态系统的状态，而栈道上每日通行 100 人还是 1000 人，其边际影响或许并不显著。若该假说成立，则"有旅游压力"与"无旅游压力"之间的生态偏离应存在显著差异，而"高强度旅游压力"与"低强度旅游压力"之间的差异应不显著。</w:t>
      </w:r>
    </w:p>
    <w:p>
      <w:r>
        <w:rPr>
          <w:rFonts w:ascii="微软雅黑" w:hAnsi="微软雅黑"/>
          <w:b w:val="0"/>
          <w:sz w:val="22"/>
        </w:rPr>
        <w:t>实证结果支持了这一判断。出现效应显著——有旅游压力的像元，其自然校正后的 ΔEQI 均值系统性地偏低，经 500 次空间块 Bootstrap 检验，95% 置信区间始终位于零以下，这一关联具有统计稳健性。而强度效应不显著——仅在已有旅游压力的像元子集中进行检验，TDPI 强度与 ΔEQI 的相关系数仅为 0.009（p = 0.438），在统计意义上无法与零区分。</w:t>
      </w:r>
    </w:p>
    <w:p>
      <w:r>
        <w:rPr>
          <w:rFonts w:ascii="微软雅黑" w:hAnsi="微软雅黑"/>
          <w:b w:val="0"/>
          <w:sz w:val="22"/>
        </w:rPr>
        <w:t>这一发现蕴含着明确的政策含义：若旅游活动的生态影响主要取决于"进入了哪些空间"而非"在空间内进行了多大规模的活动"，那么管控的重心应置于空间准入——即确定哪些区域不宜进行旅游开发——而非简单地限制已开发区域的游客流量。</w:t>
      </w:r>
    </w:p>
    <w:p>
      <w:r>
        <w:rPr>
          <w:rFonts w:ascii="微软雅黑" w:hAnsi="微软雅黑"/>
          <w:b/>
          <w:sz w:val="22"/>
        </w:rPr>
        <w:t>【屏幕：PPT Slide 18 — 候选结构变化点】</w:t>
      </w:r>
    </w:p>
    <w:p>
      <w:r>
        <w:rPr>
          <w:rFonts w:ascii="微软雅黑" w:hAnsi="微软雅黑"/>
          <w:b w:val="0"/>
          <w:sz w:val="22"/>
        </w:rPr>
        <w:t>在此基础上，我们进一步追问：旅游压力与生态偏离之间是否存在非线性结构变化——即某一压力水平之上，生态响应的模式发生显著改变？我们采用分段线性回归结合 AIC 模型比较的方法进行候选结构变化点检测。</w:t>
      </w:r>
    </w:p>
    <w:p>
      <w:r>
        <w:rPr>
          <w:rFonts w:ascii="微软雅黑" w:hAnsi="微软雅黑"/>
          <w:b w:val="0"/>
          <w:sz w:val="22"/>
        </w:rPr>
        <w:t>分析在 TDPI ≈ 0.099 处检测到一个候选变化信号（ΔAIC = -9.49）。但必须审慎地指出，经 250 次 Bootstrap 得到的 95% 置信区间较宽——下限 0.051，上限 0.162——拐点前后两段的斜率置信区间也均跨越零点。这表明数据虽然给出了"此处可能存在结构变化"的统计提示，但远不足以支撑一个精确的"阈值"定义。因此我们将其定性为"探索性结构变化"，既不称为生态承载力阈值，也不作为划定管控线的唯一依据。这是对数据本身不确定性的尊重，也是对政策建议科学性的负责。</w:t>
      </w:r>
    </w:p>
    <w:p>
      <w:r>
        <w:rPr>
          <w:rFonts w:ascii="微软雅黑" w:hAnsi="微软雅黑"/>
          <w:b/>
          <w:sz w:val="22"/>
        </w:rPr>
        <w:t>【屏幕：PPT Slide 19 — 局部空间异质性】</w:t>
      </w:r>
    </w:p>
    <w:p>
      <w:r>
        <w:rPr>
          <w:rFonts w:ascii="微软雅黑" w:hAnsi="微软雅黑"/>
          <w:b w:val="0"/>
          <w:sz w:val="22"/>
        </w:rPr>
        <w:t>最后，我们检验了全州平均关系对局地特征的掩盖程度。采用 31 公里局部滑动窗口进行空间秩相关分析，结果显示：约 70% 的窗口呈负相关——TDPI 越高则 EQI 越低，这是占主导的空间模式。然而，约 30% 的窗口呈正相关，在这些局部区域，旅游压力高值区与较好的生态质量相伴随。</w:t>
      </w:r>
    </w:p>
    <w:p>
      <w:r>
        <w:rPr>
          <w:rFonts w:ascii="微软雅黑" w:hAnsi="微软雅黑"/>
          <w:b w:val="0"/>
          <w:sz w:val="22"/>
        </w:rPr>
        <w:t>对于这 30% 正相关窗口的出现，存在两种可能的解释。其一，旅游开发天然倾向于选址在景观资源优良的区域，这是一种内生的空间自选择。其二，部分管理良好的景区可能确实在一定程度上实现了保护与利用的协调。无论具体机制如何，这一结果至少表明：全州统一的管理阈值存在忽视局部异质性的风险，差异化的治理方案设计必须考虑空间分异特征。</w:t>
      </w:r>
    </w:p>
    <w:p>
      <w:r>
        <w:rPr>
          <w:rFonts w:ascii="微软雅黑" w:hAnsi="微软雅黑"/>
          <w:b/>
          <w:sz w:val="28"/>
        </w:rPr>
        <w:t>四、治理转译：从科学发现到空间决策（1.5 分钟）</w:t>
      </w:r>
    </w:p>
    <w:p>
      <w:r>
        <w:rPr>
          <w:rFonts w:ascii="微软雅黑" w:hAnsi="微软雅黑"/>
          <w:b/>
          <w:sz w:val="22"/>
        </w:rPr>
        <w:t>【屏幕：PPT Slide 20-21 — 四类治理逻辑】</w:t>
      </w:r>
    </w:p>
    <w:p>
      <w:r>
        <w:rPr>
          <w:rFonts w:ascii="微软雅黑" w:hAnsi="微软雅黑"/>
          <w:b w:val="0"/>
          <w:sz w:val="22"/>
        </w:rPr>
        <w:t>前述三个分析环节完成了冲突识别与科学归因。但我们的研究目标不限于学术产出——分析结果需转化为管理者可直接参照的决策支持信息。</w:t>
      </w:r>
    </w:p>
    <w:p>
      <w:r>
        <w:rPr>
          <w:rFonts w:ascii="微软雅黑" w:hAnsi="微软雅黑"/>
          <w:b w:val="0"/>
          <w:sz w:val="22"/>
        </w:rPr>
        <w:t>四类冲突分区分别对应一套差异化的治理逻辑。在此有必要澄清一个容易忽略的问题："低冲突"并不等同于"适宜开发"。高寒荒漠与裸岩区虽处于低 HAI—低 EQI 象限，人—生态冲突程度较低，但其自然条件决定了这些区域并不具备旅游开发的经济可行性——它们是"无关区域"，而非"可开发区"。</w:t>
      </w:r>
    </w:p>
    <w:p>
      <w:r>
        <w:rPr>
          <w:rFonts w:ascii="微软雅黑" w:hAnsi="微软雅黑"/>
          <w:b/>
          <w:sz w:val="22"/>
        </w:rPr>
        <w:t>【屏幕：PPT Slide 22-23 — 县域优先级 + 三级管理优先区】</w:t>
      </w:r>
    </w:p>
    <w:p>
      <w:r>
        <w:rPr>
          <w:rFonts w:ascii="微软雅黑" w:hAnsi="微软雅黑"/>
          <w:b w:val="0"/>
          <w:sz w:val="22"/>
        </w:rPr>
        <w:t>治理优先级的量化方法如下：将冲突类型与 TDPI 等级进行空间叠加。一级管理优先区——旅游压力高且生态风险高——赋予权重 3，为严格管控区域；二级管理优先区赋予权重 2，为动态监测区域。加权汇总至县域单元后，共 31 个县域达到 100 平方公里有效面积门槛，形成可横向比较的治理优先级排序。</w:t>
      </w:r>
    </w:p>
    <w:p>
      <w:r>
        <w:rPr>
          <w:rFonts w:ascii="微软雅黑" w:hAnsi="微软雅黑"/>
          <w:b/>
          <w:sz w:val="22"/>
        </w:rPr>
        <w:t>【屏幕：PPT Slide 24-27 — 县域排名】</w:t>
      </w:r>
    </w:p>
    <w:p>
      <w:r>
        <w:rPr>
          <w:rFonts w:ascii="微软雅黑" w:hAnsi="微软雅黑"/>
          <w:b w:val="0"/>
          <w:sz w:val="22"/>
        </w:rPr>
        <w:t>排名前五的县域——泸定、康定、丹巴、汶川、巴塘——具有共同的空间特征：均处于区域交通干线走廊与生态敏感区的交叠地带。以泸定县为例，其治理优先级指数为 0.276，高 TDPI 值面积占比 9.63%。作为甘孜藏族自治州的东部门户，G318 国道与雅康高速公路将大量过境旅游交通压缩至大渡河狭窄谷地，旅游设施与河岸生态空间形成直接的空间竞争。我们给出的建议并非笼统地主张"减少旅游"，而是提出"疏解过境交通流、控制停车与住宿设施的进一步扩容"——从空间结构的调整入手缓解冲突，而非简单地压缩旅游规模。</w:t>
      </w:r>
    </w:p>
    <w:p>
      <w:r>
        <w:rPr>
          <w:rFonts w:ascii="微软雅黑" w:hAnsi="微软雅黑"/>
          <w:b/>
          <w:sz w:val="28"/>
        </w:rPr>
        <w:t>五、九寨沟验证：准实验因果推断（3 分钟）</w:t>
      </w:r>
    </w:p>
    <w:p>
      <w:r>
        <w:rPr>
          <w:rFonts w:ascii="微软雅黑" w:hAnsi="微软雅黑"/>
          <w:b/>
          <w:sz w:val="22"/>
        </w:rPr>
        <w:t>【屏幕：PPT Slide 29 — 案例引入】</w:t>
      </w:r>
    </w:p>
    <w:p>
      <w:r>
        <w:rPr>
          <w:rFonts w:ascii="微软雅黑" w:hAnsi="微软雅黑"/>
          <w:b w:val="0"/>
          <w:sz w:val="22"/>
        </w:rPr>
        <w:t>前述全州尺度的分析揭示了旅游压力与生态偏离之间的统计关联。然而，横截面相关并不等价于因果——这是地理学与社会科学中经典的因果推断难题。一个具体的挑战来自空间自选择：旅游设施并非在空间中随机分布，而是倾向于选址在景观资源相对优良的区域，而这些区域的植被覆盖特征——无论是否发生旅游开发——本就与其他区域存在系统性差异。若不处理这一自选择偏差，便可能将"景观优良区域固有的生态特征"误判为"旅游开发未造成影响"。</w:t>
      </w:r>
    </w:p>
    <w:p>
      <w:r>
        <w:rPr>
          <w:rFonts w:ascii="微软雅黑" w:hAnsi="微软雅黑"/>
          <w:b w:val="0"/>
          <w:sz w:val="22"/>
        </w:rPr>
        <w:t>为在更精细的空间尺度上逼近因果关系，我们选取九寨沟作为典型案例，运用准实验研究设计进行了深入的局地因果推断。</w:t>
      </w:r>
    </w:p>
    <w:p>
      <w:r>
        <w:rPr>
          <w:rFonts w:ascii="微软雅黑" w:hAnsi="微软雅黑"/>
          <w:b/>
          <w:sz w:val="22"/>
        </w:rPr>
        <w:t>【屏幕：PPT Slide 30 — 样本构建】</w:t>
      </w:r>
    </w:p>
    <w:p>
      <w:r>
        <w:rPr>
          <w:rFonts w:ascii="微软雅黑" w:hAnsi="微软雅黑"/>
          <w:b w:val="0"/>
          <w:sz w:val="22"/>
        </w:rPr>
        <w:t>选择九寨沟并非因其知名度，而是缘于其提供了一个具有准实验结构的研究窗口。2017 年九寨沟地震后，景区进入闭园重建阶段，直至 2021 年方重新对外开放。这一事件自然形成了三个清晰的时间断点：震前常态期（2015 年）、闭园恢复期（2020 年）与重新开放期（2022 年）。三期观测构成面板数据结构，使得在同一空间单元上追踪不同旅游活动状态下的生态变化轨迹成为可能。</w:t>
      </w:r>
    </w:p>
    <w:p>
      <w:r>
        <w:rPr>
          <w:rFonts w:ascii="微软雅黑" w:hAnsi="微软雅黑"/>
          <w:b w:val="0"/>
          <w:sz w:val="22"/>
        </w:rPr>
        <w:t>在 100 米统一网格框架下，通过历史高分辨率影像逐格复核，最终识别出 17 个高可信旅游相关建设斑块——即震后重建过程中新建或扩建的酒店、停车场、观景台等设施——对应 25 个有效的状态转移网格。</w:t>
      </w:r>
    </w:p>
    <w:p>
      <w:r>
        <w:rPr>
          <w:rFonts w:ascii="微软雅黑" w:hAnsi="微软雅黑"/>
          <w:b/>
          <w:sz w:val="22"/>
        </w:rPr>
        <w:t>【屏幕：PPT Slide 31-32 — 三期光谱指标 + PSM】</w:t>
      </w:r>
    </w:p>
    <w:p>
      <w:r>
        <w:rPr>
          <w:rFonts w:ascii="微软雅黑" w:hAnsi="微软雅黑"/>
          <w:b w:val="0"/>
          <w:sz w:val="22"/>
        </w:rPr>
        <w:t>此后最核心的方法论挑战在于为这 25 个建设网格构建合适的对照组。最直接的做法是选取邻近的未建设网格作为对照，但邻近网格之所以未被建设，可能恰恰因为其立地条件——坡度更陡、海拔更高、或处于不同类型土地覆盖——与建设网格存在系统性差异。在此情况下直接比较，难以区分观测到的差异究竟来自旅游建设的影响，还是来自地形与土地条件的固有差异。</w:t>
      </w:r>
    </w:p>
    <w:p>
      <w:r>
        <w:rPr>
          <w:rFonts w:ascii="微软雅黑" w:hAnsi="微软雅黑"/>
          <w:b w:val="0"/>
          <w:sz w:val="22"/>
        </w:rPr>
        <w:t>我们采用倾向得分匹配（PSM）来应对这一问题。具体操作如下：以建设网格为基准，提取其海拔、坡度、道路距离、旅游设施距离、原始土地覆盖类型以及是否位于保护地范围内六项属性，通过逻辑回归模型估计全域每一个未建设网格"若在其他条件相同的情况下被选为建设区的条件概率"，即倾向得分。随后为每个建设网格匹配倾向得分最接近的未建设网格作为对照。这一匹配机制的目标是确保处理组与对照组在可观测的立地条件上具有可比性。</w:t>
      </w:r>
    </w:p>
    <w:p>
      <w:r>
        <w:rPr>
          <w:rFonts w:ascii="微软雅黑" w:hAnsi="微软雅黑"/>
          <w:b/>
          <w:sz w:val="22"/>
        </w:rPr>
        <w:t>【屏幕：PPT Slide 33-34 — 准DID + 核心结果】</w:t>
      </w:r>
    </w:p>
    <w:p>
      <w:r>
        <w:rPr>
          <w:rFonts w:ascii="微软雅黑" w:hAnsi="微软雅黑"/>
          <w:b w:val="0"/>
          <w:sz w:val="22"/>
        </w:rPr>
        <w:t>匹配完成后，采用准双重差分法（Quasi-DID）估计处理效应：计算处理组（建设区）2015 至 2020 年间 NDVI 的变化量，减去匹配对照组同期的变化量。这一差值即为建设区相对于未建设区在生态指标上的"额外变化"——在控制了立地条件与时间趋势之后，可归因于旅游建设的那部分生态响应。</w:t>
      </w:r>
    </w:p>
    <w:p>
      <w:r>
        <w:rPr>
          <w:rFonts w:ascii="微软雅黑" w:hAnsi="微软雅黑"/>
          <w:b w:val="0"/>
          <w:sz w:val="22"/>
        </w:rPr>
        <w:t>估计结果显示，直接建设网格的 NDVI 准 DID 估计值为 -0.124，经斑块自助法（Patch Bootstrap）检验，95% 置信区间全部位于零以下。这意味着与立地条件相似但未发生旅游建设的区域相比，建设区在震后闭园期表现出统计上可辨识的额外植被下降。</w:t>
      </w:r>
    </w:p>
    <w:p>
      <w:r>
        <w:rPr>
          <w:rFonts w:ascii="微软雅黑" w:hAnsi="微软雅黑"/>
          <w:b/>
          <w:sz w:val="22"/>
        </w:rPr>
        <w:t>【屏幕：PPT Slide 36 — 300 米邻域分析】</w:t>
      </w:r>
    </w:p>
    <w:p>
      <w:r>
        <w:rPr>
          <w:rFonts w:ascii="微软雅黑" w:hAnsi="微软雅黑"/>
          <w:b w:val="0"/>
          <w:sz w:val="22"/>
        </w:rPr>
        <w:t>同时，我们对建设区周边 300 米缓冲区进行了同样的分析。结果显示，300 米缓冲范围内的 NDVI 准 DID 估计值仅为 -0.009，接近零值。在现有数据条件下，未检测到旅游建设对周边植被产生稳定且可辨识的溢出效应——生态影响主要限定在建设斑块自身空间范围内，未呈现以建设区为中心的辐射扩散格局。这一发现的政策启示在于：在空间上集中布局的旅游建设，其总体生态影响可能小于分散式布局——因为影响在空间上被限定在建设斑块内部，而非向外扩散。</w:t>
      </w:r>
    </w:p>
    <w:p>
      <w:r>
        <w:rPr>
          <w:rFonts w:ascii="微软雅黑" w:hAnsi="微软雅黑"/>
          <w:b/>
          <w:sz w:val="22"/>
        </w:rPr>
        <w:t>【屏幕：PPT Slide 37-38 — 科学边界】</w:t>
      </w:r>
    </w:p>
    <w:p>
      <w:r>
        <w:rPr>
          <w:rFonts w:ascii="微软雅黑" w:hAnsi="微软雅黑"/>
          <w:b w:val="0"/>
          <w:sz w:val="22"/>
        </w:rPr>
        <w:t>必须坦率地指出本项案例分析在方法论层面的局限性。有效状态转移网格仅 25 个，统计功效有限，这限制了估计结果的稳定性与可推广性。更关键的是，即便经过倾向得分匹配，匹配后的标准化均值差仍达 2.31，超过 94% 的匹配需放宽卡钳（caliper）方能完成。这意味着在我们的数据条件下，要找到严格意义上"仅在建设与否这一维度上存在差异，其他条件完全相同"的对照网格，几乎是不可能实现的目标。因此，我们审慎地将结果定性为"准 DID"或"震后闭园期差异变化"，不将其表述为旅游开发导致了确定性的生态效应。</w:t>
      </w:r>
    </w:p>
    <w:p>
      <w:r>
        <w:rPr>
          <w:rFonts w:ascii="微软雅黑" w:hAnsi="微软雅黑"/>
          <w:b w:val="0"/>
          <w:sz w:val="22"/>
        </w:rPr>
        <w:t>九寨沟案例分析的科学价值，不在于"证明旅游开发有害"，而在于其验证了一条可复用的局地因果推断路径：从遥感影像解译与建设斑块识别，到倾向得分匹配消除可观测的自选择偏差，到双重差分法提取因果效应，再到对科学边界与不确定性的明确陈述。这一方法框架可迁移至稻城亚丁、海螺沟等其他具备类似数据条件的典型景区，在更大样本量的支撑下获得更为稳健的因果推断。</w:t>
      </w:r>
    </w:p>
    <w:p>
      <w:r>
        <w:rPr>
          <w:rFonts w:ascii="微软雅黑" w:hAnsi="微软雅黑"/>
          <w:b/>
          <w:sz w:val="28"/>
        </w:rPr>
        <w:t>六、成果平台：方法工具化（2.5 分钟）</w:t>
      </w:r>
    </w:p>
    <w:p>
      <w:r>
        <w:rPr>
          <w:rFonts w:ascii="微软雅黑" w:hAnsi="微软雅黑"/>
          <w:b/>
          <w:sz w:val="22"/>
        </w:rPr>
        <w:t>【屏幕：PPT Slide 39 — GeoScene Pro 工具箱概览】</w:t>
      </w:r>
    </w:p>
    <w:p>
      <w:r>
        <w:rPr>
          <w:rFonts w:ascii="微软雅黑" w:hAnsi="微软雅黑"/>
          <w:b w:val="0"/>
          <w:sz w:val="22"/>
        </w:rPr>
        <w:t>上述分析产生了大量栅格数据产品、统计结果与决策规则。但若研究成果仅停留于学术论文层面，其实际应用价值将受到严重限制。为此，我们将整套分析框架沉淀为两套可交付的软件工具。</w:t>
      </w:r>
    </w:p>
    <w:p>
      <w:r>
        <w:rPr>
          <w:rFonts w:ascii="微软雅黑" w:hAnsi="微软雅黑"/>
          <w:b/>
          <w:sz w:val="22"/>
        </w:rPr>
        <w:t>【屏幕：PPT Slide 39 停留 — 三个工具表格】</w:t>
      </w:r>
    </w:p>
    <w:p>
      <w:r>
        <w:rPr>
          <w:rFonts w:ascii="微软雅黑" w:hAnsi="微软雅黑"/>
          <w:b w:val="0"/>
          <w:sz w:val="22"/>
        </w:rPr>
        <w:t>第一套工具是基于 GeoScene Pro 平台开发的 Python 工具箱，这也是本次竞赛规定的开发环境。工具箱包含三个工具，分别对应三种典型的决策支持场景：县域级风险评估——选择目标县域后，工具自动裁剪相关栅格、执行分区统计并输出完整的文本格式风险简报；全州级预警扫描——遍历全域栅格，提取一级预警区范围并生成统计摘要；点位级诊断查询——在地图视图上任选一个坐标，返回该点的冲突分类、管理优先级及关键指数值。三个工具共享统一的 1 公里栅格数据底板与分析算法逻辑，确保不同场景下的输出结果具有一致性与可核验性。</w:t>
      </w:r>
    </w:p>
    <w:p>
      <w:r>
        <w:rPr>
          <w:rFonts w:ascii="微软雅黑" w:hAnsi="微软雅黑"/>
          <w:b/>
          <w:sz w:val="22"/>
        </w:rPr>
        <w:t>【屏幕：PPT Slide 40 — Streamlit 平台概览】</w:t>
      </w:r>
    </w:p>
    <w:p>
      <w:r>
        <w:rPr>
          <w:rFonts w:ascii="微软雅黑" w:hAnsi="微软雅黑"/>
          <w:b w:val="0"/>
          <w:sz w:val="22"/>
        </w:rPr>
        <w:t>第二套工具是基于 Streamlit 框架开发的 Web 交互平台。设计这一平台的初衷在于降低使用门槛——并非所有潜在用户都具备 GeoScene Pro 的软件许可，但浏览器已基本实现全覆盖。平台采用双模式架构：展示模式面向非技术型用户，通过交互式地图、县域诊断面板与三级预警视图，以可视化方式呈现分析结果；现场分析模式面向技术型用户，支持上传自定义栅格数据、动态调整分析参数、模拟不同旅游增长情景——将平台的定位从"展示已计算的结果"拓展至"回答假设性推演问题"。</w:t>
      </w:r>
    </w:p>
    <w:p>
      <w:r>
        <w:rPr>
          <w:rFonts w:ascii="微软雅黑" w:hAnsi="微软雅黑"/>
          <w:b/>
          <w:sz w:val="22"/>
        </w:rPr>
        <w:t>【屏幕：切至实机录屏 — 先 Streamlit 后 GeoScene，共约 2 分钟】</w:t>
      </w:r>
    </w:p>
    <w:p>
      <w:r>
        <w:rPr>
          <w:rFonts w:ascii="微软雅黑" w:hAnsi="微软雅黑"/>
          <w:b w:val="0"/>
          <w:sz w:val="22"/>
        </w:rPr>
        <w:t>以下进行实际操作演示。</w:t>
      </w:r>
    </w:p>
    <w:p>
      <w:r>
        <w:rPr>
          <w:rFonts w:ascii="微软雅黑" w:hAnsi="微软雅黑"/>
          <w:b/>
          <w:sz w:val="22"/>
        </w:rPr>
        <w:t>【操作：Streamlit 约 1.5 分钟】</w:t>
      </w:r>
    </w:p>
    <w:p>
      <w:r>
        <w:rPr>
          <w:rFonts w:ascii="微软雅黑" w:hAnsi="微软雅黑"/>
          <w:b w:val="0"/>
          <w:sz w:val="22"/>
        </w:rPr>
        <w:t>左侧边栏列出 31 个县域的完整治理优先级排名，支持搜索筛选与点击定位。选中任一县域进入诊断页面——系统自动生成基于该县栅格裁剪结果的冲突分区饼图、EQI 五分量雷达图，以及由数据驱动的智能诊断文本，并支持一键下载治理报告。切换至现场分析模式：阈值探索器通过滑块动态调节 TDPI 分级阈值，管理优先区实时重分类并同步显示各级面积变化；情景模拟器允许设定 TDPI 增长倍数，系统自动计算并列出在此情景下治理优先级将发生跃升的县域名单。</w:t>
      </w:r>
    </w:p>
    <w:p>
      <w:r>
        <w:rPr>
          <w:rFonts w:ascii="微软雅黑" w:hAnsi="微软雅黑"/>
          <w:b/>
          <w:sz w:val="22"/>
        </w:rPr>
        <w:t>【操作：GeoScene Pro 约 0.5 分钟】</w:t>
      </w:r>
    </w:p>
    <w:p>
      <w:r>
        <w:rPr>
          <w:rFonts w:ascii="微软雅黑" w:hAnsi="微软雅黑"/>
          <w:b w:val="0"/>
          <w:sz w:val="22"/>
        </w:rPr>
        <w:t>GeoScene Pro 工具箱——运行点位诊断查询工具，在地图视图中任选一个位置，工具在数秒内返回该点的四象限冲突分类、三级管理优先级以及 HAI、TDPI、EQI 三项指数值。</w:t>
      </w:r>
    </w:p>
    <w:p>
      <w:r>
        <w:rPr>
          <w:rFonts w:ascii="微软雅黑" w:hAnsi="微软雅黑"/>
          <w:b/>
          <w:sz w:val="28"/>
        </w:rPr>
        <w:t>七、总结与展望（0.5 分钟）</w:t>
      </w:r>
    </w:p>
    <w:p>
      <w:r>
        <w:rPr>
          <w:rFonts w:ascii="微软雅黑" w:hAnsi="微软雅黑"/>
          <w:b/>
          <w:sz w:val="22"/>
        </w:rPr>
        <w:t>【屏幕：PPT Slide 41 — 总结与展望】</w:t>
      </w:r>
    </w:p>
    <w:p>
      <w:r>
        <w:rPr>
          <w:rFonts w:ascii="微软雅黑" w:hAnsi="微软雅黑"/>
          <w:b w:val="0"/>
          <w:sz w:val="22"/>
        </w:rPr>
        <w:t>最后做简要总结。本研究从四个层面系统回应了"旅游开发与生态保护的空间冲突如何识别、归因与治理"这一核心问题。</w:t>
      </w:r>
    </w:p>
    <w:p>
      <w:r>
        <w:rPr>
          <w:rFonts w:ascii="微软雅黑" w:hAnsi="微软雅黑"/>
          <w:b w:val="0"/>
          <w:sz w:val="22"/>
        </w:rPr>
        <w:t>在测量层面，通过构建聚焦旅游活动的 TDPI 指数，将旅游压力从一般人类活动中分离出来——这是讨论"旅游特殊生态效应"的前提条件，也是后续分析的基础。</w:t>
      </w:r>
    </w:p>
    <w:p>
      <w:r>
        <w:rPr>
          <w:rFonts w:ascii="微软雅黑" w:hAnsi="微软雅黑"/>
          <w:b w:val="0"/>
          <w:sz w:val="22"/>
        </w:rPr>
        <w:t>在归因层面，自然本底控制分析剥离了地形与气候因子对生态质量信号的混淆效应，使得旅游压力与生态偏离之间的关系得以在更为纯粹的统计条件下被考察。核心发现——出现效应显著而强度效应不显著——指向了"空间准入优先于流量控制"这一具有实践意义的管理方向。</w:t>
      </w:r>
    </w:p>
    <w:p>
      <w:r>
        <w:rPr>
          <w:rFonts w:ascii="微软雅黑" w:hAnsi="微软雅黑"/>
          <w:b w:val="0"/>
          <w:sz w:val="22"/>
        </w:rPr>
        <w:t>在验证层面，九寨沟案例在 100 米精细尺度上，借助准实验研究设计系统检验了"统计关联是否可能反映因果关系"。尽管样本量限制了结论的确定性，该案例提供了一条可迁移至其他典型景区的因果推断方法路径。</w:t>
      </w:r>
    </w:p>
    <w:p>
      <w:r>
        <w:rPr>
          <w:rFonts w:ascii="微软雅黑" w:hAnsi="微软雅黑"/>
          <w:b w:val="0"/>
          <w:sz w:val="22"/>
        </w:rPr>
        <w:t>在应用层面，GeoScene Pro 工具箱与 Streamlit Web 平台两套交付物，将分析框架转化为可运行、可验证、可复现的决策支持系统，服务于不同技术背景的用户群体。</w:t>
      </w:r>
    </w:p>
    <w:p>
      <w:r>
        <w:rPr>
          <w:rFonts w:ascii="微软雅黑" w:hAnsi="微软雅黑"/>
          <w:b w:val="0"/>
          <w:sz w:val="22"/>
        </w:rPr>
        <w:t>以上就是我们的全部汇报。谢谢各位评委老师。</w:t>
      </w:r>
    </w:p>
    <w:p>
      <w:r>
        <w:rPr>
          <w:rFonts w:ascii="微软雅黑" w:hAnsi="微软雅黑"/>
          <w:b/>
          <w:sz w:val="28"/>
        </w:rPr>
        <w:t>附：录屏操作清单</w:t>
      </w:r>
    </w:p>
    <w:p>
      <w:r>
        <w:rPr>
          <w:rFonts w:ascii="微软雅黑" w:hAnsi="微软雅黑"/>
          <w:b/>
          <w:sz w:val="22"/>
        </w:rPr>
        <w:t>Streamlit 部分（约 1.5 分钟）</w:t>
      </w:r>
    </w:p>
    <w:p>
      <w:r>
        <w:rPr>
          <w:rFonts w:ascii="微软雅黑" w:hAnsi="微软雅黑"/>
          <w:b/>
          <w:sz w:val="22"/>
        </w:rPr>
        <w:t>GeoScene Pro 部分（约 0.5 分钟）</w:t>
      </w:r>
    </w:p>
    <w:p>
      <w:r>
        <w:rPr>
          <w:rFonts w:ascii="微软雅黑" w:hAnsi="微软雅黑"/>
          <w:b/>
          <w:sz w:val="22"/>
        </w:rPr>
        <w:t>PPT 部分（约 12-13 分钟）</w:t>
      </w:r>
    </w:p>
    <w:p>
      <w:r>
        <w:rPr>
          <w:rFonts w:ascii="微软雅黑" w:hAnsi="微软雅黑"/>
          <w:b w:val="0"/>
          <w:sz w:val="22"/>
        </w:rPr>
        <w:t>按讲稿顺序翻页即可。九寨沟案例（Slide 29-38，约 3 分钟）和成果平台（Slide 39-40，约 1 分钟）是重点段落。</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