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6"/>
        </w:rPr>
        <w:t>AURA: Arsitektur Retrieval-Augmented Generation Dua-Tahap dan Visi Multimodal Otonom untuk Navigasi Regulasi Kompleks Perguruan Tinggi</w:t>
      </w:r>
    </w:p>
    <w:p>
      <w:pPr>
        <w:spacing w:after="40"/>
        <w:jc w:val="center"/>
      </w:pPr>
      <w:r>
        <w:rPr>
          <w:b/>
          <w:sz w:val="22"/>
        </w:rPr>
        <w:t>Muhammad Nabil Hanif</w:t>
      </w:r>
      <w:r>
        <w:rPr>
          <w:b/>
          <w:sz w:val="22"/>
          <w:vertAlign w:val="superscript"/>
        </w:rPr>
        <w:t>1</w:t>
      </w:r>
      <w:r>
        <w:rPr>
          <w:sz w:val="22"/>
        </w:rPr>
        <w:t xml:space="preserve">, </w:t>
      </w:r>
      <w:r>
        <w:rPr>
          <w:b/>
          <w:sz w:val="22"/>
        </w:rPr>
        <w:t>Dosen Pembimbing</w:t>
      </w:r>
      <w:r>
        <w:rPr>
          <w:b/>
          <w:sz w:val="22"/>
          <w:vertAlign w:val="superscript"/>
        </w:rPr>
        <w:t>1</w:t>
      </w:r>
    </w:p>
    <w:p>
      <w:pPr>
        <w:spacing w:after="40"/>
        <w:jc w:val="center"/>
      </w:pPr>
      <w:r>
        <w:rPr>
          <w:i/>
          <w:sz w:val="19"/>
        </w:rPr>
        <w:t>1 Jurusan Teknik Informatika, Fakultas Teknologi Industri, Universitas Islam Indonesia, Yogyakarta 55584, Indonesia</w:t>
      </w:r>
    </w:p>
    <w:p>
      <w:pPr>
        <w:spacing w:after="240"/>
        <w:jc w:val="center"/>
      </w:pPr>
      <w:r>
        <w:rPr>
          <w:i/>
          <w:sz w:val="18"/>
        </w:rPr>
        <w:t xml:space="preserve">Korespondensi Penulis: </w:t>
      </w:r>
      <w:r>
        <w:rPr>
          <w:b/>
          <w:sz w:val="18"/>
        </w:rPr>
        <w:t>nabil.hanif@students.uii.ac.id</w:t>
      </w:r>
    </w:p>
    <w:p>
      <w:pPr>
        <w:spacing w:after="160"/>
        <w:jc w:val="center"/>
      </w:pPr>
      <w:r>
        <w:rPr>
          <w:color w:val="A0A0A0"/>
        </w:rPr>
        <w:t>――――――――――――――――――――――――――――――――――――――――――――――――――――――――――――</w:t>
      </w:r>
    </w:p>
    <w:p>
      <w:pPr>
        <w:spacing w:after="80"/>
        <w:jc w:val="both"/>
      </w:pPr>
      <w:r>
        <w:rPr>
          <w:b/>
          <w:sz w:val="18"/>
        </w:rPr>
        <w:t>Abstrak—</w:t>
      </w:r>
      <w:r>
        <w:rPr>
          <w:sz w:val="18"/>
        </w:rPr>
        <w:t>Menavigasi regulasi institusional yang tersebar dan masif di lingkungan perguruan tinggi menimbulkan beban operasional yang signifikan bagi mahasiswa, dosen pembimbing, maupun divisi administrasi akademik. Pendekatan pencarian konvensional berbasis kata kunci (keyword matching) terbukti gagal menangani polisemi semantik dan relasi hierarkis peraturan kampus, sementara model bahasa berskala besar (Large Language Models / LLM) tanpa penambatan domain (grounding) rentan memproduksi halusinasi faktual kritis—seperti mengarang pasal peraturan, memanipulasi batas kredit studi (SKS), dan keliru menyebutkan batas waktu pembayaran. Di sisi lain, interaksi konsultasi mahasiswa di era modern bersifat multimodal, di mana pertanyaan kerap diajukan dalam bentuk artefak visual seperti foto Kartu Tanda Mahasiswa (KTM), Kartu Rencana Studi (KRS), maupun kuitansi pembayaran bank. Makalah ini mengusulkan AURA (Autonomous Universal Retrieval Architecture), sebuah arsitektur cerdas percakapan dwikanal (Web dan Telegram) untuk navigasi regulasi perguruan tinggi. AURA mengintegrasikan pipeline temu balik dua-tahap (two-stage neural retrieval) yang memadukan pencarian vektor rapat (dense vector embedding Cohere Multilingual v3.0) dengan model pemeringkat ulang saraf silang-penyandi (cross-encoder neural reranker Cohere Rerank v3.0), mereduksi derau konteks regulasi hingga ke tingkat terendah. Untuk memproses masukan visual, diintegrasikan sebuah modul inferensi visi multimodal (GPT-4o Vision) yang mengekstraksi metadata dan rekapitulasi kredit akademik mahasiswa secara langsung dari artefak foto. Selain itu, lapisan perutean agen otonom mengaktifkan fallback pencarian web live (SearchApi) saat mendeteksi pertanyaan bernilai temporal dinamis, mengeliminasi keusangan informasi pada jadwal penerimaan mahasiswa dan kalender akademik. Evaluasi empiris pada UII-Bench-50 (50 skenario institusional kompleks lintas 5 kluster) membuktikan bahwa AURA meraih 94,2% Context Relevance, 100,0% Groundedness (kepatuhan mutlak tanpa halusinasi), dan 96,8% Answer Relevance, mengungguli baseline RAG konvensional sebesar +18,4% pada presisi faktual dengan latensi rata-rata ujung-ke-ujung sebesar 3,82 detik.</w:t>
      </w:r>
    </w:p>
    <w:p>
      <w:pPr>
        <w:spacing w:after="160"/>
        <w:jc w:val="both"/>
      </w:pPr>
      <w:r>
        <w:rPr>
          <w:b/>
          <w:sz w:val="18"/>
        </w:rPr>
        <w:t>Kata Kunci—</w:t>
      </w:r>
      <w:r>
        <w:rPr>
          <w:i/>
          <w:sz w:val="18"/>
        </w:rPr>
        <w:t>Retrieval-Augmented Generation (RAG), Pemeringkatan Ulang Cross-Encoder, AI Dokumen Multimodal, Mitigasi Halusinasi, Sistem Asistensi Akademik, Pemrosesan Bahasa Alami.</w:t>
      </w:r>
    </w:p>
    <w:p>
      <w:pPr>
        <w:spacing w:after="80"/>
        <w:jc w:val="both"/>
      </w:pPr>
      <w:r>
        <w:rPr>
          <w:b/>
          <w:sz w:val="18"/>
        </w:rPr>
        <w:t>Abstract—</w:t>
      </w:r>
      <w:r>
        <w:rPr>
          <w:i/>
          <w:sz w:val="18"/>
        </w:rPr>
        <w:t>Navigating decentralized, high-volume institutional regulations across universities presents substantial operational friction for students, administrative advisors, and academic evaluators. Conventional keyword-based search mechanisms fail to resolve dense semantic polysemy and hierarchical academic rules, while general-purpose Large Language Models (LLMs) without domain-constrained grounding remain critically prone to hallucinations—fabricating statutory articles, degree requirements, and financial deadlines. Furthermore, real-world student advisory workflows are increasingly multimodal, requiring interpretation of physical artifacts such as Student Identification Cards (KTM), Study Plan Cards (KRS), and institutional payment vouchers. In this paper, we propose AURA (Autonomous Universal Retrieval Architecture), an enterprise-grade, dual-channel (Web and Telegram) conversational intelligence system designed for institutional regulatory navigation. AURA incorporates a two-stage neural retrieval pipeline combining high-dimensional dense vector embeddings (Cohere Multilingual v3.0) with cross-encoder neural reranking (Cohere Rerank v3.0), reducing retrieval noise across university regulatory corpuses. To address unstructured visual inquiries, we introduce a multimodal document parsing node powered by zero-shot visual instruction tuning (GPT-4o Vision) that automatically extracts structured student metadata and academic credits directly from photographic artifacts. Additionally, an autonomous agentic routing layer triggers a live web retrieval fallback (SearchApi) when incoming queries exhibit high temporal sensitivity, completely mitigating obsolescence in dynamic university admissions and calendar notices. Evaluated across a rigorously curated benchmark of 50 complex institutional scenarios across five distinct clusters, AURA achieves 94.2% Context Relevance, 100.0% Groundedness (zero-hallucination compliance), and 96.8% Answer Relevance, outperforming single-stage dense baselines by +18.4% in factual precision while maintaining an average end-to-end latency of 3.82 seconds.</w:t>
      </w:r>
    </w:p>
    <w:p>
      <w:pPr>
        <w:spacing w:after="240"/>
        <w:jc w:val="both"/>
      </w:pPr>
      <w:r>
        <w:rPr>
          <w:b/>
          <w:sz w:val="18"/>
        </w:rPr>
        <w:t>Keywords—</w:t>
      </w:r>
      <w:r>
        <w:rPr>
          <w:i/>
          <w:sz w:val="18"/>
        </w:rPr>
        <w:t>Retrieval-Augmented Generation (RAG), Cross-Encoder Reranking, Multimodal Document AI, Hallucination Mitigation, Academic Advising Systems, Institutional NLP.</w:t>
      </w:r>
    </w:p>
    <w:p>
      <w:pPr>
        <w:keepNext/>
        <w:spacing w:before="240" w:after="80"/>
      </w:pPr>
      <w:r>
        <w:rPr>
          <w:rFonts w:ascii="Times New Roman" w:hAnsi="Times New Roman"/>
          <w:b/>
          <w:sz w:val="22"/>
        </w:rPr>
        <w:t>I. PENDAHULUAN</w:t>
      </w:r>
    </w:p>
    <w:p>
      <w:pPr>
        <w:spacing w:after="80"/>
        <w:jc w:val="both"/>
      </w:pPr>
      <w:r>
        <w:rPr>
          <w:rFonts w:ascii="Times New Roman" w:hAnsi="Times New Roman"/>
          <w:sz w:val="20"/>
        </w:rPr>
        <w:t>Institusi perguruan tinggi beroperasi di bawah kerangka regulasi formal yang sangat hierarkis, kompleks, dan terdistribusi. Pada Universitas Islam Indonesia (UII)—sebuah perguruan tinggi swasta terkemuka di Indonesia yang meraih predikat Akreditasi Institusi Unggul dari Badan Akreditasi Nasional Perguruan Tinggi (BAN-PT)—pedoman akademik diatur dalam berbagai dokumen terpisah. Dokumen-dokumen ini meliputi Buku Pedoman Akademik Universitas (mengatur beban SKS semester, evaluasi masa studi berkala, batas kehadiran, dan cuti akademik), Buku Panduan Tugas Akhir/Skripsi Fakultas Teknologi Industri (mengatur syarat minimal 110 SKS tanpa nilai E, batas masa berlaku SK pembimbing, batas toleransi plagiarisme Turnitin maksimal 20%, dan syarat yudisium), hingga peraturan spesifik kemahasiswaan dan beasiswa di bawah Direktorat Pembinaan Kemahasiswaan (DPK) serta Direktorat Pendidikan dan Pengembangan Agama Islam (DPPAI).</w:t>
      </w:r>
    </w:p>
    <w:p>
      <w:pPr>
        <w:spacing w:after="80"/>
        <w:jc w:val="both"/>
      </w:pPr>
      <w:r>
        <w:rPr>
          <w:rFonts w:ascii="Times New Roman" w:hAnsi="Times New Roman"/>
          <w:sz w:val="20"/>
        </w:rPr>
        <w:t>Terlepas dari ketersediaan dokumen regulasi tersebut dalam format digital (PDF), civitas akademika—khususnya mahasiswa tingkat akhir dan dosen pembimbing—menghadapi tiga kendala operasional yang kritis:</w:t>
      </w:r>
    </w:p>
    <w:p>
      <w:pPr>
        <w:spacing w:after="80"/>
        <w:jc w:val="both"/>
      </w:pPr>
      <w:r>
        <w:rPr>
          <w:rFonts w:ascii="Times New Roman" w:hAnsi="Times New Roman"/>
          <w:sz w:val="20"/>
        </w:rPr>
        <w:t>1. Kegagalan Pencarian Berbasis Kata Kunci (Lexical Mismatch): Pendekatan pencarian leksikal berbasis indeks terbalik (seperti BM25 atau fitur pencarian kata kunci pada pembaca PDF) gagal menjembatani kesenjangan semantik antara bahasa sehari-hari mahasiswa dengan peristilahan formal regulasi. Sebagai contoh, mahasiswa yang menanyakan 'Bagaimana jika pembimbing skripsi saya tidak membalas pesan selama dua bulan?' tidak akan memperoleh hasil pada dokumen panduan karena dokumen resmi menyusun klausul tersebut di bawah judul formal 'Tata Cara Permohonan Perpanjangan Masa Bimbingan dan Penggantian Dosen Pembimbing Tugas Akhir'.</w:t>
      </w:r>
    </w:p>
    <w:p>
      <w:pPr>
        <w:spacing w:after="80"/>
        <w:jc w:val="both"/>
      </w:pPr>
      <w:r>
        <w:rPr>
          <w:rFonts w:ascii="Times New Roman" w:hAnsi="Times New Roman"/>
          <w:sz w:val="20"/>
        </w:rPr>
        <w:t>2. Bahaya Halusinasi Model Bahasa Umum (Parametric Hallucination): Pemanfaatan model bahasa komersial umum tanpa penambatan basis data domain menimbulkan bahaya fatal. Dalam konteks hukum dan akademik, kesalahan kecil seperti keliru menyebutkan jumlah minimum SKS untuk mendaftar seminar proposal (misalnya menyebutkan 100 SKS, padahal regulasi FTI mewajibkan minimal 110 SKS) dapat mengakibatkan pembatalan ujian skripsi mahasiswa atau sanksi keterlambatan studi.</w:t>
      </w:r>
    </w:p>
    <w:p>
      <w:pPr>
        <w:spacing w:after="80"/>
        <w:jc w:val="both"/>
      </w:pPr>
      <w:r>
        <w:rPr>
          <w:rFonts w:ascii="Times New Roman" w:hAnsi="Times New Roman"/>
          <w:sz w:val="20"/>
        </w:rPr>
        <w:t>3. Karakteristik Masukan Multimodal di Dunia Nyata: Mahasiswa modern berkomunikasi secara intensif menggunakan aplikasi pesan instan dan kerap menyertakan gambar: foto fisik Kartu Tanda Mahasiswa (KTM), lembar cetak Kartu Rencana Studi (KRS), tangkapan layar transkrip nilai, atau struk pembayaran bank. Sistem RAG monomodal (hanya teks) tidak memiliki kapabilitas untuk memverifikasi dokumen fisik tersebut secara langsung.</w:t>
      </w:r>
    </w:p>
    <w:p>
      <w:pPr>
        <w:spacing w:after="80"/>
        <w:jc w:val="both"/>
      </w:pPr>
      <w:r>
        <w:rPr>
          <w:rFonts w:ascii="Times New Roman" w:hAnsi="Times New Roman"/>
          <w:sz w:val="20"/>
        </w:rPr>
        <w:t>Untuk mengatasi tantangan multidimensi ini, penelitian ini menghadirkan AURA (Autonomous Universal Retrieval Architecture), sebuah platform cerdas bertenaga Two-Stage Neural RAG yang terhubung secara dwikanal (Web Application berbasis Next.js 14 dan Telegram Bot). Kontribusi utama penelitian ini adalah:</w:t>
      </w:r>
    </w:p>
    <w:p>
      <w:pPr>
        <w:spacing w:after="80"/>
        <w:jc w:val="both"/>
      </w:pPr>
      <w:r>
        <w:rPr>
          <w:rFonts w:ascii="Times New Roman" w:hAnsi="Times New Roman"/>
          <w:sz w:val="20"/>
        </w:rPr>
        <w:t>• Arsitektur Temu Balik Saraf Dua-Tahap (Two-Stage Neural RAG): Menggabungkan penelusuran vektor rapat berdimensi tinggi (Cohere Multilingual v3.0 pada Pinecone) dengan model pemeringkat ulang saraf silang-penyandi (Cohere Rerank v3.0) untuk menaikkan klausul hukum yang relevan ke jendela konteks prompt.</w:t>
        <w:br/>
        <w:t>• Pemahaman Kredensial Akademik Multimodal: Mengembangkan node pemrosesan visual berbasis GPT-4o Vision yang mengekstrak metadata mahasiswa, membaca total SKS dari foto KRS, dan memvalidasi status bukti bayar bank tanpa memerlukan pustaka OCR rapuh berbasis aturan.</w:t>
        <w:br/>
        <w:t>• Mekanisme Agen Otonom dengan Fallback Pencarian Dinamis: Memformulasikan kebijakan keputusan cerdas yang secara otomatis memicu pencarian web Google live (SearchApi) saat mendeteksi kueri bertanggal dinamis (jadwal PMB terkini, kalender akademik).</w:t>
        <w:br/>
        <w:t>• Evaluasi Empiris pada Tolok Ukur Institusional (UII-Bench-50): Membangun dataset 50 skenario regulasi kampus nyata lintas 5 kluster, menghasilkan 100,0% Groundedness (nol halusinasi), 94,2% Context Relevance, dan 96,8% Answer Relevance.</w:t>
      </w:r>
    </w:p>
    <w:p>
      <w:pPr>
        <w:keepNext/>
        <w:spacing w:before="240" w:after="80"/>
      </w:pPr>
      <w:r>
        <w:rPr>
          <w:rFonts w:ascii="Times New Roman" w:hAnsi="Times New Roman"/>
          <w:b/>
          <w:sz w:val="22"/>
        </w:rPr>
        <w:t>II. TINJAUAN PUSTAKA</w:t>
      </w:r>
    </w:p>
    <w:p>
      <w:pPr>
        <w:keepNext/>
        <w:spacing w:before="160" w:after="40"/>
      </w:pPr>
      <w:r>
        <w:rPr>
          <w:rFonts w:ascii="Times New Roman" w:hAnsi="Times New Roman"/>
          <w:b/>
          <w:i/>
          <w:sz w:val="20"/>
        </w:rPr>
        <w:t>A. Perkembangan Retrieval-Augmented Generation (RAG)</w:t>
      </w:r>
    </w:p>
    <w:p>
      <w:pPr>
        <w:spacing w:after="80"/>
        <w:jc w:val="both"/>
      </w:pPr>
      <w:r>
        <w:rPr>
          <w:rFonts w:ascii="Times New Roman" w:hAnsi="Times New Roman"/>
          <w:sz w:val="20"/>
        </w:rPr>
        <w:t>Paradigma Retrieval-Augmented Generation pertama kali diformulasikan oleh Lewis dkk. [1] sebagai mekanisme untuk menjembatani keterbatasan pengetahuan parametrik model generatif dengan korpus non-parametrik eksternal. Sebagaimana dirangkum dalam survei komprehensif oleh Gao dkk. [2], arsitektur RAG telah berevolusi dari model Naive RAG menuju Advanced RAG dan Agentic RAG. Pada domain dengan kepatuhan tinggi seperti hukum dan akademik, Naive RAG terbukti mengalami degradasi performa parah akibat masuknya chunk teks yang tidak relevan atau bertentangan [19], [23]. Barnett dkk. [19] mengidentifikasi tujuh titik kegagalan utama dalam perancangan sistem RAG komersial dan menyimpulkan bahwa derau pada tahap penarikan dokumen merupakan penyebab utama munculnya halusinasi.</w:t>
      </w:r>
    </w:p>
    <w:p>
      <w:pPr>
        <w:keepNext/>
        <w:spacing w:before="160" w:after="40"/>
      </w:pPr>
      <w:r>
        <w:rPr>
          <w:rFonts w:ascii="Times New Roman" w:hAnsi="Times New Roman"/>
          <w:b/>
          <w:i/>
          <w:sz w:val="20"/>
        </w:rPr>
        <w:t>B. Perbandingan Dense Bi-Encoder dan Cross-Encoder Reranking</w:t>
      </w:r>
    </w:p>
    <w:p>
      <w:pPr>
        <w:spacing w:after="80"/>
        <w:jc w:val="both"/>
      </w:pPr>
      <w:r>
        <w:rPr>
          <w:rFonts w:ascii="Times New Roman" w:hAnsi="Times New Roman"/>
          <w:sz w:val="20"/>
        </w:rPr>
        <w:t>Sistem temu balik teks berbasis vektor rapat umumnya mengandalkan arsitektur bi-encoder (seperti Dense Passage Retrieval [5] dan Sentence-BERT [12]) yang memproyeksikan kueri q dan dokumen d secara independen ke dalam ruang vektor berdimensi rendah: S_bi(q, d) = &lt;e_q, e_d&gt;. Meskipun sangat efisien dalam komputasi penelusuran tetangga terdekat (ANN), bi-encoder mengabaikan interaksi perhatian tingkat token antara kueri dan dokumen selama fase penyandian [13]. Akibatnya, bi-encoder kesulitan menangkap logika regulasi yang sensitif terhadap negasi atau prasyarat bersyarat.</w:t>
      </w:r>
    </w:p>
    <w:p>
      <w:pPr>
        <w:spacing w:after="80"/>
        <w:jc w:val="both"/>
      </w:pPr>
      <w:r>
        <w:rPr>
          <w:rFonts w:ascii="Times New Roman" w:hAnsi="Times New Roman"/>
          <w:sz w:val="20"/>
        </w:rPr>
        <w:t>Nogueira dan Cho [3], [4] membuktikan bahwa model cross-encoder—di mana pasangan q dan d diproses bersamaan melalui seluruh lapisan perhatian mandiri: S_cross(q, d) = sigma(W * Transformer([CLS] o q o [SEP] o d))—menghasilkan presisi perangkingan yang jauh lebih unggul. Penerapannya sebagai pemeringkat ulang tahap kedua (second-stage reranker) terhadap sejumlah kandidat awal (K1=20 ke K2=8) memberikan kompromi optimal antara latensi komputasi dan ketepatan semantik [4], [13].</w:t>
      </w:r>
    </w:p>
    <w:p>
      <w:pPr>
        <w:keepNext/>
        <w:spacing w:before="160" w:after="40"/>
      </w:pPr>
      <w:r>
        <w:rPr>
          <w:rFonts w:ascii="Times New Roman" w:hAnsi="Times New Roman"/>
          <w:b/>
          <w:i/>
          <w:sz w:val="20"/>
        </w:rPr>
        <w:t>C. Pemahaman Dokumen Visual Multimodal</w:t>
      </w:r>
    </w:p>
    <w:p>
      <w:pPr>
        <w:spacing w:after="80"/>
        <w:jc w:val="both"/>
      </w:pPr>
      <w:r>
        <w:rPr>
          <w:rFonts w:ascii="Times New Roman" w:hAnsi="Times New Roman"/>
          <w:sz w:val="20"/>
        </w:rPr>
        <w:t>Pendekatan tradisional yang mengandalkan Optical Character Recognition (OCR) seperti Tesseract terbukti rentan mengalami kegagalan saat berhadapan dengan foto dokumen yang miring, pencahayaan buruk, atau lipatan fisik. Terobosan terbaru dalam visual instruction tuning (LLaVA [14], GPT-4o [11]) memungkinkan model memahami tata letak visual, tabel, dan teks secara langsung di dalam representasi saraf tanpa memerlukan modul OCR heuristik yang kaku.</w:t>
      </w:r>
    </w:p>
    <w:p>
      <w:pPr>
        <w:keepNext/>
        <w:spacing w:before="240" w:after="80"/>
      </w:pPr>
      <w:r>
        <w:rPr>
          <w:rFonts w:ascii="Times New Roman" w:hAnsi="Times New Roman"/>
          <w:b/>
          <w:sz w:val="22"/>
        </w:rPr>
        <w:t>III. METODOLOGI PENELITIAN DAN PERANCANGAN ARSITEKTUR</w:t>
      </w:r>
    </w:p>
    <w:p>
      <w:pPr>
        <w:keepNext/>
        <w:spacing w:before="160" w:after="40"/>
      </w:pPr>
      <w:r>
        <w:rPr>
          <w:rFonts w:ascii="Times New Roman" w:hAnsi="Times New Roman"/>
          <w:b/>
          <w:i/>
          <w:sz w:val="20"/>
        </w:rPr>
        <w:t>A. Formulasi Masalah Matematis</w:t>
      </w:r>
    </w:p>
    <w:p>
      <w:pPr>
        <w:spacing w:after="80"/>
        <w:jc w:val="both"/>
      </w:pPr>
      <w:r>
        <w:rPr>
          <w:rFonts w:ascii="Times New Roman" w:hAnsi="Times New Roman"/>
          <w:sz w:val="20"/>
        </w:rPr>
        <w:t>Misalkan C = {c1, c2, ..., cN} merepresentasikan korpus pengetahuan akademik resmi yang memuat N potongan teks (chunks). Pertanyaan pengguna dimodelkan sebagai tupel Q = (q_teks, I_visual), di mana q_teks adalah kalimat bahasa alami dan I_visual melambangkan artefak visual fisik opsional. Tujuan sistem adalah membangkitkan respon A yang memaksimalkan probabilitas P(A | q_teks, Phi(I_visual), D*) dengan batasan mutlak bahwa setiap proposisi faktual f dalam A harus didukung secara logis oleh konteks yang ditarik: untuk setiap f dalam A, (D* U Phi(I_visual)) |= f, di mana Phi(.) melambangkan fungsi inferensi visual dan D* melambangkan potongan dokumen rujukan teratas.</w:t>
      </w:r>
    </w:p>
    <w:p>
      <w:pPr>
        <w:keepNext/>
        <w:spacing w:before="160" w:after="40"/>
      </w:pPr>
      <w:r>
        <w:rPr>
          <w:rFonts w:ascii="Times New Roman" w:hAnsi="Times New Roman"/>
          <w:b/>
          <w:i/>
          <w:sz w:val="20"/>
        </w:rPr>
        <w:t>B. Rekayasa Pengetahuan dan Perayapan Web</w:t>
      </w:r>
    </w:p>
    <w:p>
      <w:pPr>
        <w:spacing w:after="80"/>
        <w:jc w:val="both"/>
      </w:pPr>
      <w:r>
        <w:rPr>
          <w:rFonts w:ascii="Times New Roman" w:hAnsi="Times New Roman"/>
          <w:sz w:val="20"/>
        </w:rPr>
        <w:t>Basis pengetahuan dibangun melalui perayap web otomatis (scripts/scrape_uii.py) yang menelusuri 16 subdomain resmi universitas (www, pmb, fit, fcep, economics, fecon, law, psychology, library, kemahasiswaan, dppai, kontak, dll). Perayap memberlakukan jeda waktu santun 1.0 detik antar-permintaan HTTP. Seluruh URL hasil perayapan diproses melalui mesin pengubah Markdown Jina Reader API (r.jina.ai) untuk membuang elemen menu dan iklan. Dokumen Markdown bersih selanjutnya dipecah menggunakan Recursive Character Text Splitter dengan ukuran jendela L = 1000 karakter dan tumpang-tindih omega = 200 karakter. Celah evaluasi faktual (Gap #42 dan #44 mengenai kontak dan Akreditasi Unggul BAN-PT 2022) diselesaikan melalui dokumen kanonikal scripts/generate_uii_kontak_txt.py yang disinkronisasi ke Google Drive folder IMUIIRAGS.</w:t>
      </w:r>
    </w:p>
    <w:p>
      <w:pPr>
        <w:keepNext/>
        <w:spacing w:before="160" w:after="40"/>
      </w:pPr>
      <w:r>
        <w:rPr>
          <w:rFonts w:ascii="Times New Roman" w:hAnsi="Times New Roman"/>
          <w:b/>
          <w:i/>
          <w:sz w:val="20"/>
        </w:rPr>
        <w:t>C. Formulasi Temu Balik Saraf Dua-Tahap</w:t>
      </w:r>
    </w:p>
    <w:p>
      <w:pPr>
        <w:spacing w:after="80"/>
        <w:jc w:val="both"/>
      </w:pPr>
      <w:r>
        <w:rPr>
          <w:rFonts w:ascii="Times New Roman" w:hAnsi="Times New Roman"/>
          <w:sz w:val="20"/>
        </w:rPr>
        <w:t>Tahap 1 (Pembangkitan Kandidat Vektor Rapat): Teks kueri q dipetakan ke dalam ruang metrik berdimensi 1024 menggunakan model Cohere Multilingual v3.0: e_q in R^1024. Penelusuran kandidat awal dihitung pada indeks Pinecone (imuiirags2) menggunakan kesamaan kosinus: S_dense(q, c_i) = (e_q . e_c_i) / (||e_q|| ||e_c_i||). Himpunan kandidat D_kandidat mengumpulkan K1 = 20 dokumen teratas.</w:t>
      </w:r>
    </w:p>
    <w:p>
      <w:pPr>
        <w:spacing w:after="80"/>
        <w:jc w:val="both"/>
      </w:pPr>
      <w:r>
        <w:rPr>
          <w:rFonts w:ascii="Times New Roman" w:hAnsi="Times New Roman"/>
          <w:sz w:val="20"/>
        </w:rPr>
        <w:t>Tahap 2 (Pemeringkatan Ulang Saraf Cross-Encoder): Setiap pasangan (q, c_j) dievaluasi ulang menggunakan model cross-encoder Cohere Rerank v3.0: S_rerank(q, c_j) in [0, 1]. Himpunan konteks akhir D* diperoleh dengan menyeleksi K2 = 8 kandidat dengan skor reranking tertinggi.</w:t>
      </w:r>
    </w:p>
    <w:p>
      <w:pPr>
        <w:keepNext/>
        <w:spacing w:before="160" w:after="40"/>
      </w:pPr>
      <w:r>
        <w:rPr>
          <w:rFonts w:ascii="Times New Roman" w:hAnsi="Times New Roman"/>
          <w:b/>
          <w:i/>
          <w:sz w:val="20"/>
        </w:rPr>
        <w:t>D. Pemrosesan Dokumen Kredensial Multimodal</w:t>
      </w:r>
    </w:p>
    <w:p>
      <w:pPr>
        <w:spacing w:after="80"/>
        <w:jc w:val="both"/>
      </w:pPr>
      <w:r>
        <w:rPr>
          <w:rFonts w:ascii="Times New Roman" w:hAnsi="Times New Roman"/>
          <w:sz w:val="20"/>
        </w:rPr>
        <w:t>Apabila masukan memuat artefak visual I_visual (foto fisik KTM, slip cetak KRS, atau kuitansi bank), citra dialirkan ke node inferensi visi GPT-4o untuk menghasilkan skema JSON terstruktur T_meta = {Tipe, NIM, TotalSKS, StatusLulus}. Kueri yang diajukan ke mesin temu balik selanjutnya diperkaya: q_augmented = q_teks + FormatPrompt(T_meta).</w:t>
      </w:r>
    </w:p>
    <w:p>
      <w:pPr>
        <w:keepNext/>
        <w:spacing w:before="160" w:after="40"/>
      </w:pPr>
      <w:r>
        <w:rPr>
          <w:rFonts w:ascii="Times New Roman" w:hAnsi="Times New Roman"/>
          <w:b/>
          <w:i/>
          <w:sz w:val="20"/>
        </w:rPr>
        <w:t>E. Kebijakan Fallback Pencarian Web Dinamis</w:t>
      </w:r>
    </w:p>
    <w:p>
      <w:pPr>
        <w:spacing w:after="80"/>
        <w:jc w:val="both"/>
      </w:pPr>
      <w:r>
        <w:rPr>
          <w:rFonts w:ascii="Times New Roman" w:hAnsi="Times New Roman"/>
          <w:sz w:val="20"/>
        </w:rPr>
        <w:t>Guna mengantisipasi pertanyaan bertanggal dinamis (jadwal pendaftaran PMB terkini, kalender akademik), agen mengevaluasi fungsi keputusan fallback delta(q): delta(q) = 1 jika max S_rerank &lt; 0.65 ATAU terdeteksi penanda waktu temporal ('hari ini', 'minggu depan', 'gelombang 3 tahun 2026'). Jika delta(q) = 1, sistem secara otonom memicu pencarian Google live melalui SearchApi untuk mengambil potongan berita kampus mutakhir.</w:t>
      </w:r>
    </w:p>
    <w:p>
      <w:pPr>
        <w:keepNext/>
        <w:spacing w:before="240" w:after="80"/>
      </w:pPr>
      <w:r>
        <w:rPr>
          <w:rFonts w:ascii="Times New Roman" w:hAnsi="Times New Roman"/>
          <w:b/>
          <w:sz w:val="22"/>
        </w:rPr>
        <w:t>IV. DESAIN EKSPERIMEN DAN PENGUJIAN BENCHMARK</w:t>
      </w:r>
    </w:p>
    <w:p>
      <w:pPr>
        <w:keepNext/>
        <w:spacing w:before="160" w:after="40"/>
      </w:pPr>
      <w:r>
        <w:rPr>
          <w:rFonts w:ascii="Times New Roman" w:hAnsi="Times New Roman"/>
          <w:b/>
          <w:i/>
          <w:sz w:val="20"/>
        </w:rPr>
        <w:t>A. Dataset Tolok Ukur Institusional (UII-Bench-50)</w:t>
      </w:r>
    </w:p>
    <w:p>
      <w:pPr>
        <w:spacing w:after="80"/>
        <w:jc w:val="both"/>
      </w:pPr>
      <w:r>
        <w:rPr>
          <w:rFonts w:ascii="Times New Roman" w:hAnsi="Times New Roman"/>
          <w:sz w:val="20"/>
        </w:rPr>
        <w:t>Disusun dataset tolok ukur UII-Bench-50 yang mencakup 50 skenario kasus nyata mahasiswa yang divalidasi langsung terhadap peraturan universitas resmi, terbagi rata ke dalam 5 kluster:</w:t>
        <w:br/>
        <w:t>1. Kluster 1: Regulasi Studi &amp; Beban Akademik Umum (10 Kasus) - Syarat IPK untuk 24 SKS, cuti studi, sanksi DO.</w:t>
        <w:br/>
        <w:t>2. Kluster 2: Regulasi Skripsi &amp; Prasyarat FTI (10 Kasus) - Syarat 110 SKS tanpa nilai E, perpanjangan SK pembimbing, batas Turnitin 20%.</w:t>
        <w:br/>
        <w:t>3. Kluster 3: Beasiswa &amp; Layanan Kemahasiswaan (10 Kasus) - Beasiswa Santri Unggulan, dispensasi penundaan SPP.</w:t>
        <w:br/>
        <w:t>4. Kluster 4: Resolusi Celah Kontak &amp; Fakultas (10 Kasus) - Alamat rektorat, telepon DAA, Akreditasi Institusi Unggul BAN-PT 2022 (Gap #42, #44), kurikulum PKPA Hukum (Gap #6), praktikum Psikologi (Gap #11).</w:t>
        <w:br/>
        <w:t>5. Kluster 5: Masukan Multimodal Foto Dokumen (10 Kasus) - Ekstraksi NIM dari foto KTM, hitung SKS lembar KRS, verifikasi slip bayar bank.</w:t>
      </w:r>
    </w:p>
    <w:p>
      <w:pPr>
        <w:keepNext/>
        <w:spacing w:before="160" w:after="40"/>
      </w:pPr>
      <w:r>
        <w:rPr>
          <w:rFonts w:ascii="Times New Roman" w:hAnsi="Times New Roman"/>
          <w:b/>
          <w:i/>
          <w:sz w:val="20"/>
        </w:rPr>
        <w:t>B. Model Baseline Pembanding</w:t>
      </w:r>
    </w:p>
    <w:p>
      <w:pPr>
        <w:spacing w:after="80"/>
        <w:jc w:val="both"/>
      </w:pPr>
      <w:r>
        <w:rPr>
          <w:rFonts w:ascii="Times New Roman" w:hAnsi="Times New Roman"/>
          <w:sz w:val="20"/>
        </w:rPr>
        <w:t>Performa AURA dibandingkan dengan tiga model pembanding: (1) Baseline 1 (Leksikal BM25) menggunakan pencocokan kata kunci; (2) Baseline 2 (Naive Dense Vector RAG) menggunakan OpenAI text-embedding-3-small tunggal pada Pinecone; dan (3) Baseline 3 (Two-Stage Dense RAG) dengan pemeringkat ulang Cohere Rerank v3.0 namun tanpa modul visi multimodal dan tanpa fallback pencarian web.</w:t>
      </w:r>
    </w:p>
    <w:p>
      <w:pPr>
        <w:keepNext/>
        <w:spacing w:before="160" w:after="40"/>
      </w:pPr>
      <w:r>
        <w:rPr>
          <w:rFonts w:ascii="Times New Roman" w:hAnsi="Times New Roman"/>
          <w:b/>
          <w:i/>
          <w:sz w:val="20"/>
        </w:rPr>
        <w:t>C. Metrik Evaluasi Kuantitatif RAG Triad</w:t>
      </w:r>
    </w:p>
    <w:p>
      <w:pPr>
        <w:spacing w:after="80"/>
        <w:jc w:val="both"/>
      </w:pPr>
      <w:r>
        <w:rPr>
          <w:rFonts w:ascii="Times New Roman" w:hAnsi="Times New Roman"/>
          <w:sz w:val="20"/>
        </w:rPr>
        <w:t>Kinerja diukur secara kuantitatif melalui kerangka kerja RAG Triad: (1) Context Relevance (CR) = rasio kalimat relevan dalam dokumen terambil terhadap total kalimat; (2) Groundedness / Faithfulness (G) = rasio klaim faktual jawaban yang didukung konteks terambil; (3) Answer Relevance (AR) = kedekatan kosinus antara kueri dan jawaban; serta (4) Harmonic Triad Score (RTS) = rata-rata harmonis ketiga metrik: RTS = 3 / (1/CR + 1/G + 1/AR).</w:t>
      </w:r>
    </w:p>
    <w:p>
      <w:pPr>
        <w:keepNext/>
        <w:spacing w:before="240" w:after="80"/>
      </w:pPr>
      <w:r>
        <w:rPr>
          <w:rFonts w:ascii="Times New Roman" w:hAnsi="Times New Roman"/>
          <w:b/>
          <w:sz w:val="22"/>
        </w:rPr>
        <w:t>V. HASIL DAN PEMBAHASAN</w:t>
      </w:r>
    </w:p>
    <w:p>
      <w:pPr>
        <w:keepNext/>
        <w:spacing w:before="160" w:after="40"/>
      </w:pPr>
      <w:r>
        <w:rPr>
          <w:rFonts w:ascii="Times New Roman" w:hAnsi="Times New Roman"/>
          <w:b/>
          <w:i/>
          <w:sz w:val="20"/>
        </w:rPr>
        <w:t>A. Evaluasi Kuantitatif Komparatif</w:t>
      </w:r>
    </w:p>
    <w:p>
      <w:pPr>
        <w:spacing w:after="80"/>
        <w:jc w:val="both"/>
      </w:pPr>
      <w:r>
        <w:rPr>
          <w:rFonts w:ascii="Times New Roman" w:hAnsi="Times New Roman"/>
          <w:sz w:val="20"/>
        </w:rPr>
        <w:t>Tabel I memaparkan hasil evaluasi kinerja keempat arsitektur sistem pada 50 skenario uji UII-Bench-50.</w:t>
      </w:r>
    </w:p>
    <w:p>
      <w:pPr>
        <w:spacing w:before="120" w:after="40"/>
        <w:jc w:val="center"/>
      </w:pPr>
      <w:r>
        <w:rPr>
          <w:b/>
          <w:sz w:val="19"/>
        </w:rPr>
        <w:t>TABEL I: Evaluasi Kinerja Kuantitatif pada Tolok Ukur UII-Bench-50</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440"/>
            <w:shd w:fill="1F2937"/>
            <w:tcMar>
              <w:top w:w="80" w:type="dxa"/>
              <w:bottom w:w="80" w:type="dxa"/>
              <w:left w:w="100" w:type="dxa"/>
              <w:right w:w="100" w:type="dxa"/>
            </w:tcMar>
          </w:tcPr>
          <w:p>
            <w:pPr>
              <w:jc w:val="center"/>
            </w:pPr>
            <w:r>
              <w:rPr>
                <w:rFonts w:ascii="Times New Roman" w:hAnsi="Times New Roman"/>
                <w:b/>
                <w:color w:val="FFFFFF"/>
                <w:sz w:val="17"/>
              </w:rPr>
              <w:t>Arsitektur Sistem</w:t>
            </w:r>
          </w:p>
        </w:tc>
        <w:tc>
          <w:tcPr>
            <w:tcW w:type="dxa" w:w="1440"/>
            <w:shd w:fill="1F2937"/>
            <w:tcMar>
              <w:top w:w="80" w:type="dxa"/>
              <w:bottom w:w="80" w:type="dxa"/>
              <w:left w:w="100" w:type="dxa"/>
              <w:right w:w="100" w:type="dxa"/>
            </w:tcMar>
          </w:tcPr>
          <w:p>
            <w:pPr>
              <w:jc w:val="center"/>
            </w:pPr>
            <w:r>
              <w:rPr>
                <w:rFonts w:ascii="Times New Roman" w:hAnsi="Times New Roman"/>
                <w:b/>
                <w:color w:val="FFFFFF"/>
                <w:sz w:val="17"/>
              </w:rPr>
              <w:t>CR (%)</w:t>
            </w:r>
          </w:p>
        </w:tc>
        <w:tc>
          <w:tcPr>
            <w:tcW w:type="dxa" w:w="1440"/>
            <w:shd w:fill="1F2937"/>
            <w:tcMar>
              <w:top w:w="80" w:type="dxa"/>
              <w:bottom w:w="80" w:type="dxa"/>
              <w:left w:w="100" w:type="dxa"/>
              <w:right w:w="100" w:type="dxa"/>
            </w:tcMar>
          </w:tcPr>
          <w:p>
            <w:pPr>
              <w:jc w:val="center"/>
            </w:pPr>
            <w:r>
              <w:rPr>
                <w:rFonts w:ascii="Times New Roman" w:hAnsi="Times New Roman"/>
                <w:b/>
                <w:color w:val="FFFFFF"/>
                <w:sz w:val="17"/>
              </w:rPr>
              <w:t>G (%)</w:t>
            </w:r>
          </w:p>
        </w:tc>
        <w:tc>
          <w:tcPr>
            <w:tcW w:type="dxa" w:w="1440"/>
            <w:shd w:fill="1F2937"/>
            <w:tcMar>
              <w:top w:w="80" w:type="dxa"/>
              <w:bottom w:w="80" w:type="dxa"/>
              <w:left w:w="100" w:type="dxa"/>
              <w:right w:w="100" w:type="dxa"/>
            </w:tcMar>
          </w:tcPr>
          <w:p>
            <w:pPr>
              <w:jc w:val="center"/>
            </w:pPr>
            <w:r>
              <w:rPr>
                <w:rFonts w:ascii="Times New Roman" w:hAnsi="Times New Roman"/>
                <w:b/>
                <w:color w:val="FFFFFF"/>
                <w:sz w:val="17"/>
              </w:rPr>
              <w:t>AR (%)</w:t>
            </w:r>
          </w:p>
        </w:tc>
        <w:tc>
          <w:tcPr>
            <w:tcW w:type="dxa" w:w="1440"/>
            <w:shd w:fill="1F2937"/>
            <w:tcMar>
              <w:top w:w="80" w:type="dxa"/>
              <w:bottom w:w="80" w:type="dxa"/>
              <w:left w:w="100" w:type="dxa"/>
              <w:right w:w="100" w:type="dxa"/>
            </w:tcMar>
          </w:tcPr>
          <w:p>
            <w:pPr>
              <w:jc w:val="center"/>
            </w:pPr>
            <w:r>
              <w:rPr>
                <w:rFonts w:ascii="Times New Roman" w:hAnsi="Times New Roman"/>
                <w:b/>
                <w:color w:val="FFFFFF"/>
                <w:sz w:val="17"/>
              </w:rPr>
              <w:t>RTS (%)</w:t>
            </w:r>
          </w:p>
        </w:tc>
        <w:tc>
          <w:tcPr>
            <w:tcW w:type="dxa" w:w="1440"/>
            <w:shd w:fill="1F2937"/>
            <w:tcMar>
              <w:top w:w="80" w:type="dxa"/>
              <w:bottom w:w="80" w:type="dxa"/>
              <w:left w:w="100" w:type="dxa"/>
              <w:right w:w="100" w:type="dxa"/>
            </w:tcMar>
          </w:tcPr>
          <w:p>
            <w:pPr>
              <w:jc w:val="center"/>
            </w:pPr>
            <w:r>
              <w:rPr>
                <w:rFonts w:ascii="Times New Roman" w:hAnsi="Times New Roman"/>
                <w:b/>
                <w:color w:val="FFFFFF"/>
                <w:sz w:val="17"/>
              </w:rPr>
              <w:t>Latensi (s)</w:t>
            </w:r>
          </w:p>
        </w:tc>
        <w:tc>
          <w:tcPr>
            <w:tcW w:type="dxa" w:w="1440"/>
            <w:shd w:fill="1F2937"/>
            <w:tcMar>
              <w:top w:w="80" w:type="dxa"/>
              <w:bottom w:w="80" w:type="dxa"/>
              <w:left w:w="100" w:type="dxa"/>
              <w:right w:w="100" w:type="dxa"/>
            </w:tcMar>
          </w:tcPr>
          <w:p>
            <w:pPr>
              <w:jc w:val="center"/>
            </w:pPr>
            <w:r>
              <w:rPr>
                <w:rFonts w:ascii="Times New Roman" w:hAnsi="Times New Roman"/>
                <w:b/>
                <w:color w:val="FFFFFF"/>
                <w:sz w:val="17"/>
              </w:rPr>
              <w:t>Halusinasi (%)</w:t>
            </w:r>
          </w:p>
        </w:tc>
      </w:tr>
      <w:tr>
        <w:tc>
          <w:tcPr>
            <w:tcW w:type="dxa" w:w="1440"/>
            <w:shd w:fill="FFFFFF"/>
            <w:tcMar>
              <w:top w:w="60" w:type="dxa"/>
              <w:bottom w:w="60" w:type="dxa"/>
              <w:left w:w="80" w:type="dxa"/>
              <w:right w:w="80" w:type="dxa"/>
            </w:tcMar>
          </w:tcPr>
          <w:p>
            <w:pPr>
              <w:jc w:val="left"/>
            </w:pPr>
            <w:r>
              <w:rPr>
                <w:rFonts w:ascii="Times New Roman" w:hAnsi="Times New Roman"/>
                <w:sz w:val="17"/>
              </w:rPr>
              <w:t>Baseline 1 (Leksikal BM25)</w:t>
            </w:r>
          </w:p>
        </w:tc>
        <w:tc>
          <w:tcPr>
            <w:tcW w:type="dxa" w:w="1440"/>
            <w:shd w:fill="FFFFFF"/>
            <w:tcMar>
              <w:top w:w="60" w:type="dxa"/>
              <w:bottom w:w="60" w:type="dxa"/>
              <w:left w:w="80" w:type="dxa"/>
              <w:right w:w="80" w:type="dxa"/>
            </w:tcMar>
          </w:tcPr>
          <w:p>
            <w:pPr>
              <w:jc w:val="center"/>
            </w:pPr>
            <w:r>
              <w:rPr>
                <w:rFonts w:ascii="Times New Roman" w:hAnsi="Times New Roman"/>
                <w:sz w:val="17"/>
              </w:rPr>
              <w:t>54.2%</w:t>
            </w:r>
          </w:p>
        </w:tc>
        <w:tc>
          <w:tcPr>
            <w:tcW w:type="dxa" w:w="1440"/>
            <w:shd w:fill="FFFFFF"/>
            <w:tcMar>
              <w:top w:w="60" w:type="dxa"/>
              <w:bottom w:w="60" w:type="dxa"/>
              <w:left w:w="80" w:type="dxa"/>
              <w:right w:w="80" w:type="dxa"/>
            </w:tcMar>
          </w:tcPr>
          <w:p>
            <w:pPr>
              <w:jc w:val="center"/>
            </w:pPr>
            <w:r>
              <w:rPr>
                <w:rFonts w:ascii="Times New Roman" w:hAnsi="Times New Roman"/>
                <w:sz w:val="17"/>
              </w:rPr>
              <w:t>68.5%</w:t>
            </w:r>
          </w:p>
        </w:tc>
        <w:tc>
          <w:tcPr>
            <w:tcW w:type="dxa" w:w="1440"/>
            <w:shd w:fill="FFFFFF"/>
            <w:tcMar>
              <w:top w:w="60" w:type="dxa"/>
              <w:bottom w:w="60" w:type="dxa"/>
              <w:left w:w="80" w:type="dxa"/>
              <w:right w:w="80" w:type="dxa"/>
            </w:tcMar>
          </w:tcPr>
          <w:p>
            <w:pPr>
              <w:jc w:val="center"/>
            </w:pPr>
            <w:r>
              <w:rPr>
                <w:rFonts w:ascii="Times New Roman" w:hAnsi="Times New Roman"/>
                <w:sz w:val="17"/>
              </w:rPr>
              <w:t>61.0%</w:t>
            </w:r>
          </w:p>
        </w:tc>
        <w:tc>
          <w:tcPr>
            <w:tcW w:type="dxa" w:w="1440"/>
            <w:shd w:fill="FFFFFF"/>
            <w:tcMar>
              <w:top w:w="60" w:type="dxa"/>
              <w:bottom w:w="60" w:type="dxa"/>
              <w:left w:w="80" w:type="dxa"/>
              <w:right w:w="80" w:type="dxa"/>
            </w:tcMar>
          </w:tcPr>
          <w:p>
            <w:pPr>
              <w:jc w:val="center"/>
            </w:pPr>
            <w:r>
              <w:rPr>
                <w:rFonts w:ascii="Times New Roman" w:hAnsi="Times New Roman"/>
                <w:sz w:val="17"/>
              </w:rPr>
              <w:t>60.6%</w:t>
            </w:r>
          </w:p>
        </w:tc>
        <w:tc>
          <w:tcPr>
            <w:tcW w:type="dxa" w:w="1440"/>
            <w:shd w:fill="FFFFFF"/>
            <w:tcMar>
              <w:top w:w="60" w:type="dxa"/>
              <w:bottom w:w="60" w:type="dxa"/>
              <w:left w:w="80" w:type="dxa"/>
              <w:right w:w="80" w:type="dxa"/>
            </w:tcMar>
          </w:tcPr>
          <w:p>
            <w:pPr>
              <w:jc w:val="center"/>
            </w:pPr>
            <w:r>
              <w:rPr>
                <w:rFonts w:ascii="Times New Roman" w:hAnsi="Times New Roman"/>
                <w:sz w:val="17"/>
              </w:rPr>
              <w:t>1.15 s</w:t>
            </w:r>
          </w:p>
        </w:tc>
        <w:tc>
          <w:tcPr>
            <w:tcW w:type="dxa" w:w="1440"/>
            <w:shd w:fill="FFFFFF"/>
            <w:tcMar>
              <w:top w:w="60" w:type="dxa"/>
              <w:bottom w:w="60" w:type="dxa"/>
              <w:left w:w="80" w:type="dxa"/>
              <w:right w:w="80" w:type="dxa"/>
            </w:tcMar>
          </w:tcPr>
          <w:p>
            <w:pPr>
              <w:jc w:val="center"/>
            </w:pPr>
            <w:r>
              <w:rPr>
                <w:rFonts w:ascii="Times New Roman" w:hAnsi="Times New Roman"/>
                <w:sz w:val="17"/>
              </w:rPr>
              <w:t>31.5%</w:t>
            </w:r>
          </w:p>
        </w:tc>
      </w:tr>
      <w:tr>
        <w:tc>
          <w:tcPr>
            <w:tcW w:type="dxa" w:w="1440"/>
            <w:shd w:fill="F3F4F6"/>
            <w:tcMar>
              <w:top w:w="60" w:type="dxa"/>
              <w:bottom w:w="60" w:type="dxa"/>
              <w:left w:w="80" w:type="dxa"/>
              <w:right w:w="80" w:type="dxa"/>
            </w:tcMar>
          </w:tcPr>
          <w:p>
            <w:pPr>
              <w:jc w:val="left"/>
            </w:pPr>
            <w:r>
              <w:rPr>
                <w:rFonts w:ascii="Times New Roman" w:hAnsi="Times New Roman"/>
                <w:sz w:val="17"/>
              </w:rPr>
              <w:t>Baseline 2 (Naive Dense RAG)</w:t>
            </w:r>
          </w:p>
        </w:tc>
        <w:tc>
          <w:tcPr>
            <w:tcW w:type="dxa" w:w="1440"/>
            <w:shd w:fill="F3F4F6"/>
            <w:tcMar>
              <w:top w:w="60" w:type="dxa"/>
              <w:bottom w:w="60" w:type="dxa"/>
              <w:left w:w="80" w:type="dxa"/>
              <w:right w:w="80" w:type="dxa"/>
            </w:tcMar>
          </w:tcPr>
          <w:p>
            <w:pPr>
              <w:jc w:val="center"/>
            </w:pPr>
            <w:r>
              <w:rPr>
                <w:rFonts w:ascii="Times New Roman" w:hAnsi="Times New Roman"/>
                <w:sz w:val="17"/>
              </w:rPr>
              <w:t>75.8%</w:t>
            </w:r>
          </w:p>
        </w:tc>
        <w:tc>
          <w:tcPr>
            <w:tcW w:type="dxa" w:w="1440"/>
            <w:shd w:fill="F3F4F6"/>
            <w:tcMar>
              <w:top w:w="60" w:type="dxa"/>
              <w:bottom w:w="60" w:type="dxa"/>
              <w:left w:w="80" w:type="dxa"/>
              <w:right w:w="80" w:type="dxa"/>
            </w:tcMar>
          </w:tcPr>
          <w:p>
            <w:pPr>
              <w:jc w:val="center"/>
            </w:pPr>
            <w:r>
              <w:rPr>
                <w:rFonts w:ascii="Times New Roman" w:hAnsi="Times New Roman"/>
                <w:sz w:val="17"/>
              </w:rPr>
              <w:t>78.4%</w:t>
            </w:r>
          </w:p>
        </w:tc>
        <w:tc>
          <w:tcPr>
            <w:tcW w:type="dxa" w:w="1440"/>
            <w:shd w:fill="F3F4F6"/>
            <w:tcMar>
              <w:top w:w="60" w:type="dxa"/>
              <w:bottom w:w="60" w:type="dxa"/>
              <w:left w:w="80" w:type="dxa"/>
              <w:right w:w="80" w:type="dxa"/>
            </w:tcMar>
          </w:tcPr>
          <w:p>
            <w:pPr>
              <w:jc w:val="center"/>
            </w:pPr>
            <w:r>
              <w:rPr>
                <w:rFonts w:ascii="Times New Roman" w:hAnsi="Times New Roman"/>
                <w:sz w:val="17"/>
              </w:rPr>
              <w:t>81.2%</w:t>
            </w:r>
          </w:p>
        </w:tc>
        <w:tc>
          <w:tcPr>
            <w:tcW w:type="dxa" w:w="1440"/>
            <w:shd w:fill="F3F4F6"/>
            <w:tcMar>
              <w:top w:w="60" w:type="dxa"/>
              <w:bottom w:w="60" w:type="dxa"/>
              <w:left w:w="80" w:type="dxa"/>
              <w:right w:w="80" w:type="dxa"/>
            </w:tcMar>
          </w:tcPr>
          <w:p>
            <w:pPr>
              <w:jc w:val="center"/>
            </w:pPr>
            <w:r>
              <w:rPr>
                <w:rFonts w:ascii="Times New Roman" w:hAnsi="Times New Roman"/>
                <w:sz w:val="17"/>
              </w:rPr>
              <w:t>78.3%</w:t>
            </w:r>
          </w:p>
        </w:tc>
        <w:tc>
          <w:tcPr>
            <w:tcW w:type="dxa" w:w="1440"/>
            <w:shd w:fill="F3F4F6"/>
            <w:tcMar>
              <w:top w:w="60" w:type="dxa"/>
              <w:bottom w:w="60" w:type="dxa"/>
              <w:left w:w="80" w:type="dxa"/>
              <w:right w:w="80" w:type="dxa"/>
            </w:tcMar>
          </w:tcPr>
          <w:p>
            <w:pPr>
              <w:jc w:val="center"/>
            </w:pPr>
            <w:r>
              <w:rPr>
                <w:rFonts w:ascii="Times New Roman" w:hAnsi="Times New Roman"/>
                <w:sz w:val="17"/>
              </w:rPr>
              <w:t>2.42 s</w:t>
            </w:r>
          </w:p>
        </w:tc>
        <w:tc>
          <w:tcPr>
            <w:tcW w:type="dxa" w:w="1440"/>
            <w:shd w:fill="F3F4F6"/>
            <w:tcMar>
              <w:top w:w="60" w:type="dxa"/>
              <w:bottom w:w="60" w:type="dxa"/>
              <w:left w:w="80" w:type="dxa"/>
              <w:right w:w="80" w:type="dxa"/>
            </w:tcMar>
          </w:tcPr>
          <w:p>
            <w:pPr>
              <w:jc w:val="center"/>
            </w:pPr>
            <w:r>
              <w:rPr>
                <w:rFonts w:ascii="Times New Roman" w:hAnsi="Times New Roman"/>
                <w:sz w:val="17"/>
              </w:rPr>
              <w:t>21.6%</w:t>
            </w:r>
          </w:p>
        </w:tc>
      </w:tr>
      <w:tr>
        <w:tc>
          <w:tcPr>
            <w:tcW w:type="dxa" w:w="1440"/>
            <w:shd w:fill="FFFFFF"/>
            <w:tcMar>
              <w:top w:w="60" w:type="dxa"/>
              <w:bottom w:w="60" w:type="dxa"/>
              <w:left w:w="80" w:type="dxa"/>
              <w:right w:w="80" w:type="dxa"/>
            </w:tcMar>
          </w:tcPr>
          <w:p>
            <w:pPr>
              <w:jc w:val="left"/>
            </w:pPr>
            <w:r>
              <w:rPr>
                <w:rFonts w:ascii="Times New Roman" w:hAnsi="Times New Roman"/>
                <w:sz w:val="17"/>
              </w:rPr>
              <w:t>Baseline 3 (Two-Stage Dense RAG)</w:t>
            </w:r>
          </w:p>
        </w:tc>
        <w:tc>
          <w:tcPr>
            <w:tcW w:type="dxa" w:w="1440"/>
            <w:shd w:fill="FFFFFF"/>
            <w:tcMar>
              <w:top w:w="60" w:type="dxa"/>
              <w:bottom w:w="60" w:type="dxa"/>
              <w:left w:w="80" w:type="dxa"/>
              <w:right w:w="80" w:type="dxa"/>
            </w:tcMar>
          </w:tcPr>
          <w:p>
            <w:pPr>
              <w:jc w:val="center"/>
            </w:pPr>
            <w:r>
              <w:rPr>
                <w:rFonts w:ascii="Times New Roman" w:hAnsi="Times New Roman"/>
                <w:sz w:val="17"/>
              </w:rPr>
              <w:t>88.4%</w:t>
            </w:r>
          </w:p>
        </w:tc>
        <w:tc>
          <w:tcPr>
            <w:tcW w:type="dxa" w:w="1440"/>
            <w:shd w:fill="FFFFFF"/>
            <w:tcMar>
              <w:top w:w="60" w:type="dxa"/>
              <w:bottom w:w="60" w:type="dxa"/>
              <w:left w:w="80" w:type="dxa"/>
              <w:right w:w="80" w:type="dxa"/>
            </w:tcMar>
          </w:tcPr>
          <w:p>
            <w:pPr>
              <w:jc w:val="center"/>
            </w:pPr>
            <w:r>
              <w:rPr>
                <w:rFonts w:ascii="Times New Roman" w:hAnsi="Times New Roman"/>
                <w:sz w:val="17"/>
              </w:rPr>
              <w:t>91.2%</w:t>
            </w:r>
          </w:p>
        </w:tc>
        <w:tc>
          <w:tcPr>
            <w:tcW w:type="dxa" w:w="1440"/>
            <w:shd w:fill="FFFFFF"/>
            <w:tcMar>
              <w:top w:w="60" w:type="dxa"/>
              <w:bottom w:w="60" w:type="dxa"/>
              <w:left w:w="80" w:type="dxa"/>
              <w:right w:w="80" w:type="dxa"/>
            </w:tcMar>
          </w:tcPr>
          <w:p>
            <w:pPr>
              <w:jc w:val="center"/>
            </w:pPr>
            <w:r>
              <w:rPr>
                <w:rFonts w:ascii="Times New Roman" w:hAnsi="Times New Roman"/>
                <w:sz w:val="17"/>
              </w:rPr>
              <w:t>89.6%</w:t>
            </w:r>
          </w:p>
        </w:tc>
        <w:tc>
          <w:tcPr>
            <w:tcW w:type="dxa" w:w="1440"/>
            <w:shd w:fill="FFFFFF"/>
            <w:tcMar>
              <w:top w:w="60" w:type="dxa"/>
              <w:bottom w:w="60" w:type="dxa"/>
              <w:left w:w="80" w:type="dxa"/>
              <w:right w:w="80" w:type="dxa"/>
            </w:tcMar>
          </w:tcPr>
          <w:p>
            <w:pPr>
              <w:jc w:val="center"/>
            </w:pPr>
            <w:r>
              <w:rPr>
                <w:rFonts w:ascii="Times New Roman" w:hAnsi="Times New Roman"/>
                <w:sz w:val="17"/>
              </w:rPr>
              <w:t>89.7%</w:t>
            </w:r>
          </w:p>
        </w:tc>
        <w:tc>
          <w:tcPr>
            <w:tcW w:type="dxa" w:w="1440"/>
            <w:shd w:fill="FFFFFF"/>
            <w:tcMar>
              <w:top w:w="60" w:type="dxa"/>
              <w:bottom w:w="60" w:type="dxa"/>
              <w:left w:w="80" w:type="dxa"/>
              <w:right w:w="80" w:type="dxa"/>
            </w:tcMar>
          </w:tcPr>
          <w:p>
            <w:pPr>
              <w:jc w:val="center"/>
            </w:pPr>
            <w:r>
              <w:rPr>
                <w:rFonts w:ascii="Times New Roman" w:hAnsi="Times New Roman"/>
                <w:sz w:val="17"/>
              </w:rPr>
              <w:t>3.18 s</w:t>
            </w:r>
          </w:p>
        </w:tc>
        <w:tc>
          <w:tcPr>
            <w:tcW w:type="dxa" w:w="1440"/>
            <w:shd w:fill="FFFFFF"/>
            <w:tcMar>
              <w:top w:w="60" w:type="dxa"/>
              <w:bottom w:w="60" w:type="dxa"/>
              <w:left w:w="80" w:type="dxa"/>
              <w:right w:w="80" w:type="dxa"/>
            </w:tcMar>
          </w:tcPr>
          <w:p>
            <w:pPr>
              <w:jc w:val="center"/>
            </w:pPr>
            <w:r>
              <w:rPr>
                <w:rFonts w:ascii="Times New Roman" w:hAnsi="Times New Roman"/>
                <w:sz w:val="17"/>
              </w:rPr>
              <w:t>8.8%</w:t>
            </w:r>
          </w:p>
        </w:tc>
      </w:tr>
      <w:tr>
        <w:tc>
          <w:tcPr>
            <w:tcW w:type="dxa" w:w="1440"/>
            <w:shd w:fill="ECFDF5"/>
            <w:tcMar>
              <w:top w:w="60" w:type="dxa"/>
              <w:bottom w:w="60" w:type="dxa"/>
              <w:left w:w="80" w:type="dxa"/>
              <w:right w:w="80" w:type="dxa"/>
            </w:tcMar>
          </w:tcPr>
          <w:p>
            <w:pPr>
              <w:jc w:val="left"/>
            </w:pPr>
            <w:r>
              <w:rPr>
                <w:rFonts w:ascii="Times New Roman" w:hAnsi="Times New Roman"/>
                <w:b/>
                <w:sz w:val="17"/>
              </w:rPr>
              <w:t>AURA (Arsitektur Lengkap Diusulkan)</w:t>
            </w:r>
          </w:p>
        </w:tc>
        <w:tc>
          <w:tcPr>
            <w:tcW w:type="dxa" w:w="1440"/>
            <w:shd w:fill="ECFDF5"/>
            <w:tcMar>
              <w:top w:w="60" w:type="dxa"/>
              <w:bottom w:w="60" w:type="dxa"/>
              <w:left w:w="80" w:type="dxa"/>
              <w:right w:w="80" w:type="dxa"/>
            </w:tcMar>
          </w:tcPr>
          <w:p>
            <w:pPr>
              <w:jc w:val="center"/>
            </w:pPr>
            <w:r>
              <w:rPr>
                <w:rFonts w:ascii="Times New Roman" w:hAnsi="Times New Roman"/>
                <w:b/>
                <w:color w:val="047857"/>
                <w:sz w:val="17"/>
              </w:rPr>
              <w:t>94.2%</w:t>
            </w:r>
          </w:p>
        </w:tc>
        <w:tc>
          <w:tcPr>
            <w:tcW w:type="dxa" w:w="1440"/>
            <w:shd w:fill="ECFDF5"/>
            <w:tcMar>
              <w:top w:w="60" w:type="dxa"/>
              <w:bottom w:w="60" w:type="dxa"/>
              <w:left w:w="80" w:type="dxa"/>
              <w:right w:w="80" w:type="dxa"/>
            </w:tcMar>
          </w:tcPr>
          <w:p>
            <w:pPr>
              <w:jc w:val="center"/>
            </w:pPr>
            <w:r>
              <w:rPr>
                <w:rFonts w:ascii="Times New Roman" w:hAnsi="Times New Roman"/>
                <w:b/>
                <w:color w:val="047857"/>
                <w:sz w:val="17"/>
              </w:rPr>
              <w:t>100.0%</w:t>
            </w:r>
          </w:p>
        </w:tc>
        <w:tc>
          <w:tcPr>
            <w:tcW w:type="dxa" w:w="1440"/>
            <w:shd w:fill="ECFDF5"/>
            <w:tcMar>
              <w:top w:w="60" w:type="dxa"/>
              <w:bottom w:w="60" w:type="dxa"/>
              <w:left w:w="80" w:type="dxa"/>
              <w:right w:w="80" w:type="dxa"/>
            </w:tcMar>
          </w:tcPr>
          <w:p>
            <w:pPr>
              <w:jc w:val="center"/>
            </w:pPr>
            <w:r>
              <w:rPr>
                <w:rFonts w:ascii="Times New Roman" w:hAnsi="Times New Roman"/>
                <w:b/>
                <w:color w:val="047857"/>
                <w:sz w:val="17"/>
              </w:rPr>
              <w:t>96.8%</w:t>
            </w:r>
          </w:p>
        </w:tc>
        <w:tc>
          <w:tcPr>
            <w:tcW w:type="dxa" w:w="1440"/>
            <w:shd w:fill="ECFDF5"/>
            <w:tcMar>
              <w:top w:w="60" w:type="dxa"/>
              <w:bottom w:w="60" w:type="dxa"/>
              <w:left w:w="80" w:type="dxa"/>
              <w:right w:w="80" w:type="dxa"/>
            </w:tcMar>
          </w:tcPr>
          <w:p>
            <w:pPr>
              <w:jc w:val="center"/>
            </w:pPr>
            <w:r>
              <w:rPr>
                <w:rFonts w:ascii="Times New Roman" w:hAnsi="Times New Roman"/>
                <w:b/>
                <w:color w:val="047857"/>
                <w:sz w:val="17"/>
              </w:rPr>
              <w:t>96.9%</w:t>
            </w:r>
          </w:p>
        </w:tc>
        <w:tc>
          <w:tcPr>
            <w:tcW w:type="dxa" w:w="1440"/>
            <w:shd w:fill="ECFDF5"/>
            <w:tcMar>
              <w:top w:w="60" w:type="dxa"/>
              <w:bottom w:w="60" w:type="dxa"/>
              <w:left w:w="80" w:type="dxa"/>
              <w:right w:w="80" w:type="dxa"/>
            </w:tcMar>
          </w:tcPr>
          <w:p>
            <w:pPr>
              <w:jc w:val="center"/>
            </w:pPr>
            <w:r>
              <w:rPr>
                <w:rFonts w:ascii="Times New Roman" w:hAnsi="Times New Roman"/>
                <w:b/>
                <w:sz w:val="17"/>
              </w:rPr>
              <w:t>3.82 s</w:t>
            </w:r>
          </w:p>
        </w:tc>
        <w:tc>
          <w:tcPr>
            <w:tcW w:type="dxa" w:w="1440"/>
            <w:shd w:fill="ECFDF5"/>
            <w:tcMar>
              <w:top w:w="60" w:type="dxa"/>
              <w:bottom w:w="60" w:type="dxa"/>
              <w:left w:w="80" w:type="dxa"/>
              <w:right w:w="80" w:type="dxa"/>
            </w:tcMar>
          </w:tcPr>
          <w:p>
            <w:pPr>
              <w:jc w:val="center"/>
            </w:pPr>
            <w:r>
              <w:rPr>
                <w:rFonts w:ascii="Times New Roman" w:hAnsi="Times New Roman"/>
                <w:b/>
                <w:color w:val="047857"/>
                <w:sz w:val="17"/>
              </w:rPr>
              <w:t>0.0%</w:t>
            </w:r>
          </w:p>
        </w:tc>
      </w:tr>
    </w:tbl>
    <w:p>
      <w:pPr>
        <w:spacing w:before="80"/>
      </w:pPr>
    </w:p>
    <w:p>
      <w:pPr>
        <w:spacing w:after="80"/>
        <w:jc w:val="both"/>
      </w:pPr>
      <w:r>
        <w:rPr>
          <w:rFonts w:ascii="Times New Roman" w:hAnsi="Times New Roman"/>
          <w:sz w:val="20"/>
        </w:rPr>
        <w:t>Berdasarkan hasil pada Tabel I, AURA mengungguli seluruh model pembanding di setiap dimensi evaluasi, mencatatkan skor harmonis akhir sebesar 96,9%. Penambahan Cohere Rerank v3.0 (Baseline 3 vs Baseline 2) mendongkrak Relevansi Konteks sebesar +12,6% (75,8% ke 88,4%) serta memangkas tingkat halusinasi dari 21,6% menjadi 8,8%. Yang terpenting, AURA mencapai skor Groundedness sempurna sebesar 100,0%, yang membuktikan kepatuhan mutlak tanpa satu pun fabrikasi aturan kampus pada seluruh 50 skenario uji.</w:t>
      </w:r>
    </w:p>
    <w:p>
      <w:pPr>
        <w:keepNext/>
        <w:spacing w:before="160" w:after="40"/>
      </w:pPr>
      <w:r>
        <w:rPr>
          <w:rFonts w:ascii="Times New Roman" w:hAnsi="Times New Roman"/>
          <w:b/>
          <w:i/>
          <w:sz w:val="20"/>
        </w:rPr>
        <w:t>B. Analisis Performa Berdasarkan Kluster Skenario</w:t>
      </w:r>
    </w:p>
    <w:p>
      <w:pPr>
        <w:spacing w:after="80"/>
        <w:jc w:val="both"/>
      </w:pPr>
      <w:r>
        <w:rPr>
          <w:rFonts w:ascii="Times New Roman" w:hAnsi="Times New Roman"/>
          <w:sz w:val="20"/>
        </w:rPr>
        <w:t>Tabel II memaparkan performa rinci AURA pada masing-masing kluster fungsional institusional.</w:t>
      </w:r>
    </w:p>
    <w:p>
      <w:pPr>
        <w:spacing w:before="120" w:after="40"/>
        <w:jc w:val="center"/>
      </w:pPr>
      <w:r>
        <w:rPr>
          <w:b/>
          <w:sz w:val="19"/>
        </w:rPr>
        <w:t>TABEL II: Rincian Kinerja AURA pada Lima Kluster Fungsional UII-Bench-50</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fill="1F2937"/>
            <w:tcMar>
              <w:top w:w="80" w:type="dxa"/>
              <w:bottom w:w="80" w:type="dxa"/>
              <w:left w:w="100" w:type="dxa"/>
              <w:right w:w="100" w:type="dxa"/>
            </w:tcMar>
          </w:tcPr>
          <w:p>
            <w:pPr>
              <w:jc w:val="center"/>
            </w:pPr>
            <w:r>
              <w:rPr>
                <w:rFonts w:ascii="Times New Roman" w:hAnsi="Times New Roman"/>
                <w:b/>
                <w:color w:val="FFFFFF"/>
                <w:sz w:val="17"/>
              </w:rPr>
              <w:t>Kluster Skenario</w:t>
            </w:r>
          </w:p>
        </w:tc>
        <w:tc>
          <w:tcPr>
            <w:tcW w:type="dxa" w:w="2016"/>
            <w:shd w:fill="1F2937"/>
            <w:tcMar>
              <w:top w:w="80" w:type="dxa"/>
              <w:bottom w:w="80" w:type="dxa"/>
              <w:left w:w="100" w:type="dxa"/>
              <w:right w:w="100" w:type="dxa"/>
            </w:tcMar>
          </w:tcPr>
          <w:p>
            <w:pPr>
              <w:jc w:val="center"/>
            </w:pPr>
            <w:r>
              <w:rPr>
                <w:rFonts w:ascii="Times New Roman" w:hAnsi="Times New Roman"/>
                <w:b/>
                <w:color w:val="FFFFFF"/>
                <w:sz w:val="17"/>
              </w:rPr>
              <w:t>Context Rel. (%)</w:t>
            </w:r>
          </w:p>
        </w:tc>
        <w:tc>
          <w:tcPr>
            <w:tcW w:type="dxa" w:w="2016"/>
            <w:shd w:fill="1F2937"/>
            <w:tcMar>
              <w:top w:w="80" w:type="dxa"/>
              <w:bottom w:w="80" w:type="dxa"/>
              <w:left w:w="100" w:type="dxa"/>
              <w:right w:w="100" w:type="dxa"/>
            </w:tcMar>
          </w:tcPr>
          <w:p>
            <w:pPr>
              <w:jc w:val="center"/>
            </w:pPr>
            <w:r>
              <w:rPr>
                <w:rFonts w:ascii="Times New Roman" w:hAnsi="Times New Roman"/>
                <w:b/>
                <w:color w:val="FFFFFF"/>
                <w:sz w:val="17"/>
              </w:rPr>
              <w:t>Groundedness (%)</w:t>
            </w:r>
          </w:p>
        </w:tc>
        <w:tc>
          <w:tcPr>
            <w:tcW w:type="dxa" w:w="2016"/>
            <w:shd w:fill="1F2937"/>
            <w:tcMar>
              <w:top w:w="80" w:type="dxa"/>
              <w:bottom w:w="80" w:type="dxa"/>
              <w:left w:w="100" w:type="dxa"/>
              <w:right w:w="100" w:type="dxa"/>
            </w:tcMar>
          </w:tcPr>
          <w:p>
            <w:pPr>
              <w:jc w:val="center"/>
            </w:pPr>
            <w:r>
              <w:rPr>
                <w:rFonts w:ascii="Times New Roman" w:hAnsi="Times New Roman"/>
                <w:b/>
                <w:color w:val="FFFFFF"/>
                <w:sz w:val="17"/>
              </w:rPr>
              <w:t>Answer Rel. (%)</w:t>
            </w:r>
          </w:p>
        </w:tc>
        <w:tc>
          <w:tcPr>
            <w:tcW w:type="dxa" w:w="2016"/>
            <w:shd w:fill="1F2937"/>
            <w:tcMar>
              <w:top w:w="80" w:type="dxa"/>
              <w:bottom w:w="80" w:type="dxa"/>
              <w:left w:w="100" w:type="dxa"/>
              <w:right w:w="100" w:type="dxa"/>
            </w:tcMar>
          </w:tcPr>
          <w:p>
            <w:pPr>
              <w:jc w:val="center"/>
            </w:pPr>
            <w:r>
              <w:rPr>
                <w:rFonts w:ascii="Times New Roman" w:hAnsi="Times New Roman"/>
                <w:b/>
                <w:color w:val="FFFFFF"/>
                <w:sz w:val="17"/>
              </w:rPr>
              <w:t>Alur Dominan yang Dipicu</w:t>
            </w:r>
          </w:p>
        </w:tc>
      </w:tr>
      <w:tr>
        <w:tc>
          <w:tcPr>
            <w:tcW w:type="dxa" w:w="2016"/>
            <w:shd w:fill="FFFFFF"/>
            <w:tcMar>
              <w:top w:w="60" w:type="dxa"/>
              <w:bottom w:w="60" w:type="dxa"/>
              <w:left w:w="80" w:type="dxa"/>
              <w:right w:w="80" w:type="dxa"/>
            </w:tcMar>
          </w:tcPr>
          <w:p>
            <w:pPr>
              <w:jc w:val="left"/>
            </w:pPr>
            <w:r>
              <w:rPr>
                <w:rFonts w:ascii="Times New Roman" w:hAnsi="Times New Roman"/>
                <w:sz w:val="17"/>
              </w:rPr>
              <w:t>Kluster 1: Regulasi Studi Umum</w:t>
            </w:r>
          </w:p>
        </w:tc>
        <w:tc>
          <w:tcPr>
            <w:tcW w:type="dxa" w:w="2016"/>
            <w:shd w:fill="FFFFFF"/>
            <w:tcMar>
              <w:top w:w="60" w:type="dxa"/>
              <w:bottom w:w="60" w:type="dxa"/>
              <w:left w:w="80" w:type="dxa"/>
              <w:right w:w="80" w:type="dxa"/>
            </w:tcMar>
          </w:tcPr>
          <w:p>
            <w:pPr>
              <w:jc w:val="center"/>
            </w:pPr>
            <w:r>
              <w:rPr>
                <w:rFonts w:ascii="Times New Roman" w:hAnsi="Times New Roman"/>
                <w:sz w:val="17"/>
              </w:rPr>
              <w:t>96.0%</w:t>
            </w:r>
          </w:p>
        </w:tc>
        <w:tc>
          <w:tcPr>
            <w:tcW w:type="dxa" w:w="2016"/>
            <w:shd w:fill="FFFFFF"/>
            <w:tcMar>
              <w:top w:w="60" w:type="dxa"/>
              <w:bottom w:w="60" w:type="dxa"/>
              <w:left w:w="80" w:type="dxa"/>
              <w:right w:w="80" w:type="dxa"/>
            </w:tcMar>
          </w:tcPr>
          <w:p>
            <w:pPr>
              <w:jc w:val="center"/>
            </w:pPr>
            <w:r>
              <w:rPr>
                <w:rFonts w:ascii="Times New Roman" w:hAnsi="Times New Roman"/>
                <w:sz w:val="17"/>
              </w:rPr>
              <w:t>100.0%</w:t>
            </w:r>
          </w:p>
        </w:tc>
        <w:tc>
          <w:tcPr>
            <w:tcW w:type="dxa" w:w="2016"/>
            <w:shd w:fill="FFFFFF"/>
            <w:tcMar>
              <w:top w:w="60" w:type="dxa"/>
              <w:bottom w:w="60" w:type="dxa"/>
              <w:left w:w="80" w:type="dxa"/>
              <w:right w:w="80" w:type="dxa"/>
            </w:tcMar>
          </w:tcPr>
          <w:p>
            <w:pPr>
              <w:jc w:val="center"/>
            </w:pPr>
            <w:r>
              <w:rPr>
                <w:rFonts w:ascii="Times New Roman" w:hAnsi="Times New Roman"/>
                <w:sz w:val="17"/>
              </w:rPr>
              <w:t>98.2%</w:t>
            </w:r>
          </w:p>
        </w:tc>
        <w:tc>
          <w:tcPr>
            <w:tcW w:type="dxa" w:w="2016"/>
            <w:shd w:fill="FFFFFF"/>
            <w:tcMar>
              <w:top w:w="60" w:type="dxa"/>
              <w:bottom w:w="60" w:type="dxa"/>
              <w:left w:w="80" w:type="dxa"/>
              <w:right w:w="80" w:type="dxa"/>
            </w:tcMar>
          </w:tcPr>
          <w:p>
            <w:pPr>
              <w:jc w:val="left"/>
            </w:pPr>
            <w:r>
              <w:rPr>
                <w:rFonts w:ascii="Times New Roman" w:hAnsi="Times New Roman"/>
                <w:sz w:val="17"/>
              </w:rPr>
              <w:t>Indeks Vektor Pinecone (imuiirags2)</w:t>
            </w:r>
          </w:p>
        </w:tc>
      </w:tr>
      <w:tr>
        <w:tc>
          <w:tcPr>
            <w:tcW w:type="dxa" w:w="2016"/>
            <w:shd w:fill="F3F4F6"/>
            <w:tcMar>
              <w:top w:w="60" w:type="dxa"/>
              <w:bottom w:w="60" w:type="dxa"/>
              <w:left w:w="80" w:type="dxa"/>
              <w:right w:w="80" w:type="dxa"/>
            </w:tcMar>
          </w:tcPr>
          <w:p>
            <w:pPr>
              <w:jc w:val="left"/>
            </w:pPr>
            <w:r>
              <w:rPr>
                <w:rFonts w:ascii="Times New Roman" w:hAnsi="Times New Roman"/>
                <w:sz w:val="17"/>
              </w:rPr>
              <w:t>Kluster 2: Regulasi Skripsi FTI</w:t>
            </w:r>
          </w:p>
        </w:tc>
        <w:tc>
          <w:tcPr>
            <w:tcW w:type="dxa" w:w="2016"/>
            <w:shd w:fill="F3F4F6"/>
            <w:tcMar>
              <w:top w:w="60" w:type="dxa"/>
              <w:bottom w:w="60" w:type="dxa"/>
              <w:left w:w="80" w:type="dxa"/>
              <w:right w:w="80" w:type="dxa"/>
            </w:tcMar>
          </w:tcPr>
          <w:p>
            <w:pPr>
              <w:jc w:val="center"/>
            </w:pPr>
            <w:r>
              <w:rPr>
                <w:rFonts w:ascii="Times New Roman" w:hAnsi="Times New Roman"/>
                <w:sz w:val="17"/>
              </w:rPr>
              <w:t>97.5%</w:t>
            </w:r>
          </w:p>
        </w:tc>
        <w:tc>
          <w:tcPr>
            <w:tcW w:type="dxa" w:w="2016"/>
            <w:shd w:fill="F3F4F6"/>
            <w:tcMar>
              <w:top w:w="60" w:type="dxa"/>
              <w:bottom w:w="60" w:type="dxa"/>
              <w:left w:w="80" w:type="dxa"/>
              <w:right w:w="80" w:type="dxa"/>
            </w:tcMar>
          </w:tcPr>
          <w:p>
            <w:pPr>
              <w:jc w:val="center"/>
            </w:pPr>
            <w:r>
              <w:rPr>
                <w:rFonts w:ascii="Times New Roman" w:hAnsi="Times New Roman"/>
                <w:sz w:val="17"/>
              </w:rPr>
              <w:t>100.0%</w:t>
            </w:r>
          </w:p>
        </w:tc>
        <w:tc>
          <w:tcPr>
            <w:tcW w:type="dxa" w:w="2016"/>
            <w:shd w:fill="F3F4F6"/>
            <w:tcMar>
              <w:top w:w="60" w:type="dxa"/>
              <w:bottom w:w="60" w:type="dxa"/>
              <w:left w:w="80" w:type="dxa"/>
              <w:right w:w="80" w:type="dxa"/>
            </w:tcMar>
          </w:tcPr>
          <w:p>
            <w:pPr>
              <w:jc w:val="center"/>
            </w:pPr>
            <w:r>
              <w:rPr>
                <w:rFonts w:ascii="Times New Roman" w:hAnsi="Times New Roman"/>
                <w:sz w:val="17"/>
              </w:rPr>
              <w:t>99.0%</w:t>
            </w:r>
          </w:p>
        </w:tc>
        <w:tc>
          <w:tcPr>
            <w:tcW w:type="dxa" w:w="2016"/>
            <w:shd w:fill="F3F4F6"/>
            <w:tcMar>
              <w:top w:w="60" w:type="dxa"/>
              <w:bottom w:w="60" w:type="dxa"/>
              <w:left w:w="80" w:type="dxa"/>
              <w:right w:w="80" w:type="dxa"/>
            </w:tcMar>
          </w:tcPr>
          <w:p>
            <w:pPr>
              <w:jc w:val="left"/>
            </w:pPr>
            <w:r>
              <w:rPr>
                <w:rFonts w:ascii="Times New Roman" w:hAnsi="Times New Roman"/>
                <w:sz w:val="17"/>
              </w:rPr>
              <w:t>Indeks Vektor Pinecone (imuiirags2)</w:t>
            </w:r>
          </w:p>
        </w:tc>
      </w:tr>
      <w:tr>
        <w:tc>
          <w:tcPr>
            <w:tcW w:type="dxa" w:w="2016"/>
            <w:shd w:fill="FFFFFF"/>
            <w:tcMar>
              <w:top w:w="60" w:type="dxa"/>
              <w:bottom w:w="60" w:type="dxa"/>
              <w:left w:w="80" w:type="dxa"/>
              <w:right w:w="80" w:type="dxa"/>
            </w:tcMar>
          </w:tcPr>
          <w:p>
            <w:pPr>
              <w:jc w:val="left"/>
            </w:pPr>
            <w:r>
              <w:rPr>
                <w:rFonts w:ascii="Times New Roman" w:hAnsi="Times New Roman"/>
                <w:sz w:val="17"/>
              </w:rPr>
              <w:t>Kluster 3: Beasiswa &amp; Kemahasiswaan</w:t>
            </w:r>
          </w:p>
        </w:tc>
        <w:tc>
          <w:tcPr>
            <w:tcW w:type="dxa" w:w="2016"/>
            <w:shd w:fill="FFFFFF"/>
            <w:tcMar>
              <w:top w:w="60" w:type="dxa"/>
              <w:bottom w:w="60" w:type="dxa"/>
              <w:left w:w="80" w:type="dxa"/>
              <w:right w:w="80" w:type="dxa"/>
            </w:tcMar>
          </w:tcPr>
          <w:p>
            <w:pPr>
              <w:jc w:val="center"/>
            </w:pPr>
            <w:r>
              <w:rPr>
                <w:rFonts w:ascii="Times New Roman" w:hAnsi="Times New Roman"/>
                <w:sz w:val="17"/>
              </w:rPr>
              <w:t>92.4%</w:t>
            </w:r>
          </w:p>
        </w:tc>
        <w:tc>
          <w:tcPr>
            <w:tcW w:type="dxa" w:w="2016"/>
            <w:shd w:fill="FFFFFF"/>
            <w:tcMar>
              <w:top w:w="60" w:type="dxa"/>
              <w:bottom w:w="60" w:type="dxa"/>
              <w:left w:w="80" w:type="dxa"/>
              <w:right w:w="80" w:type="dxa"/>
            </w:tcMar>
          </w:tcPr>
          <w:p>
            <w:pPr>
              <w:jc w:val="center"/>
            </w:pPr>
            <w:r>
              <w:rPr>
                <w:rFonts w:ascii="Times New Roman" w:hAnsi="Times New Roman"/>
                <w:sz w:val="17"/>
              </w:rPr>
              <w:t>100.0%</w:t>
            </w:r>
          </w:p>
        </w:tc>
        <w:tc>
          <w:tcPr>
            <w:tcW w:type="dxa" w:w="2016"/>
            <w:shd w:fill="FFFFFF"/>
            <w:tcMar>
              <w:top w:w="60" w:type="dxa"/>
              <w:bottom w:w="60" w:type="dxa"/>
              <w:left w:w="80" w:type="dxa"/>
              <w:right w:w="80" w:type="dxa"/>
            </w:tcMar>
          </w:tcPr>
          <w:p>
            <w:pPr>
              <w:jc w:val="center"/>
            </w:pPr>
            <w:r>
              <w:rPr>
                <w:rFonts w:ascii="Times New Roman" w:hAnsi="Times New Roman"/>
                <w:sz w:val="17"/>
              </w:rPr>
              <w:t>95.5%</w:t>
            </w:r>
          </w:p>
        </w:tc>
        <w:tc>
          <w:tcPr>
            <w:tcW w:type="dxa" w:w="2016"/>
            <w:shd w:fill="FFFFFF"/>
            <w:tcMar>
              <w:top w:w="60" w:type="dxa"/>
              <w:bottom w:w="60" w:type="dxa"/>
              <w:left w:w="80" w:type="dxa"/>
              <w:right w:w="80" w:type="dxa"/>
            </w:tcMar>
          </w:tcPr>
          <w:p>
            <w:pPr>
              <w:jc w:val="left"/>
            </w:pPr>
            <w:r>
              <w:rPr>
                <w:rFonts w:ascii="Times New Roman" w:hAnsi="Times New Roman"/>
                <w:sz w:val="17"/>
              </w:rPr>
              <w:t>Indeks Vektor Pinecone (imuiirags2)</w:t>
            </w:r>
          </w:p>
        </w:tc>
      </w:tr>
      <w:tr>
        <w:tc>
          <w:tcPr>
            <w:tcW w:type="dxa" w:w="2016"/>
            <w:shd w:fill="F3F4F6"/>
            <w:tcMar>
              <w:top w:w="60" w:type="dxa"/>
              <w:bottom w:w="60" w:type="dxa"/>
              <w:left w:w="80" w:type="dxa"/>
              <w:right w:w="80" w:type="dxa"/>
            </w:tcMar>
          </w:tcPr>
          <w:p>
            <w:pPr>
              <w:jc w:val="left"/>
            </w:pPr>
            <w:r>
              <w:rPr>
                <w:rFonts w:ascii="Times New Roman" w:hAnsi="Times New Roman"/>
                <w:sz w:val="17"/>
              </w:rPr>
              <w:t>Kluster 4: Resolusi Celah Kontak</w:t>
            </w:r>
          </w:p>
        </w:tc>
        <w:tc>
          <w:tcPr>
            <w:tcW w:type="dxa" w:w="2016"/>
            <w:shd w:fill="F3F4F6"/>
            <w:tcMar>
              <w:top w:w="60" w:type="dxa"/>
              <w:bottom w:w="60" w:type="dxa"/>
              <w:left w:w="80" w:type="dxa"/>
              <w:right w:w="80" w:type="dxa"/>
            </w:tcMar>
          </w:tcPr>
          <w:p>
            <w:pPr>
              <w:jc w:val="center"/>
            </w:pPr>
            <w:r>
              <w:rPr>
                <w:rFonts w:ascii="Times New Roman" w:hAnsi="Times New Roman"/>
                <w:sz w:val="17"/>
              </w:rPr>
              <w:t>93.8%</w:t>
            </w:r>
          </w:p>
        </w:tc>
        <w:tc>
          <w:tcPr>
            <w:tcW w:type="dxa" w:w="2016"/>
            <w:shd w:fill="F3F4F6"/>
            <w:tcMar>
              <w:top w:w="60" w:type="dxa"/>
              <w:bottom w:w="60" w:type="dxa"/>
              <w:left w:w="80" w:type="dxa"/>
              <w:right w:w="80" w:type="dxa"/>
            </w:tcMar>
          </w:tcPr>
          <w:p>
            <w:pPr>
              <w:jc w:val="center"/>
            </w:pPr>
            <w:r>
              <w:rPr>
                <w:rFonts w:ascii="Times New Roman" w:hAnsi="Times New Roman"/>
                <w:sz w:val="17"/>
              </w:rPr>
              <w:t>100.0%</w:t>
            </w:r>
          </w:p>
        </w:tc>
        <w:tc>
          <w:tcPr>
            <w:tcW w:type="dxa" w:w="2016"/>
            <w:shd w:fill="F3F4F6"/>
            <w:tcMar>
              <w:top w:w="60" w:type="dxa"/>
              <w:bottom w:w="60" w:type="dxa"/>
              <w:left w:w="80" w:type="dxa"/>
              <w:right w:w="80" w:type="dxa"/>
            </w:tcMar>
          </w:tcPr>
          <w:p>
            <w:pPr>
              <w:jc w:val="center"/>
            </w:pPr>
            <w:r>
              <w:rPr>
                <w:rFonts w:ascii="Times New Roman" w:hAnsi="Times New Roman"/>
                <w:sz w:val="17"/>
              </w:rPr>
              <w:t>96.0%</w:t>
            </w:r>
          </w:p>
        </w:tc>
        <w:tc>
          <w:tcPr>
            <w:tcW w:type="dxa" w:w="2016"/>
            <w:shd w:fill="F3F4F6"/>
            <w:tcMar>
              <w:top w:w="60" w:type="dxa"/>
              <w:bottom w:w="60" w:type="dxa"/>
              <w:left w:w="80" w:type="dxa"/>
              <w:right w:w="80" w:type="dxa"/>
            </w:tcMar>
          </w:tcPr>
          <w:p>
            <w:pPr>
              <w:jc w:val="left"/>
            </w:pPr>
            <w:r>
              <w:rPr>
                <w:rFonts w:ascii="Times New Roman" w:hAnsi="Times New Roman"/>
                <w:sz w:val="17"/>
              </w:rPr>
              <w:t>Dokumen Kanonikal Injeksi Gap</w:t>
            </w:r>
          </w:p>
        </w:tc>
      </w:tr>
      <w:tr>
        <w:tc>
          <w:tcPr>
            <w:tcW w:type="dxa" w:w="2016"/>
            <w:shd w:fill="FFFFFF"/>
            <w:tcMar>
              <w:top w:w="60" w:type="dxa"/>
              <w:bottom w:w="60" w:type="dxa"/>
              <w:left w:w="80" w:type="dxa"/>
              <w:right w:w="80" w:type="dxa"/>
            </w:tcMar>
          </w:tcPr>
          <w:p>
            <w:pPr>
              <w:jc w:val="left"/>
            </w:pPr>
            <w:r>
              <w:rPr>
                <w:rFonts w:ascii="Times New Roman" w:hAnsi="Times New Roman"/>
                <w:sz w:val="17"/>
              </w:rPr>
              <w:t>Kluster 5: Kredensial Multimodal</w:t>
            </w:r>
          </w:p>
        </w:tc>
        <w:tc>
          <w:tcPr>
            <w:tcW w:type="dxa" w:w="2016"/>
            <w:shd w:fill="FFFFFF"/>
            <w:tcMar>
              <w:top w:w="60" w:type="dxa"/>
              <w:bottom w:w="60" w:type="dxa"/>
              <w:left w:w="80" w:type="dxa"/>
              <w:right w:w="80" w:type="dxa"/>
            </w:tcMar>
          </w:tcPr>
          <w:p>
            <w:pPr>
              <w:jc w:val="center"/>
            </w:pPr>
            <w:r>
              <w:rPr>
                <w:rFonts w:ascii="Times New Roman" w:hAnsi="Times New Roman"/>
                <w:sz w:val="17"/>
              </w:rPr>
              <w:t>91.3%</w:t>
            </w:r>
          </w:p>
        </w:tc>
        <w:tc>
          <w:tcPr>
            <w:tcW w:type="dxa" w:w="2016"/>
            <w:shd w:fill="FFFFFF"/>
            <w:tcMar>
              <w:top w:w="60" w:type="dxa"/>
              <w:bottom w:w="60" w:type="dxa"/>
              <w:left w:w="80" w:type="dxa"/>
              <w:right w:w="80" w:type="dxa"/>
            </w:tcMar>
          </w:tcPr>
          <w:p>
            <w:pPr>
              <w:jc w:val="center"/>
            </w:pPr>
            <w:r>
              <w:rPr>
                <w:rFonts w:ascii="Times New Roman" w:hAnsi="Times New Roman"/>
                <w:sz w:val="17"/>
              </w:rPr>
              <w:t>100.0%</w:t>
            </w:r>
          </w:p>
        </w:tc>
        <w:tc>
          <w:tcPr>
            <w:tcW w:type="dxa" w:w="2016"/>
            <w:shd w:fill="FFFFFF"/>
            <w:tcMar>
              <w:top w:w="60" w:type="dxa"/>
              <w:bottom w:w="60" w:type="dxa"/>
              <w:left w:w="80" w:type="dxa"/>
              <w:right w:w="80" w:type="dxa"/>
            </w:tcMar>
          </w:tcPr>
          <w:p>
            <w:pPr>
              <w:jc w:val="center"/>
            </w:pPr>
            <w:r>
              <w:rPr>
                <w:rFonts w:ascii="Times New Roman" w:hAnsi="Times New Roman"/>
                <w:sz w:val="17"/>
              </w:rPr>
              <w:t>95.3%</w:t>
            </w:r>
          </w:p>
        </w:tc>
        <w:tc>
          <w:tcPr>
            <w:tcW w:type="dxa" w:w="2016"/>
            <w:shd w:fill="FFFFFF"/>
            <w:tcMar>
              <w:top w:w="60" w:type="dxa"/>
              <w:bottom w:w="60" w:type="dxa"/>
              <w:left w:w="80" w:type="dxa"/>
              <w:right w:w="80" w:type="dxa"/>
            </w:tcMar>
          </w:tcPr>
          <w:p>
            <w:pPr>
              <w:jc w:val="left"/>
            </w:pPr>
            <w:r>
              <w:rPr>
                <w:rFonts w:ascii="Times New Roman" w:hAnsi="Times New Roman"/>
                <w:sz w:val="17"/>
              </w:rPr>
              <w:t>Node Visi Multimodal (GPT-4o Vision)</w:t>
            </w:r>
          </w:p>
        </w:tc>
      </w:tr>
    </w:tbl>
    <w:p>
      <w:pPr>
        <w:spacing w:before="80"/>
      </w:pPr>
    </w:p>
    <w:p>
      <w:pPr>
        <w:spacing w:after="80"/>
        <w:jc w:val="both"/>
      </w:pPr>
      <w:r>
        <w:rPr>
          <w:rFonts w:ascii="Times New Roman" w:hAnsi="Times New Roman"/>
          <w:sz w:val="20"/>
        </w:rPr>
        <w:t>Pada Kluster 2 (Skripsi FTI), AURA membukukan performa 97,5% Context Relevance dan 99,0% Answer Relevance, menyajikan jawaban lengkap dengan nomor bab dan pasal rujukan resmi. Pada Kluster 4 (Celah Kontak dan Akreditasi), sistem baseline mengalami kegagalan karena data nomor telepon dan sertifikat BAN-PT tertanam di elemen gambar web, namun AURA menjawab 100% tepat berkat rujukan kanonikal uii-kontak-akreditasi.txt.</w:t>
      </w:r>
    </w:p>
    <w:p>
      <w:pPr>
        <w:keepNext/>
        <w:spacing w:before="160" w:after="40"/>
      </w:pPr>
      <w:r>
        <w:rPr>
          <w:rFonts w:ascii="Times New Roman" w:hAnsi="Times New Roman"/>
          <w:b/>
          <w:i/>
          <w:sz w:val="20"/>
        </w:rPr>
        <w:t>C. Studi Ablasi</w:t>
      </w:r>
    </w:p>
    <w:p>
      <w:pPr>
        <w:spacing w:after="80"/>
        <w:jc w:val="both"/>
      </w:pPr>
      <w:r>
        <w:rPr>
          <w:rFonts w:ascii="Times New Roman" w:hAnsi="Times New Roman"/>
          <w:sz w:val="20"/>
        </w:rPr>
        <w:t>1. Sensitivitas Nilai K2 Pemeringkat Ulang: Variasi K2 in {3, 5, 8, 12, 20} menunjukkan bahwa K2 = 8 menghasilkan titik ekuilibrium terbaik (CR = 94,2%, Latensi = 3,8 detik). Nilai K2 = 3 terlalu sempit sehingga sering memotong klausul pengecualian, sedangkan K2 &gt;= 12 memasukkan kembali derau teks yang menurunkan CR menjadi 89,5% dengan latensi &gt; 5,0 detik.</w:t>
        <w:br/>
        <w:t>2. Dampak Pembersihan Dokumen Jina Reader: Penanaman vektor dari HTML mentah menghasilkan CR sebesar 76,2%, sedangkan pembersihan melalui Jina Reader mendongkrak skor menjadi 94,2% (peningkatan absolut +18,0%).</w:t>
      </w:r>
    </w:p>
    <w:p>
      <w:pPr>
        <w:keepNext/>
        <w:spacing w:before="160" w:after="40"/>
      </w:pPr>
      <w:r>
        <w:rPr>
          <w:rFonts w:ascii="Times New Roman" w:hAnsi="Times New Roman"/>
          <w:b/>
          <w:i/>
          <w:sz w:val="20"/>
        </w:rPr>
        <w:t>D. Studi Kasus Kualitatif: Verifikasi KRS Multimodal</w:t>
      </w:r>
    </w:p>
    <w:p>
      <w:pPr>
        <w:spacing w:after="80"/>
        <w:jc w:val="both"/>
      </w:pPr>
      <w:r>
        <w:rPr>
          <w:rFonts w:ascii="Times New Roman" w:hAnsi="Times New Roman"/>
          <w:sz w:val="20"/>
        </w:rPr>
        <w:t>Pada pengujian foto fisik Kartu Rencana Studi (KRS) mahasiswa angkatan 2021 yang buram, node visi GPT-4o berhasil mengekstrak total 114 SKS yang telah ditempuh dan memvalidasi ketiadaan nilai E. Mesin temu balik dua-tahap kemudian menarik klausul Buku Pedoman Skripsi FTI Bab IV Pasal 7 (syarat minimal 110 SKS, IPK &gt;= 2.00, tanpa nilai E), dan secara otonom menyatakan mahasiswa tersebut telah memenuhi syarat administratif untuk mendaftar seminar proposal skripsi.</w:t>
      </w:r>
    </w:p>
    <w:p>
      <w:pPr>
        <w:keepNext/>
        <w:spacing w:before="240" w:after="80"/>
      </w:pPr>
      <w:r>
        <w:rPr>
          <w:rFonts w:ascii="Times New Roman" w:hAnsi="Times New Roman"/>
          <w:b/>
          <w:sz w:val="22"/>
        </w:rPr>
        <w:t>VI. ANCAMAN TERHADAP VALIDITAS DAN KETERBATASAN</w:t>
      </w:r>
    </w:p>
    <w:p>
      <w:pPr>
        <w:spacing w:after="80"/>
        <w:jc w:val="both"/>
      </w:pPr>
      <w:r>
        <w:rPr>
          <w:rFonts w:ascii="Times New Roman" w:hAnsi="Times New Roman"/>
          <w:sz w:val="20"/>
        </w:rPr>
        <w:t>Validitas internal dijaga dengan memverifikasi kunci jawaban UII-Bench-50 langsung terhadap surat keputusan dekanat dan rektorat resmi. Variabilitas stokastik model ditekan dengan mengatur temperatur generasi pada nilai rendah (tau = 0,2). Dari segi keterbatasan, node pemrosesan visi saat ini masih mengandalkan endpoint komersial (GPT-4o Vision). Penelitian selanjutnya perlu menguji model visi sumber terbuka (open-weights) seperti LLaVA-NeXT atau Qwen2-VL untuk implementasi lokal penuh di peladen universitas.</w:t>
      </w:r>
    </w:p>
    <w:p>
      <w:pPr>
        <w:keepNext/>
        <w:spacing w:before="240" w:after="80"/>
      </w:pPr>
      <w:r>
        <w:rPr>
          <w:rFonts w:ascii="Times New Roman" w:hAnsi="Times New Roman"/>
          <w:b/>
          <w:sz w:val="22"/>
        </w:rPr>
        <w:t>VII. KESIMPULAN DAN SARAN PENELITIAN LANJUTAN</w:t>
      </w:r>
    </w:p>
    <w:p>
      <w:pPr>
        <w:spacing w:after="80"/>
        <w:jc w:val="both"/>
      </w:pPr>
      <w:r>
        <w:rPr>
          <w:rFonts w:ascii="Times New Roman" w:hAnsi="Times New Roman"/>
          <w:sz w:val="20"/>
        </w:rPr>
        <w:t>Penelitian ini berhasil merancang dan mengimplementasikan AURA, arsitektur sistem temu balik cerdas otonom berbasis Two-Stage Neural RAG dan Multimodal Vision untuk menavigasi kompleksitas regulasi perguruan tinggi. Integrasi penanaman vektor rapat dengan pemeringkat ulang saraf Cohere Rerank v3.0 sukses meningkatkan Relevansi Konteks hingga 94,2% dan melenyapkan halusinasi faktual. Modul visi multimodal terbukti efektif mengekstrak dokumen fisik mahasiswa (KTM, KRS, bukti bayar), sementara kebijakan perutean agen dinamis menjamin kebaruan informasi jadwal kampus. Pengujian komprehensif pada UII-Bench-50 membuktikan capaian 100,0% Groundedness dan 96,9% Harmonic RAG Triad Score.</w:t>
      </w:r>
    </w:p>
    <w:p>
      <w:pPr>
        <w:spacing w:after="80"/>
        <w:jc w:val="both"/>
      </w:pPr>
      <w:r>
        <w:rPr>
          <w:rFonts w:ascii="Times New Roman" w:hAnsi="Times New Roman"/>
          <w:sz w:val="20"/>
        </w:rPr>
        <w:t>Penelitian lanjutan disarankan untuk mengintegrasikan pendekatan graf pengetahuan (Graph RAG) guna memodelkan relasi prasyarat antarmatakuliah dalam kurikulum empat tahun secara eksplisit.</w:t>
      </w:r>
    </w:p>
    <w:p>
      <w:pPr>
        <w:keepNext/>
        <w:spacing w:before="240" w:after="80"/>
      </w:pPr>
      <w:r>
        <w:rPr>
          <w:rFonts w:ascii="Times New Roman" w:hAnsi="Times New Roman"/>
          <w:b/>
          <w:sz w:val="22"/>
        </w:rPr>
        <w:t>UCAPAN TERIMA KASIH</w:t>
      </w:r>
    </w:p>
    <w:p>
      <w:pPr>
        <w:spacing w:after="80"/>
        <w:jc w:val="both"/>
      </w:pPr>
      <w:r>
        <w:rPr>
          <w:rFonts w:ascii="Times New Roman" w:hAnsi="Times New Roman"/>
          <w:sz w:val="20"/>
        </w:rPr>
        <w:t>Penulis menyampaikan rasa terima kasih yang mendalam kepada Fakultas Teknologi Industri, Universitas Islam Indonesia, atas penyediaan akses dokumen regulasi resmi serta dukungan infrastruktur komputasi selama pelaksanaan penelitian ini.</w:t>
      </w:r>
    </w:p>
    <w:p>
      <w:pPr>
        <w:keepNext/>
        <w:spacing w:before="240" w:after="80"/>
      </w:pPr>
      <w:r>
        <w:rPr>
          <w:rFonts w:ascii="Times New Roman" w:hAnsi="Times New Roman"/>
          <w:b/>
          <w:sz w:val="22"/>
        </w:rPr>
        <w:t>DAFTAR PUSTAKA</w:t>
      </w:r>
    </w:p>
    <w:p>
      <w:pPr>
        <w:spacing w:after="60"/>
        <w:ind w:left="360" w:hanging="360"/>
        <w:jc w:val="both"/>
      </w:pPr>
      <w:r>
        <w:rPr>
          <w:rFonts w:ascii="Times New Roman" w:hAnsi="Times New Roman"/>
          <w:sz w:val="17"/>
        </w:rPr>
        <w:t>[1] P. Lewis, E. Perez, A. Piktus, F. Petroni, V. Karpukhin, N. Goyal, H. Küttler, M. Lewis, W. Yih, T. Rocktäschel, S. Riedel, dan D. Kiela, 'Retrieval-Augmented Generation for Knowledge-Intensive NLP Tasks,' dalam Advances in Neural Information Processing Systems (NeurIPS), vol. 33, hlm. 9459–9474, 2020.</w:t>
      </w:r>
    </w:p>
    <w:p>
      <w:pPr>
        <w:spacing w:after="60"/>
        <w:ind w:left="360" w:hanging="360"/>
        <w:jc w:val="both"/>
      </w:pPr>
      <w:r>
        <w:rPr>
          <w:rFonts w:ascii="Times New Roman" w:hAnsi="Times New Roman"/>
          <w:sz w:val="17"/>
        </w:rPr>
        <w:t>[2] Y. Gao, Y. Xiong, X. Gao, K. Jia, J. Pan, Y. Bi, Y. Dai, J. Sun, M. Wang, dan H. Wang, 'Retrieval-Augmented Generation for Large Language Models: A Survey,' arXiv preprint arXiv:2312.10997, 2023.</w:t>
      </w:r>
    </w:p>
    <w:p>
      <w:pPr>
        <w:spacing w:after="60"/>
        <w:ind w:left="360" w:hanging="360"/>
        <w:jc w:val="both"/>
      </w:pPr>
      <w:r>
        <w:rPr>
          <w:rFonts w:ascii="Times New Roman" w:hAnsi="Times New Roman"/>
          <w:sz w:val="17"/>
        </w:rPr>
        <w:t>[3] R. Nogueira dan K. Cho, 'Passage Re-ranking with BERT,' arXiv preprint arXiv:1901.04085, 2019.</w:t>
      </w:r>
    </w:p>
    <w:p>
      <w:pPr>
        <w:spacing w:after="60"/>
        <w:ind w:left="360" w:hanging="360"/>
        <w:jc w:val="both"/>
      </w:pPr>
      <w:r>
        <w:rPr>
          <w:rFonts w:ascii="Times New Roman" w:hAnsi="Times New Roman"/>
          <w:sz w:val="17"/>
        </w:rPr>
        <w:t>[4] R. Nogueira, Z. Jiang, R. Pradeep, dan J. Lin, 'Document Ranking with a Pretrained Sequence-to-Sequence Model,' dalam Findings of the Association for Computational Linguistics: EMNLP 2020, hlm. 708–718, 2020.</w:t>
      </w:r>
    </w:p>
    <w:p>
      <w:pPr>
        <w:spacing w:after="60"/>
        <w:ind w:left="360" w:hanging="360"/>
        <w:jc w:val="both"/>
      </w:pPr>
      <w:r>
        <w:rPr>
          <w:rFonts w:ascii="Times New Roman" w:hAnsi="Times New Roman"/>
          <w:sz w:val="17"/>
        </w:rPr>
        <w:t>[5] V. Karpukhin, B. Oğuz, S. Min, P. Lewis, L. Wu, S. Edunov, D. Chen, dan W. Yih, 'Dense Passage Retrieval for Open-Domain Question Answering,' dalam Proc. Conf. Empirical Methods Natural Language Processing (EMNLP), hlm. 6769–6781, 2020.</w:t>
      </w:r>
    </w:p>
    <w:p>
      <w:pPr>
        <w:spacing w:after="60"/>
        <w:ind w:left="360" w:hanging="360"/>
        <w:jc w:val="both"/>
      </w:pPr>
      <w:r>
        <w:rPr>
          <w:rFonts w:ascii="Times New Roman" w:hAnsi="Times New Roman"/>
          <w:sz w:val="17"/>
        </w:rPr>
        <w:t>[6] S. Robertson dan H. Zaragoza, 'The Probabilistic Relevance Framework: BM25 and Beyond,' Foundations and Trends in Information Retrieval, vol. 3, no. 4, hlm. 333–389, 2009.</w:t>
      </w:r>
    </w:p>
    <w:p>
      <w:pPr>
        <w:spacing w:after="60"/>
        <w:ind w:left="360" w:hanging="360"/>
        <w:jc w:val="both"/>
      </w:pPr>
      <w:r>
        <w:rPr>
          <w:rFonts w:ascii="Times New Roman" w:hAnsi="Times New Roman"/>
          <w:sz w:val="17"/>
        </w:rPr>
        <w:t>[7] A. Vaswani, N. Shazeer, N. Parmar, J. Uszkoreit, L. Jones, A. N. Gomez, Ł. Kaiser, dan I. Polosukhin, 'Attention is All You Need,' dalam Advances in Neural Information Processing Systems (NeurIPS), vol. 30, 2017.</w:t>
      </w:r>
    </w:p>
    <w:p>
      <w:pPr>
        <w:spacing w:after="60"/>
        <w:ind w:left="360" w:hanging="360"/>
        <w:jc w:val="both"/>
      </w:pPr>
      <w:r>
        <w:rPr>
          <w:rFonts w:ascii="Times New Roman" w:hAnsi="Times New Roman"/>
          <w:sz w:val="17"/>
        </w:rPr>
        <w:t>[8] Z. Ji, N. Lee, R. Frieske, T. Yu, D. Su, Y. Xu, E. Ishii, Y. J. Bang, A. Madotto, dan P. Fung, 'Survey of Hallucination in Natural Language Generation,' ACM Computing Surveys, vol. 55, no. 12, hlm. 1–38, 2023.</w:t>
      </w:r>
    </w:p>
    <w:p>
      <w:pPr>
        <w:spacing w:after="60"/>
        <w:ind w:left="360" w:hanging="360"/>
        <w:jc w:val="both"/>
      </w:pPr>
      <w:r>
        <w:rPr>
          <w:rFonts w:ascii="Times New Roman" w:hAnsi="Times New Roman"/>
          <w:sz w:val="17"/>
        </w:rPr>
        <w:t>[9] S. Es, J. James, L. Espinosa-Anke, dan S. Schockaert, 'RAGAS: Automated Evaluation of Retrieval Augmented Generation,' arXiv preprint arXiv:2309.15217, 2023.</w:t>
      </w:r>
    </w:p>
    <w:p>
      <w:pPr>
        <w:spacing w:after="60"/>
        <w:ind w:left="360" w:hanging="360"/>
        <w:jc w:val="both"/>
      </w:pPr>
      <w:r>
        <w:rPr>
          <w:rFonts w:ascii="Times New Roman" w:hAnsi="Times New Roman"/>
          <w:sz w:val="17"/>
        </w:rPr>
        <w:t>[10] DeepSeek-AI, D. Guo, D. Yang, H. Zhang, J. Song, R. Zhang, R. Xu, Q. Zhu, S. Ma, P. Wang, X. Bi, G. Dong, dkk., 'DeepSeek-R1: Incentivizing Reasoning Capability in LLMs via Reinforcement Learning,' arXiv preprint arXiv:2501.12948, 2025.</w:t>
      </w:r>
    </w:p>
    <w:p>
      <w:pPr>
        <w:spacing w:after="60"/>
        <w:ind w:left="360" w:hanging="360"/>
        <w:jc w:val="both"/>
      </w:pPr>
      <w:r>
        <w:rPr>
          <w:rFonts w:ascii="Times New Roman" w:hAnsi="Times New Roman"/>
          <w:sz w:val="17"/>
        </w:rPr>
        <w:t>[11] OpenAI, 'GPT-4o System Card,' OpenAI Technical Report, 2024.</w:t>
      </w:r>
    </w:p>
    <w:p>
      <w:pPr>
        <w:spacing w:after="60"/>
        <w:ind w:left="360" w:hanging="360"/>
        <w:jc w:val="both"/>
      </w:pPr>
      <w:r>
        <w:rPr>
          <w:rFonts w:ascii="Times New Roman" w:hAnsi="Times New Roman"/>
          <w:sz w:val="17"/>
        </w:rPr>
        <w:t>[12] N. Reimers dan I. Gurevych, 'Sentence-BERT: Sentence Embeddings using Siamese BERT-Networks,' dalam Proc. Conf. Empirical Methods Natural Language Processing (EMNLP), hlm. 3982–3992, 2019.</w:t>
      </w:r>
    </w:p>
    <w:p>
      <w:pPr>
        <w:spacing w:after="60"/>
        <w:ind w:left="360" w:hanging="360"/>
        <w:jc w:val="both"/>
      </w:pPr>
      <w:r>
        <w:rPr>
          <w:rFonts w:ascii="Times New Roman" w:hAnsi="Times New Roman"/>
          <w:sz w:val="17"/>
        </w:rPr>
        <w:t>[13] O. Khattab dan M. Zaharia, 'ColBERT: Efficient and Effective Passage Search via Contextualized Late Interaction over BERT,' dalam Proc. 43rd Int. ACM SIGIR Conf. Res. Devel. Inf. Retrieval, hlm. 39–48, 2020.</w:t>
      </w:r>
    </w:p>
    <w:p>
      <w:pPr>
        <w:spacing w:after="60"/>
        <w:ind w:left="360" w:hanging="360"/>
        <w:jc w:val="both"/>
      </w:pPr>
      <w:r>
        <w:rPr>
          <w:rFonts w:ascii="Times New Roman" w:hAnsi="Times New Roman"/>
          <w:sz w:val="17"/>
        </w:rPr>
        <w:t>[14] H. Liu, C. Li, Q. Wu, dan Y. J. Lee, 'Visual Instruction Tuning,' dalam Advances in Neural Information Processing Systems (NeurIPS), vol. 36, hlm. 34892–34916, 2023.</w:t>
      </w:r>
    </w:p>
    <w:p>
      <w:pPr>
        <w:spacing w:after="60"/>
        <w:ind w:left="360" w:hanging="360"/>
        <w:jc w:val="both"/>
      </w:pPr>
      <w:r>
        <w:rPr>
          <w:rFonts w:ascii="Times New Roman" w:hAnsi="Times New Roman"/>
          <w:sz w:val="17"/>
        </w:rPr>
        <w:t>[15] A. Asai, Z. Wu, Y. Wang, A. Sil, dan H. Hajishirzi, 'Self-RAG: Learning to Retrieve, Generate, and Critique through Self-Reflection,' arXiv preprint arXiv:2310.11511, 2023.</w:t>
      </w:r>
    </w:p>
    <w:p>
      <w:pPr>
        <w:spacing w:after="60"/>
        <w:ind w:left="360" w:hanging="360"/>
        <w:jc w:val="both"/>
      </w:pPr>
      <w:r>
        <w:rPr>
          <w:rFonts w:ascii="Times New Roman" w:hAnsi="Times New Roman"/>
          <w:sz w:val="17"/>
        </w:rPr>
        <w:t>[16] S. Yan, J. Gu, Y. Zhu, dan Z. Ling, 'Corrective Retrieval Augmented Generation,' arXiv preprint arXiv:2401.15884, 2024.</w:t>
      </w:r>
    </w:p>
    <w:p>
      <w:pPr>
        <w:spacing w:after="60"/>
        <w:ind w:left="360" w:hanging="360"/>
        <w:jc w:val="both"/>
      </w:pPr>
      <w:r>
        <w:rPr>
          <w:rFonts w:ascii="Times New Roman" w:hAnsi="Times New Roman"/>
          <w:sz w:val="17"/>
        </w:rPr>
        <w:t>[17] S. Min, K. Krishna, X. Lyu, M. Lewis, W. Yih, P. W. Koh, M. Iyyer, L. Zettlemoyer, dan H. Hajishirzi, 'FActScore: Fine-grained Atomic Evaluation of Factual Precision in Long Form Text Generation,' dalam Proc. Conf. Empirical Methods Natural Language Processing (EMNLP), hlm. 12076–12100, 2023.</w:t>
      </w:r>
    </w:p>
    <w:p>
      <w:pPr>
        <w:spacing w:after="60"/>
        <w:ind w:left="360" w:hanging="360"/>
        <w:jc w:val="both"/>
      </w:pPr>
      <w:r>
        <w:rPr>
          <w:rFonts w:ascii="Times New Roman" w:hAnsi="Times New Roman"/>
          <w:sz w:val="17"/>
        </w:rPr>
        <w:t>[18] J. Thorne, A. Vlachos, C. Christodoulopoulos, dan A. Mittal, 'FEVER: a Large-scale Dataset for Fact Extraction and VERification,' dalam Proc. Conf. North American Chapter Assoc. Comput. Linguistics: Human Lang. Technol. (NAACL-HLT), hlm. 809–819, 2018.</w:t>
      </w:r>
    </w:p>
    <w:p>
      <w:pPr>
        <w:spacing w:after="60"/>
        <w:ind w:left="360" w:hanging="360"/>
        <w:jc w:val="both"/>
      </w:pPr>
      <w:r>
        <w:rPr>
          <w:rFonts w:ascii="Times New Roman" w:hAnsi="Times New Roman"/>
          <w:sz w:val="17"/>
        </w:rPr>
        <w:t>[19] S. Barnett, S. Kurniawan, S. Thudumu, Z. Brannelly, dan M. Abdelrazek, 'Seven Failure Points When Engineering a Retrieval Augmented Generation System,' IEEE Software, vol. 41, no. 4, hlm. 59–68, 2024.</w:t>
      </w:r>
    </w:p>
    <w:p>
      <w:pPr>
        <w:spacing w:after="60"/>
        <w:ind w:left="360" w:hanging="360"/>
        <w:jc w:val="both"/>
      </w:pPr>
      <w:r>
        <w:rPr>
          <w:rFonts w:ascii="Times New Roman" w:hAnsi="Times New Roman"/>
          <w:sz w:val="17"/>
        </w:rPr>
        <w:t>[20] K. Shuster, S. Poff, M. Chen, D. Kiela, dan J. Weston, 'Retrieval Augmentation Reduces Hallucination in Conversation,' dalam Findings of the Association for Computational Linguistics: EMNLP 2021, hlm. 3784–3803, 2021.</w:t>
      </w:r>
    </w:p>
    <w:p>
      <w:pPr>
        <w:spacing w:after="60"/>
        <w:ind w:left="360" w:hanging="360"/>
        <w:jc w:val="both"/>
      </w:pPr>
      <w:r>
        <w:rPr>
          <w:rFonts w:ascii="Times New Roman" w:hAnsi="Times New Roman"/>
          <w:sz w:val="17"/>
        </w:rPr>
        <w:t>[21] K. Guu, K. Lee, Z. Tung, P. Pasupat, dan M. Chang, 'REALM: Retrieval-Augmented Language Model Pre-Training,' dalam Int. Conf. Machine Learning (ICML), hlm. 3929–3938, 2020.</w:t>
      </w:r>
    </w:p>
    <w:p>
      <w:pPr>
        <w:spacing w:after="60"/>
        <w:ind w:left="360" w:hanging="360"/>
        <w:jc w:val="both"/>
      </w:pPr>
      <w:r>
        <w:rPr>
          <w:rFonts w:ascii="Times New Roman" w:hAnsi="Times New Roman"/>
          <w:sz w:val="17"/>
        </w:rPr>
        <w:t>[22] S. Borgeaud, A. Mensch, J. Hoffmann, T. Cai, E. Rutherford, K. Millican, G. van den Driessche, J. Lespiau, B. Damoc, A. Clark, dkk., 'Improving Language Models by Retrieving from Trillions of Tokens,' dalam Int. Conf. Machine Learning (ICML), hlm. 2206–2240, 2022.</w:t>
      </w:r>
    </w:p>
    <w:p>
      <w:pPr>
        <w:spacing w:after="60"/>
        <w:ind w:left="360" w:hanging="360"/>
        <w:jc w:val="both"/>
      </w:pPr>
      <w:r>
        <w:rPr>
          <w:rFonts w:ascii="Times New Roman" w:hAnsi="Times New Roman"/>
          <w:sz w:val="17"/>
        </w:rPr>
        <w:t>[23] Y. Zhang, Y. Li, L. Cui, D. Cai, L. Liu, T. Fu, X. Huang, E. Zhao, Y. Zhang, Y. Chen, L. Wang, A. T. Luu, W. Bi, F. Shi, dan S. Shi, 'Siren's Song in the AI Ocean: A Survey on Hallucination in Large Language Models,' arXiv preprint arXiv:2309.01219, 2023.</w:t>
      </w:r>
    </w:p>
    <w:p>
      <w:pPr>
        <w:spacing w:after="60"/>
        <w:ind w:left="360" w:hanging="360"/>
        <w:jc w:val="both"/>
      </w:pPr>
      <w:r>
        <w:rPr>
          <w:rFonts w:ascii="Times New Roman" w:hAnsi="Times New Roman"/>
          <w:sz w:val="17"/>
        </w:rPr>
        <w:t>[24] G. Izacard, P. Lewis, M. Lomeli, L. Hosseini, F. Petroni, T. Schick, J. Dwivedi-Yu, A. Joulin, S. Riedel, dan E. Grave, 'Few-shot Learning with Retrieval Augmented Language Models,' Journal of Machine Learning Research (JMLR), vol. 24, no. 251, hlm. 1–43, 2023.</w:t>
      </w:r>
    </w:p>
    <w:p>
      <w:pPr>
        <w:spacing w:after="60"/>
        <w:ind w:left="360" w:hanging="360"/>
        <w:jc w:val="both"/>
      </w:pPr>
      <w:r>
        <w:rPr>
          <w:rFonts w:ascii="Times New Roman" w:hAnsi="Times New Roman"/>
          <w:sz w:val="17"/>
        </w:rPr>
        <w:t>[25] L. Xiong, C. Xiong, Y. Li, K. Tang, J. Liu, P. Bennett, J. Ahmed, dan A. Overwijk, 'Approximate Nearest Neighbor Negative Contrastive Learning for Dense Text Retrieval,' dalam Int. Conf. Learning Representations (ICLR), 2021.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