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40" w:line="276" w:lineRule="auto"/>
        <w:jc w:val="center"/>
      </w:pPr>
      <w:r>
        <w:rPr>
          <w:rFonts w:ascii="Times New Roman" w:hAnsi="Times New Roman"/>
          <w:b/>
          <w:color w:val="000000"/>
          <w:sz w:val="28"/>
        </w:rPr>
        <w:t>BAB III</w:t>
      </w:r>
    </w:p>
    <w:p>
      <w:pPr>
        <w:spacing w:before="360" w:after="240" w:line="276" w:lineRule="auto"/>
        <w:jc w:val="center"/>
      </w:pPr>
      <w:r>
        <w:rPr>
          <w:rFonts w:ascii="Times New Roman" w:hAnsi="Times New Roman"/>
          <w:b/>
          <w:color w:val="000000"/>
          <w:sz w:val="28"/>
        </w:rPr>
        <w:t>METODOLOGI PENELITIAN DAN PERANCANGAN SISTEM</w:t>
      </w:r>
    </w:p>
    <w:p>
      <w:pPr>
        <w:spacing w:before="280" w:after="80" w:line="276" w:lineRule="auto"/>
        <w:jc w:val="left"/>
      </w:pPr>
      <w:r>
        <w:rPr>
          <w:rFonts w:ascii="Times New Roman" w:hAnsi="Times New Roman"/>
          <w:b/>
          <w:color w:val="000000"/>
          <w:sz w:val="24"/>
        </w:rPr>
        <w:t>3.1 Alur Metodologi Penelitian</w:t>
      </w:r>
    </w:p>
    <w:p>
      <w:pPr>
        <w:spacing w:before="0" w:after="120" w:line="360" w:lineRule="auto"/>
        <w:jc w:val="both"/>
      </w:pPr>
      <w:r>
        <w:rPr>
          <w:rFonts w:ascii="Times New Roman" w:hAnsi="Times New Roman"/>
          <w:b w:val="0"/>
          <w:i w:val="0"/>
          <w:sz w:val="24"/>
        </w:rPr>
        <w:t>Penelitian ini dilaksanakan dengan mengikuti metodologi rekayasa perangkat lunak dan penelitian eksperimental terstruktur yang dirancang untuk menjamin validitas ilmiah serta keandalan sistem. Tahapan metodologi penelitian dipetakan ke dalam enam fase utama sebagaimana ditunjukkan pada Gambar 3.1:</w:t>
      </w:r>
    </w:p>
    <w:tbl>
      <w:tblPr>
        <w:tblW w:type="auto" w:w="0"/>
        <w:jc w:val="center"/>
        <w:tblLayout w:type="autofit"/>
        <w:tblLook w:firstColumn="1" w:firstRow="1" w:lastColumn="0" w:lastRow="0" w:noHBand="0" w:noVBand="1" w:val="04A0"/>
        <w:tblBorders>
          <w:top w:val="single" w:sz="12" w:space="0" w:color="000000"/>
          <w:bottom w:val="single" w:sz="12" w:space="0" w:color="000000"/>
          <w:insideH w:val="single" w:sz="4" w:space="0" w:color="D3D3D3"/>
          <w:left w:val="none"/>
          <w:right w:val="none"/>
          <w:insideV w:val="none"/>
        </w:tblBorders>
      </w:tblPr>
      <w:tblGrid>
        <w:gridCol w:w="2646"/>
        <w:gridCol w:w="2646"/>
        <w:gridCol w:w="2646"/>
      </w:tblGrid>
      <w:tr>
        <w:tc>
          <w:tcPr>
            <w:tcW w:type="dxa" w:w="2646"/>
            <w:tcMar>
              <w:top w:w="100" w:type="dxa"/>
              <w:bottom w:w="100" w:type="dxa"/>
              <w:left w:w="120" w:type="dxa"/>
              <w:right w:w="120" w:type="dxa"/>
            </w:tcMar>
            <w:shd w:fill="F0F4F8"/>
          </w:tcPr>
          <w:p>
            <w:pPr>
              <w:spacing w:before="0" w:after="0" w:line="240" w:lineRule="auto"/>
              <w:jc w:val="center"/>
            </w:pPr>
            <w:r>
              <w:rPr>
                <w:rFonts w:ascii="Times New Roman" w:hAnsi="Times New Roman"/>
                <w:b/>
                <w:color w:val="002060"/>
                <w:sz w:val="20"/>
              </w:rPr>
              <w:t>Fase</w:t>
            </w:r>
          </w:p>
        </w:tc>
        <w:tc>
          <w:tcPr>
            <w:tcW w:type="dxa" w:w="2646"/>
            <w:tcMar>
              <w:top w:w="100" w:type="dxa"/>
              <w:bottom w:w="100" w:type="dxa"/>
              <w:left w:w="120" w:type="dxa"/>
              <w:right w:w="120" w:type="dxa"/>
            </w:tcMar>
            <w:shd w:fill="F0F4F8"/>
          </w:tcPr>
          <w:p>
            <w:pPr>
              <w:spacing w:before="0" w:after="0" w:line="240" w:lineRule="auto"/>
              <w:jc w:val="center"/>
            </w:pPr>
            <w:r>
              <w:rPr>
                <w:rFonts w:ascii="Times New Roman" w:hAnsi="Times New Roman"/>
                <w:b/>
                <w:color w:val="002060"/>
                <w:sz w:val="20"/>
              </w:rPr>
              <w:t>Tahapan Metodologi</w:t>
            </w:r>
          </w:p>
        </w:tc>
        <w:tc>
          <w:tcPr>
            <w:tcW w:type="dxa" w:w="2646"/>
            <w:tcMar>
              <w:top w:w="100" w:type="dxa"/>
              <w:bottom w:w="100" w:type="dxa"/>
              <w:left w:w="120" w:type="dxa"/>
              <w:right w:w="120" w:type="dxa"/>
            </w:tcMar>
            <w:shd w:fill="F0F4F8"/>
          </w:tcPr>
          <w:p>
            <w:pPr>
              <w:spacing w:before="0" w:after="0" w:line="240" w:lineRule="auto"/>
              <w:jc w:val="center"/>
            </w:pPr>
            <w:r>
              <w:rPr>
                <w:rFonts w:ascii="Times New Roman" w:hAnsi="Times New Roman"/>
                <w:b/>
                <w:color w:val="002060"/>
                <w:sz w:val="20"/>
              </w:rPr>
              <w:t>Aktivitas Kunci &amp; Luaran</w:t>
            </w:r>
          </w:p>
        </w:tc>
      </w:tr>
      <w:tr>
        <w:tc>
          <w:tcPr>
            <w:tcW w:type="dxa" w:w="2646"/>
            <w:tcMar>
              <w:top w:w="80" w:type="dxa"/>
              <w:bottom w:w="80" w:type="dxa"/>
              <w:left w:w="100" w:type="dxa"/>
              <w:right w:w="100" w:type="dxa"/>
            </w:tcMar>
            <w:shd w:fill="FFFFFF"/>
          </w:tcPr>
          <w:p>
            <w:pPr>
              <w:spacing w:before="0" w:after="0" w:line="276" w:lineRule="auto"/>
              <w:jc w:val="center"/>
            </w:pPr>
            <w:r>
              <w:rPr>
                <w:rFonts w:ascii="Times New Roman" w:hAnsi="Times New Roman"/>
                <w:sz w:val="19"/>
              </w:rPr>
              <w:t>Fase 1</w:t>
            </w:r>
          </w:p>
        </w:tc>
        <w:tc>
          <w:tcPr>
            <w:tcW w:type="dxa" w:w="2646"/>
            <w:tcMar>
              <w:top w:w="80" w:type="dxa"/>
              <w:bottom w:w="80" w:type="dxa"/>
              <w:left w:w="100" w:type="dxa"/>
              <w:right w:w="100" w:type="dxa"/>
            </w:tcMar>
            <w:shd w:fill="FFFFFF"/>
          </w:tcPr>
          <w:p>
            <w:pPr>
              <w:spacing w:before="0" w:after="0" w:line="276" w:lineRule="auto"/>
              <w:jc w:val="left"/>
            </w:pPr>
            <w:r>
              <w:rPr>
                <w:rFonts w:ascii="Times New Roman" w:hAnsi="Times New Roman"/>
                <w:sz w:val="19"/>
              </w:rPr>
              <w:t>Identifikasi Masalah &amp; Studi Literatur</w:t>
            </w:r>
          </w:p>
        </w:tc>
        <w:tc>
          <w:tcPr>
            <w:tcW w:type="dxa" w:w="2646"/>
            <w:tcMar>
              <w:top w:w="80" w:type="dxa"/>
              <w:bottom w:w="80" w:type="dxa"/>
              <w:left w:w="100" w:type="dxa"/>
              <w:right w:w="100" w:type="dxa"/>
            </w:tcMar>
            <w:shd w:fill="FFFFFF"/>
          </w:tcPr>
          <w:p>
            <w:pPr>
              <w:spacing w:before="0" w:after="0" w:line="276" w:lineRule="auto"/>
              <w:jc w:val="left"/>
            </w:pPr>
            <w:r>
              <w:rPr>
                <w:rFonts w:ascii="Times New Roman" w:hAnsi="Times New Roman"/>
                <w:sz w:val="19"/>
              </w:rPr>
              <w:t>Menelaah kelemahan konsultasi akademik, risiko halusinasi RAG tahap tunggal, dan teori RAG Triad.</w:t>
            </w:r>
          </w:p>
        </w:tc>
      </w:tr>
      <w:tr>
        <w:tc>
          <w:tcPr>
            <w:tcW w:type="dxa" w:w="2646"/>
            <w:tcMar>
              <w:top w:w="80" w:type="dxa"/>
              <w:bottom w:w="80" w:type="dxa"/>
              <w:left w:w="100" w:type="dxa"/>
              <w:right w:w="100" w:type="dxa"/>
            </w:tcMar>
            <w:shd w:fill="FBFBFC"/>
          </w:tcPr>
          <w:p>
            <w:pPr>
              <w:spacing w:before="0" w:after="0" w:line="276" w:lineRule="auto"/>
              <w:jc w:val="center"/>
            </w:pPr>
            <w:r>
              <w:rPr>
                <w:rFonts w:ascii="Times New Roman" w:hAnsi="Times New Roman"/>
                <w:sz w:val="19"/>
              </w:rPr>
              <w:t>Fase 2</w:t>
            </w:r>
          </w:p>
        </w:tc>
        <w:tc>
          <w:tcPr>
            <w:tcW w:type="dxa" w:w="2646"/>
            <w:tcMar>
              <w:top w:w="80" w:type="dxa"/>
              <w:bottom w:w="80" w:type="dxa"/>
              <w:left w:w="100" w:type="dxa"/>
              <w:right w:w="100" w:type="dxa"/>
            </w:tcMar>
            <w:shd w:fill="FBFBFC"/>
          </w:tcPr>
          <w:p>
            <w:pPr>
              <w:spacing w:before="0" w:after="0" w:line="276" w:lineRule="auto"/>
              <w:jc w:val="left"/>
            </w:pPr>
            <w:r>
              <w:rPr>
                <w:rFonts w:ascii="Times New Roman" w:hAnsi="Times New Roman"/>
                <w:sz w:val="19"/>
              </w:rPr>
              <w:t>Akuisisi Korpus &amp; Semantic Chunking</w:t>
            </w:r>
          </w:p>
        </w:tc>
        <w:tc>
          <w:tcPr>
            <w:tcW w:type="dxa" w:w="2646"/>
            <w:tcMar>
              <w:top w:w="80" w:type="dxa"/>
              <w:bottom w:w="80" w:type="dxa"/>
              <w:left w:w="100" w:type="dxa"/>
              <w:right w:w="100" w:type="dxa"/>
            </w:tcMar>
            <w:shd w:fill="FBFBFC"/>
          </w:tcPr>
          <w:p>
            <w:pPr>
              <w:spacing w:before="0" w:after="0" w:line="276" w:lineRule="auto"/>
              <w:jc w:val="left"/>
            </w:pPr>
            <w:r>
              <w:rPr>
                <w:rFonts w:ascii="Times New Roman" w:hAnsi="Times New Roman"/>
                <w:sz w:val="19"/>
              </w:rPr>
              <w:t>Pengumpulan dokumen resmi FTI UII (Pedoman UII, Skripsi FTI), kurasi, dan segmentasi 500-800 token.</w:t>
            </w:r>
          </w:p>
        </w:tc>
      </w:tr>
      <w:tr>
        <w:tc>
          <w:tcPr>
            <w:tcW w:type="dxa" w:w="2646"/>
            <w:tcMar>
              <w:top w:w="80" w:type="dxa"/>
              <w:bottom w:w="80" w:type="dxa"/>
              <w:left w:w="100" w:type="dxa"/>
              <w:right w:w="100" w:type="dxa"/>
            </w:tcMar>
            <w:shd w:fill="FFFFFF"/>
          </w:tcPr>
          <w:p>
            <w:pPr>
              <w:spacing w:before="0" w:after="0" w:line="276" w:lineRule="auto"/>
              <w:jc w:val="center"/>
            </w:pPr>
            <w:r>
              <w:rPr>
                <w:rFonts w:ascii="Times New Roman" w:hAnsi="Times New Roman"/>
                <w:sz w:val="19"/>
              </w:rPr>
              <w:t>Fase 3</w:t>
            </w:r>
          </w:p>
        </w:tc>
        <w:tc>
          <w:tcPr>
            <w:tcW w:type="dxa" w:w="2646"/>
            <w:tcMar>
              <w:top w:w="80" w:type="dxa"/>
              <w:bottom w:w="80" w:type="dxa"/>
              <w:left w:w="100" w:type="dxa"/>
              <w:right w:w="100" w:type="dxa"/>
            </w:tcMar>
            <w:shd w:fill="FFFFFF"/>
          </w:tcPr>
          <w:p>
            <w:pPr>
              <w:spacing w:before="0" w:after="0" w:line="276" w:lineRule="auto"/>
              <w:jc w:val="left"/>
            </w:pPr>
            <w:r>
              <w:rPr>
                <w:rFonts w:ascii="Times New Roman" w:hAnsi="Times New Roman"/>
                <w:sz w:val="19"/>
              </w:rPr>
              <w:t>Perancangan Arsitektur Pure-Go Two-Stage RAG</w:t>
            </w:r>
          </w:p>
        </w:tc>
        <w:tc>
          <w:tcPr>
            <w:tcW w:type="dxa" w:w="2646"/>
            <w:tcMar>
              <w:top w:w="80" w:type="dxa"/>
              <w:bottom w:w="80" w:type="dxa"/>
              <w:left w:w="100" w:type="dxa"/>
              <w:right w:w="100" w:type="dxa"/>
            </w:tcMar>
            <w:shd w:fill="FFFFFF"/>
          </w:tcPr>
          <w:p>
            <w:pPr>
              <w:spacing w:before="0" w:after="0" w:line="276" w:lineRule="auto"/>
              <w:jc w:val="left"/>
            </w:pPr>
            <w:r>
              <w:rPr>
                <w:rFonts w:ascii="Times New Roman" w:hAnsi="Times New Roman"/>
                <w:sz w:val="19"/>
              </w:rPr>
              <w:t>Konstruksi orkestrator Go native, Dense ANN (Top-20), Neural Reranker (Top-8), dan In-Memory Parser KHS/KRS.</w:t>
            </w:r>
          </w:p>
        </w:tc>
      </w:tr>
      <w:tr>
        <w:tc>
          <w:tcPr>
            <w:tcW w:type="dxa" w:w="2646"/>
            <w:tcMar>
              <w:top w:w="80" w:type="dxa"/>
              <w:bottom w:w="80" w:type="dxa"/>
              <w:left w:w="100" w:type="dxa"/>
              <w:right w:w="100" w:type="dxa"/>
            </w:tcMar>
            <w:shd w:fill="FBFBFC"/>
          </w:tcPr>
          <w:p>
            <w:pPr>
              <w:spacing w:before="0" w:after="0" w:line="276" w:lineRule="auto"/>
              <w:jc w:val="center"/>
            </w:pPr>
            <w:r>
              <w:rPr>
                <w:rFonts w:ascii="Times New Roman" w:hAnsi="Times New Roman"/>
                <w:sz w:val="19"/>
              </w:rPr>
              <w:t>Fase 4</w:t>
            </w:r>
          </w:p>
        </w:tc>
        <w:tc>
          <w:tcPr>
            <w:tcW w:type="dxa" w:w="2646"/>
            <w:tcMar>
              <w:top w:w="80" w:type="dxa"/>
              <w:bottom w:w="80" w:type="dxa"/>
              <w:left w:w="100" w:type="dxa"/>
              <w:right w:w="100" w:type="dxa"/>
            </w:tcMar>
            <w:shd w:fill="FBFBFC"/>
          </w:tcPr>
          <w:p>
            <w:pPr>
              <w:spacing w:before="0" w:after="0" w:line="276" w:lineRule="auto"/>
              <w:jc w:val="left"/>
            </w:pPr>
            <w:r>
              <w:rPr>
                <w:rFonts w:ascii="Times New Roman" w:hAnsi="Times New Roman"/>
                <w:sz w:val="19"/>
              </w:rPr>
              <w:t>Pengembangan Benchmark UII-Bench-50 &amp; Judge</w:t>
            </w:r>
          </w:p>
        </w:tc>
        <w:tc>
          <w:tcPr>
            <w:tcW w:type="dxa" w:w="2646"/>
            <w:tcMar>
              <w:top w:w="80" w:type="dxa"/>
              <w:bottom w:w="80" w:type="dxa"/>
              <w:left w:w="100" w:type="dxa"/>
              <w:right w:w="100" w:type="dxa"/>
            </w:tcMar>
            <w:shd w:fill="FBFBFC"/>
          </w:tcPr>
          <w:p>
            <w:pPr>
              <w:spacing w:before="0" w:after="0" w:line="276" w:lineRule="auto"/>
              <w:jc w:val="left"/>
            </w:pPr>
            <w:r>
              <w:rPr>
                <w:rFonts w:ascii="Times New Roman" w:hAnsi="Times New Roman"/>
                <w:sz w:val="19"/>
              </w:rPr>
              <w:t>Pembuatan dataset 50 skenario (5 klaster) dan penguji otomatis LLM-as-Judge (cmd/bench).</w:t>
            </w:r>
          </w:p>
        </w:tc>
      </w:tr>
      <w:tr>
        <w:tc>
          <w:tcPr>
            <w:tcW w:type="dxa" w:w="2646"/>
            <w:tcMar>
              <w:top w:w="80" w:type="dxa"/>
              <w:bottom w:w="80" w:type="dxa"/>
              <w:left w:w="100" w:type="dxa"/>
              <w:right w:w="100" w:type="dxa"/>
            </w:tcMar>
            <w:shd w:fill="FFFFFF"/>
          </w:tcPr>
          <w:p>
            <w:pPr>
              <w:spacing w:before="0" w:after="0" w:line="276" w:lineRule="auto"/>
              <w:jc w:val="center"/>
            </w:pPr>
            <w:r>
              <w:rPr>
                <w:rFonts w:ascii="Times New Roman" w:hAnsi="Times New Roman"/>
                <w:sz w:val="19"/>
              </w:rPr>
              <w:t>Fase 5</w:t>
            </w:r>
          </w:p>
        </w:tc>
        <w:tc>
          <w:tcPr>
            <w:tcW w:type="dxa" w:w="2646"/>
            <w:tcMar>
              <w:top w:w="80" w:type="dxa"/>
              <w:bottom w:w="80" w:type="dxa"/>
              <w:left w:w="100" w:type="dxa"/>
              <w:right w:w="100" w:type="dxa"/>
            </w:tcMar>
            <w:shd w:fill="FFFFFF"/>
          </w:tcPr>
          <w:p>
            <w:pPr>
              <w:spacing w:before="0" w:after="0" w:line="276" w:lineRule="auto"/>
              <w:jc w:val="left"/>
            </w:pPr>
            <w:r>
              <w:rPr>
                <w:rFonts w:ascii="Times New Roman" w:hAnsi="Times New Roman"/>
                <w:sz w:val="19"/>
              </w:rPr>
              <w:t>Pengujian Kuantitatif, Studi Ablasi &amp; Uji Kasus</w:t>
            </w:r>
          </w:p>
        </w:tc>
        <w:tc>
          <w:tcPr>
            <w:tcW w:type="dxa" w:w="2646"/>
            <w:tcMar>
              <w:top w:w="80" w:type="dxa"/>
              <w:bottom w:w="80" w:type="dxa"/>
              <w:left w:w="100" w:type="dxa"/>
              <w:right w:w="100" w:type="dxa"/>
            </w:tcMar>
            <w:shd w:fill="FFFFFF"/>
          </w:tcPr>
          <w:p>
            <w:pPr>
              <w:spacing w:before="0" w:after="0" w:line="276" w:lineRule="auto"/>
              <w:jc w:val="left"/>
            </w:pPr>
            <w:r>
              <w:rPr>
                <w:rFonts w:ascii="Times New Roman" w:hAnsi="Times New Roman"/>
                <w:sz w:val="19"/>
              </w:rPr>
              <w:t>Evaluasi 50 skenario, pengujian ablasi (+10.58%), profiling latensi komputasi, dan 15 studi kasus riil.</w:t>
            </w:r>
          </w:p>
        </w:tc>
      </w:tr>
      <w:tr>
        <w:tc>
          <w:tcPr>
            <w:tcW w:type="dxa" w:w="2646"/>
            <w:tcMar>
              <w:top w:w="80" w:type="dxa"/>
              <w:bottom w:w="80" w:type="dxa"/>
              <w:left w:w="100" w:type="dxa"/>
              <w:right w:w="100" w:type="dxa"/>
            </w:tcMar>
            <w:shd w:fill="FBFBFC"/>
          </w:tcPr>
          <w:p>
            <w:pPr>
              <w:spacing w:before="0" w:after="0" w:line="276" w:lineRule="auto"/>
              <w:jc w:val="center"/>
            </w:pPr>
            <w:r>
              <w:rPr>
                <w:rFonts w:ascii="Times New Roman" w:hAnsi="Times New Roman"/>
                <w:sz w:val="19"/>
              </w:rPr>
              <w:t>Fase 6</w:t>
            </w:r>
          </w:p>
        </w:tc>
        <w:tc>
          <w:tcPr>
            <w:tcW w:type="dxa" w:w="2646"/>
            <w:tcMar>
              <w:top w:w="80" w:type="dxa"/>
              <w:bottom w:w="80" w:type="dxa"/>
              <w:left w:w="100" w:type="dxa"/>
              <w:right w:w="100" w:type="dxa"/>
            </w:tcMar>
            <w:shd w:fill="FBFBFC"/>
          </w:tcPr>
          <w:p>
            <w:pPr>
              <w:spacing w:before="0" w:after="0" w:line="276" w:lineRule="auto"/>
              <w:jc w:val="left"/>
            </w:pPr>
            <w:r>
              <w:rPr>
                <w:rFonts w:ascii="Times New Roman" w:hAnsi="Times New Roman"/>
                <w:sz w:val="19"/>
              </w:rPr>
              <w:t>Analisis Pembahasan &amp; Kesimpulan</w:t>
            </w:r>
          </w:p>
        </w:tc>
        <w:tc>
          <w:tcPr>
            <w:tcW w:type="dxa" w:w="2646"/>
            <w:tcMar>
              <w:top w:w="80" w:type="dxa"/>
              <w:bottom w:w="80" w:type="dxa"/>
              <w:left w:w="100" w:type="dxa"/>
              <w:right w:w="100" w:type="dxa"/>
            </w:tcMar>
            <w:shd w:fill="FBFBFC"/>
          </w:tcPr>
          <w:p>
            <w:pPr>
              <w:spacing w:before="0" w:after="0" w:line="276" w:lineRule="auto"/>
              <w:jc w:val="center"/>
            </w:pPr>
            <w:r>
              <w:rPr>
                <w:rFonts w:ascii="Times New Roman" w:hAnsi="Times New Roman"/>
                <w:sz w:val="19"/>
              </w:rPr>
              <w:t>Sintesis hasil evaluasi RAG Triad, evaluasi kasus batas (edge cases), perumusan kesimpulan dan saran.</w:t>
            </w:r>
          </w:p>
        </w:tc>
      </w:tr>
    </w:tbl>
    <w:p>
      <w:pPr>
        <w:spacing w:after="120"/>
      </w:pPr>
    </w:p>
    <w:p>
      <w:pPr>
        <w:spacing w:before="0" w:after="120" w:line="360" w:lineRule="auto"/>
        <w:jc w:val="both"/>
      </w:pPr>
      <w:r>
        <w:rPr>
          <w:rFonts w:ascii="Times New Roman" w:hAnsi="Times New Roman"/>
          <w:i/>
          <w:sz w:val="24"/>
        </w:rPr>
        <w:t>Gambar 3.1 Alur Tahapan Metodologi Penelitian AURA Core</w:t>
      </w:r>
    </w:p>
    <w:p>
      <w:pPr>
        <w:spacing w:before="0" w:after="120" w:line="360" w:lineRule="auto"/>
        <w:jc w:val="both"/>
      </w:pPr>
      <w:r>
        <w:rPr>
          <w:rFonts w:ascii="Times New Roman" w:hAnsi="Times New Roman"/>
          <w:b w:val="0"/>
          <w:i w:val="0"/>
          <w:sz w:val="24"/>
        </w:rPr>
        <w:t>Secara terperinci, keenam fase tersebut mencakup:</w:t>
      </w:r>
    </w:p>
    <w:p>
      <w:pPr>
        <w:spacing w:before="0" w:after="120" w:line="360" w:lineRule="auto"/>
        <w:jc w:val="both"/>
      </w:pPr>
      <w:r>
        <w:rPr>
          <w:rFonts w:ascii="Times New Roman" w:hAnsi="Times New Roman"/>
          <w:b w:val="0"/>
          <w:i w:val="0"/>
          <w:sz w:val="24"/>
        </w:rPr>
        <w:t xml:space="preserve">1. </w:t>
      </w:r>
      <w:r>
        <w:rPr>
          <w:rFonts w:ascii="Times New Roman" w:hAnsi="Times New Roman"/>
          <w:b/>
          <w:sz w:val="24"/>
        </w:rPr>
        <w:t>Fase 1: Identifikasi Masalah dan Studi Literatur</w:t>
      </w:r>
      <w:r>
        <w:rPr>
          <w:rFonts w:ascii="Times New Roman" w:hAnsi="Times New Roman"/>
          <w:b w:val="0"/>
          <w:i w:val="0"/>
          <w:sz w:val="24"/>
        </w:rPr>
        <w:t>: Mengidentifikasi titik kritis kelemahan konsultasi akademik konvensional, risiko halusinasi RAG tahap tunggal, dan kelemahan runtime berbasis Python, serta menelaah teori terkait penelusuran vektor, reranking, dan evaluasi RAG Triad.</w:t>
      </w:r>
    </w:p>
    <w:p>
      <w:pPr>
        <w:spacing w:before="0" w:after="120" w:line="360" w:lineRule="auto"/>
        <w:jc w:val="both"/>
      </w:pPr>
      <w:r>
        <w:rPr>
          <w:rFonts w:ascii="Times New Roman" w:hAnsi="Times New Roman"/>
          <w:b w:val="0"/>
          <w:i w:val="0"/>
          <w:sz w:val="24"/>
        </w:rPr>
        <w:t>2. *</w:t>
      </w:r>
      <w:r>
        <w:rPr>
          <w:rFonts w:ascii="Times New Roman" w:hAnsi="Times New Roman"/>
          <w:i/>
          <w:sz w:val="24"/>
        </w:rPr>
        <w:t xml:space="preserve">Fase 2: Akuisisi Korpus dan </w:t>
      </w:r>
      <w:r>
        <w:rPr>
          <w:rFonts w:ascii="Times New Roman" w:hAnsi="Times New Roman"/>
          <w:b w:val="0"/>
          <w:i w:val="0"/>
          <w:sz w:val="24"/>
        </w:rPr>
        <w:t>Semantic Chunking***: Mengumpulkan dokumen regulasi resmi FTI UII yang masih berlaku, melakukan kurasi teks, pembersihan data, serta segmentasi semantik berbasis bab, pasal, dan ayat.</w:t>
      </w:r>
    </w:p>
    <w:p>
      <w:pPr>
        <w:spacing w:before="0" w:after="120" w:line="360" w:lineRule="auto"/>
        <w:jc w:val="both"/>
      </w:pPr>
      <w:r>
        <w:rPr>
          <w:rFonts w:ascii="Times New Roman" w:hAnsi="Times New Roman"/>
          <w:b w:val="0"/>
          <w:i w:val="0"/>
          <w:sz w:val="24"/>
        </w:rPr>
        <w:t xml:space="preserve">3. </w:t>
      </w:r>
      <w:r>
        <w:rPr>
          <w:rFonts w:ascii="Times New Roman" w:hAnsi="Times New Roman"/>
          <w:b/>
          <w:sz w:val="24"/>
        </w:rPr>
        <w:t>Fase 3: Perancangan dan Konstruksi Arsitektur Sistem</w:t>
      </w:r>
      <w:r>
        <w:rPr>
          <w:rFonts w:ascii="Times New Roman" w:hAnsi="Times New Roman"/>
          <w:b w:val="0"/>
          <w:i w:val="0"/>
          <w:sz w:val="24"/>
        </w:rPr>
        <w:t xml:space="preserve">: Membangun modul </w:t>
      </w:r>
      <w:r>
        <w:rPr>
          <w:rFonts w:ascii="Times New Roman" w:hAnsi="Times New Roman"/>
          <w:i/>
          <w:sz w:val="24"/>
        </w:rPr>
        <w:t>Pure-Go Native Orchestrator</w:t>
      </w:r>
      <w:r>
        <w:rPr>
          <w:rFonts w:ascii="Times New Roman" w:hAnsi="Times New Roman"/>
          <w:b w:val="0"/>
          <w:i w:val="0"/>
          <w:sz w:val="24"/>
        </w:rPr>
        <w:t xml:space="preserve">, mengintegrasikan </w:t>
      </w:r>
      <w:r>
        <w:rPr>
          <w:rFonts w:ascii="Times New Roman" w:hAnsi="Times New Roman"/>
          <w:i/>
          <w:sz w:val="24"/>
        </w:rPr>
        <w:t>Dense Vector Retrieval</w:t>
      </w:r>
      <w:r>
        <w:rPr>
          <w:rFonts w:ascii="Times New Roman" w:hAnsi="Times New Roman"/>
          <w:b w:val="0"/>
          <w:i w:val="0"/>
          <w:sz w:val="24"/>
        </w:rPr>
        <w:t xml:space="preserve"> (Pinecone), </w:t>
      </w:r>
      <w:r>
        <w:rPr>
          <w:rFonts w:ascii="Times New Roman" w:hAnsi="Times New Roman"/>
          <w:i/>
          <w:sz w:val="24"/>
        </w:rPr>
        <w:t>Cross-Encoder Neural Reranking</w:t>
      </w:r>
      <w:r>
        <w:rPr>
          <w:rFonts w:ascii="Times New Roman" w:hAnsi="Times New Roman"/>
          <w:b w:val="0"/>
          <w:i w:val="0"/>
          <w:sz w:val="24"/>
        </w:rPr>
        <w:t xml:space="preserve"> (Cohere), </w:t>
      </w:r>
      <w:r>
        <w:rPr>
          <w:rFonts w:ascii="Times New Roman" w:hAnsi="Times New Roman"/>
          <w:i/>
          <w:sz w:val="24"/>
        </w:rPr>
        <w:t>In-Memory Privacy Parser</w:t>
      </w:r>
      <w:r>
        <w:rPr>
          <w:rFonts w:ascii="Times New Roman" w:hAnsi="Times New Roman"/>
          <w:b w:val="0"/>
          <w:i w:val="0"/>
          <w:sz w:val="24"/>
        </w:rPr>
        <w:t xml:space="preserve"> untuk dokumen KHS/KRS, serta </w:t>
      </w:r>
      <w:r>
        <w:rPr>
          <w:rFonts w:ascii="Times New Roman" w:hAnsi="Times New Roman"/>
          <w:i/>
          <w:sz w:val="24"/>
        </w:rPr>
        <w:t>Grounded Generation Engine</w:t>
      </w:r>
      <w:r>
        <w:rPr>
          <w:rFonts w:ascii="Times New Roman" w:hAnsi="Times New Roman"/>
          <w:b w:val="0"/>
          <w:i w:val="0"/>
          <w:sz w:val="24"/>
        </w:rPr>
        <w:t xml:space="preserve"> (DeepSeek).</w:t>
      </w:r>
    </w:p>
    <w:p>
      <w:pPr>
        <w:spacing w:before="0" w:after="120" w:line="360" w:lineRule="auto"/>
        <w:jc w:val="both"/>
      </w:pPr>
      <w:r>
        <w:rPr>
          <w:rFonts w:ascii="Times New Roman" w:hAnsi="Times New Roman"/>
          <w:b w:val="0"/>
          <w:i w:val="0"/>
          <w:sz w:val="24"/>
        </w:rPr>
        <w:t>4. *</w:t>
      </w:r>
      <w:r>
        <w:rPr>
          <w:rFonts w:ascii="Times New Roman" w:hAnsi="Times New Roman"/>
          <w:i/>
          <w:sz w:val="24"/>
        </w:rPr>
        <w:t>Fase 4: Perancangan Tolok Ukur Evaluasi (</w:t>
      </w:r>
      <w:r>
        <w:rPr>
          <w:rFonts w:ascii="Times New Roman" w:hAnsi="Times New Roman"/>
          <w:b w:val="0"/>
          <w:i w:val="0"/>
          <w:sz w:val="24"/>
        </w:rPr>
        <w:t>UII-Bench-50</w:t>
      </w:r>
      <w:r>
        <w:rPr>
          <w:rFonts w:ascii="Times New Roman" w:hAnsi="Times New Roman"/>
          <w:i/>
          <w:sz w:val="24"/>
        </w:rPr>
        <w:t>)</w:t>
      </w:r>
      <w:r>
        <w:rPr>
          <w:rFonts w:ascii="Times New Roman" w:hAnsi="Times New Roman"/>
          <w:i/>
          <w:sz w:val="24"/>
        </w:rPr>
        <w:t xml:space="preserve">: Menyusun 50 skenario uji representatif dalam 5 klaster regulasi, serta membangun modul penguji otomatis </w:t>
      </w:r>
      <w:r>
        <w:rPr>
          <w:rFonts w:ascii="Times New Roman" w:hAnsi="Times New Roman"/>
          <w:b w:val="0"/>
          <w:i w:val="0"/>
          <w:sz w:val="24"/>
        </w:rPr>
        <w:t>LLM-as-Judge* (`cmd/bench` dan `internal/benchmark`) berbasis pustaka standar Go.</w:t>
      </w:r>
    </w:p>
    <w:p>
      <w:pPr>
        <w:spacing w:before="0" w:after="120" w:line="360" w:lineRule="auto"/>
        <w:jc w:val="both"/>
      </w:pPr>
      <w:r>
        <w:rPr>
          <w:rFonts w:ascii="Times New Roman" w:hAnsi="Times New Roman"/>
          <w:b w:val="0"/>
          <w:i w:val="0"/>
          <w:sz w:val="24"/>
        </w:rPr>
        <w:t xml:space="preserve">5. </w:t>
      </w:r>
      <w:r>
        <w:rPr>
          <w:rFonts w:ascii="Times New Roman" w:hAnsi="Times New Roman"/>
          <w:b/>
          <w:sz w:val="24"/>
        </w:rPr>
        <w:t>Fase 5: Eksekusi Eksperimen dan Pengujian Empiris</w:t>
      </w:r>
      <w:r>
        <w:rPr>
          <w:rFonts w:ascii="Times New Roman" w:hAnsi="Times New Roman"/>
          <w:b w:val="0"/>
          <w:i w:val="0"/>
          <w:sz w:val="24"/>
        </w:rPr>
        <w:t>: Menjalankan evaluasi kuantitatif penuh terhadap 50 skenario uji, mengeksekusi studi ablasi komparatif (</w:t>
      </w:r>
      <w:r>
        <w:rPr>
          <w:rFonts w:ascii="Times New Roman" w:hAnsi="Times New Roman"/>
          <w:i/>
          <w:sz w:val="24"/>
        </w:rPr>
        <w:t>Single-Stage vs Two-Stage</w:t>
      </w:r>
      <w:r>
        <w:rPr>
          <w:rFonts w:ascii="Times New Roman" w:hAnsi="Times New Roman"/>
          <w:b w:val="0"/>
          <w:i w:val="0"/>
          <w:sz w:val="24"/>
        </w:rPr>
        <w:t>), mengukur profil latensi komputasi, serta menguji 15 studi kasus riil siklus hidup mahasiswa.</w:t>
      </w:r>
    </w:p>
    <w:p>
      <w:pPr>
        <w:spacing w:before="0" w:after="120" w:line="360" w:lineRule="auto"/>
        <w:jc w:val="both"/>
      </w:pPr>
      <w:r>
        <w:rPr>
          <w:rFonts w:ascii="Times New Roman" w:hAnsi="Times New Roman"/>
          <w:b w:val="0"/>
          <w:i w:val="0"/>
          <w:sz w:val="24"/>
        </w:rPr>
        <w:t xml:space="preserve">6. </w:t>
      </w:r>
      <w:r>
        <w:rPr>
          <w:rFonts w:ascii="Times New Roman" w:hAnsi="Times New Roman"/>
          <w:b/>
          <w:sz w:val="24"/>
        </w:rPr>
        <w:t>Fase 6: Analisis Hasil dan Penarikan Kesimpulan</w:t>
      </w:r>
      <w:r>
        <w:rPr>
          <w:rFonts w:ascii="Times New Roman" w:hAnsi="Times New Roman"/>
          <w:b w:val="0"/>
          <w:i w:val="0"/>
          <w:sz w:val="24"/>
        </w:rPr>
        <w:t>: Menganalisis metrik RAG Triad secara deskriptif dan statistik, mengkaji studi kasus batas (</w:t>
      </w:r>
      <w:r>
        <w:rPr>
          <w:rFonts w:ascii="Times New Roman" w:hAnsi="Times New Roman"/>
          <w:i/>
          <w:sz w:val="24"/>
        </w:rPr>
        <w:t>adversarial edge cases</w:t>
      </w:r>
      <w:r>
        <w:rPr>
          <w:rFonts w:ascii="Times New Roman" w:hAnsi="Times New Roman"/>
          <w:b w:val="0"/>
          <w:i w:val="0"/>
          <w:sz w:val="24"/>
        </w:rPr>
        <w:t>), serta merumuskan kesimpulan dan saran penelitian lanjutan.</w:t>
      </w:r>
    </w:p>
    <w:p>
      <w:pPr>
        <w:spacing w:before="280" w:after="80" w:line="276" w:lineRule="auto"/>
        <w:jc w:val="left"/>
      </w:pPr>
      <w:r>
        <w:rPr>
          <w:rFonts w:ascii="Times New Roman" w:hAnsi="Times New Roman"/>
          <w:b/>
          <w:color w:val="000000"/>
          <w:sz w:val="24"/>
        </w:rPr>
        <w:t>3.2 Akuisisi dan Prapemrosesan Korpus Regulasi FTI UII</w:t>
      </w:r>
    </w:p>
    <w:p>
      <w:pPr>
        <w:spacing w:before="200" w:after="40" w:line="276" w:lineRule="auto"/>
        <w:jc w:val="left"/>
      </w:pPr>
      <w:r>
        <w:rPr>
          <w:rFonts w:ascii="Times New Roman" w:hAnsi="Times New Roman"/>
          <w:b/>
          <w:i/>
          <w:color w:val="000000"/>
          <w:sz w:val="24"/>
        </w:rPr>
        <w:t>3.2.1 Sumber Korpus Otoritatif</w:t>
      </w:r>
    </w:p>
    <w:p>
      <w:pPr>
        <w:spacing w:before="0" w:after="120" w:line="360" w:lineRule="auto"/>
        <w:jc w:val="both"/>
      </w:pPr>
      <w:r>
        <w:rPr>
          <w:rFonts w:ascii="Times New Roman" w:hAnsi="Times New Roman"/>
          <w:b w:val="0"/>
          <w:i w:val="0"/>
          <w:sz w:val="24"/>
        </w:rPr>
        <w:t>Korpus pengetahuan institusional yang menjadi fondasi non-parametrik sistem AURA Core dikumpulkan secara resmi dari otoritas akademik Fakultas Teknologi Industri dan Universitas Islam Indonesia. Dokumen yang diakuisisi meliputi:</w:t>
      </w:r>
    </w:p>
    <w:p>
      <w:pPr>
        <w:spacing w:before="0" w:after="120" w:line="360" w:lineRule="auto"/>
        <w:jc w:val="both"/>
      </w:pPr>
      <w:r>
        <w:rPr>
          <w:rFonts w:ascii="Times New Roman" w:hAnsi="Times New Roman"/>
          <w:b w:val="0"/>
          <w:i w:val="0"/>
          <w:sz w:val="24"/>
        </w:rPr>
        <w:t xml:space="preserve">1. </w:t>
      </w:r>
      <w:r>
        <w:rPr>
          <w:rFonts w:ascii="Times New Roman" w:hAnsi="Times New Roman"/>
          <w:b/>
          <w:sz w:val="24"/>
        </w:rPr>
        <w:t>Buku Pedoman Akademik Universitas Islam Indonesia (Edisi 2024)</w:t>
      </w:r>
      <w:r>
        <w:rPr>
          <w:rFonts w:ascii="Times New Roman" w:hAnsi="Times New Roman"/>
          <w:b w:val="0"/>
          <w:i w:val="0"/>
          <w:sz w:val="24"/>
        </w:rPr>
        <w:t>: Terdiri dari 38 pasal yang mengatur hak/kewajiban mahasiswa, batas semester, penentuan beban SKS berbasis IPS, aturan cuti kuliah, hingga evaluasi batas masa studi semester 4 dan semester 8.</w:t>
      </w:r>
    </w:p>
    <w:p>
      <w:pPr>
        <w:spacing w:before="0" w:after="120" w:line="360" w:lineRule="auto"/>
        <w:jc w:val="both"/>
      </w:pPr>
      <w:r>
        <w:rPr>
          <w:rFonts w:ascii="Times New Roman" w:hAnsi="Times New Roman"/>
          <w:b w:val="0"/>
          <w:i w:val="0"/>
          <w:sz w:val="24"/>
        </w:rPr>
        <w:t xml:space="preserve">2. </w:t>
      </w:r>
      <w:r>
        <w:rPr>
          <w:rFonts w:ascii="Times New Roman" w:hAnsi="Times New Roman"/>
          <w:b/>
          <w:sz w:val="24"/>
        </w:rPr>
        <w:t>Buku Pedoman Pelaksanaan Tugas Akhir dan Skripsi FTI UII (Edisi 2024)</w:t>
      </w:r>
      <w:r>
        <w:rPr>
          <w:rFonts w:ascii="Times New Roman" w:hAnsi="Times New Roman"/>
          <w:b w:val="0"/>
          <w:i w:val="0"/>
          <w:sz w:val="24"/>
        </w:rPr>
        <w:t>: Terdiri dari 24 pasal yang mengatur prasyarat seminar proposal, syarat pembimbingan skripsi, masa berlaku SK pembimbing (1 semester dengan batas perpanjangan 1 semester), mekanisme seminar hasil, dan yudisium kelulusan.</w:t>
      </w:r>
    </w:p>
    <w:p>
      <w:pPr>
        <w:spacing w:before="0" w:after="120" w:line="360" w:lineRule="auto"/>
        <w:jc w:val="both"/>
      </w:pPr>
      <w:r>
        <w:rPr>
          <w:rFonts w:ascii="Times New Roman" w:hAnsi="Times New Roman"/>
          <w:b w:val="0"/>
          <w:i w:val="0"/>
          <w:sz w:val="24"/>
        </w:rPr>
        <w:t xml:space="preserve">3. </w:t>
      </w:r>
      <w:r>
        <w:rPr>
          <w:rFonts w:ascii="Times New Roman" w:hAnsi="Times New Roman"/>
          <w:b/>
          <w:sz w:val="24"/>
        </w:rPr>
        <w:t>Pedoman Beasiswa DPK dan DPPAI UII</w:t>
      </w:r>
      <w:r>
        <w:rPr>
          <w:rFonts w:ascii="Times New Roman" w:hAnsi="Times New Roman"/>
          <w:b w:val="0"/>
          <w:i w:val="0"/>
          <w:sz w:val="24"/>
        </w:rPr>
        <w:t>: Ketentuan bantuan dana kesejahteraan mahasiswa, verifikasi Surat Keterangan Tidak Mampu (SKTM), serta sertifikasi hafalan Al-Qur'an.</w:t>
      </w:r>
    </w:p>
    <w:p>
      <w:pPr>
        <w:spacing w:before="0" w:after="120" w:line="360" w:lineRule="auto"/>
        <w:jc w:val="both"/>
      </w:pPr>
      <w:r>
        <w:rPr>
          <w:rFonts w:ascii="Times New Roman" w:hAnsi="Times New Roman"/>
          <w:b w:val="0"/>
          <w:i w:val="0"/>
          <w:sz w:val="24"/>
        </w:rPr>
        <w:t xml:space="preserve">4. </w:t>
      </w:r>
      <w:r>
        <w:rPr>
          <w:rFonts w:ascii="Times New Roman" w:hAnsi="Times New Roman"/>
          <w:b/>
          <w:sz w:val="24"/>
        </w:rPr>
        <w:t>Pedoman Integritas Akademik dan Pencegahan Plagiarisme FTI UII</w:t>
      </w:r>
      <w:r>
        <w:rPr>
          <w:rFonts w:ascii="Times New Roman" w:hAnsi="Times New Roman"/>
          <w:b w:val="0"/>
          <w:i w:val="0"/>
          <w:sz w:val="24"/>
        </w:rPr>
        <w:t xml:space="preserve">: Aturan verifikasi orisinalitas naskah skripsi menggunakan </w:t>
      </w:r>
      <w:r>
        <w:rPr>
          <w:rFonts w:ascii="Times New Roman" w:hAnsi="Times New Roman"/>
          <w:i/>
          <w:sz w:val="24"/>
        </w:rPr>
        <w:t>Turnitin</w:t>
      </w:r>
      <w:r>
        <w:rPr>
          <w:rFonts w:ascii="Times New Roman" w:hAnsi="Times New Roman"/>
          <w:b w:val="0"/>
          <w:i w:val="0"/>
          <w:sz w:val="24"/>
        </w:rPr>
        <w:t xml:space="preserve"> dengan batas kemiripan maksimal 20% (dengan opsi </w:t>
      </w:r>
      <w:r>
        <w:rPr>
          <w:rFonts w:ascii="Times New Roman" w:hAnsi="Times New Roman"/>
          <w:i/>
          <w:sz w:val="24"/>
        </w:rPr>
        <w:t>exclude quotes</w:t>
      </w:r>
      <w:r>
        <w:rPr>
          <w:rFonts w:ascii="Times New Roman" w:hAnsi="Times New Roman"/>
          <w:b w:val="0"/>
          <w:i w:val="0"/>
          <w:sz w:val="24"/>
        </w:rPr>
        <w:t xml:space="preserve"> dan </w:t>
      </w:r>
      <w:r>
        <w:rPr>
          <w:rFonts w:ascii="Times New Roman" w:hAnsi="Times New Roman"/>
          <w:i/>
          <w:sz w:val="24"/>
        </w:rPr>
        <w:t>exclude bibliography</w:t>
      </w:r>
      <w:r>
        <w:rPr>
          <w:rFonts w:ascii="Times New Roman" w:hAnsi="Times New Roman"/>
          <w:b w:val="0"/>
          <w:i w:val="0"/>
          <w:sz w:val="24"/>
        </w:rPr>
        <w:t xml:space="preserve"> aktif).</w:t>
      </w:r>
    </w:p>
    <w:p>
      <w:pPr>
        <w:spacing w:before="200" w:after="40" w:line="276" w:lineRule="auto"/>
        <w:jc w:val="left"/>
      </w:pPr>
      <w:r>
        <w:rPr>
          <w:rFonts w:ascii="Times New Roman" w:hAnsi="Times New Roman"/>
          <w:b/>
          <w:i/>
          <w:color w:val="000000"/>
          <w:sz w:val="24"/>
        </w:rPr>
        <w:t>3.2.2 Strategi Segmentasi Dokumen (*Semantic Chunking*)</w:t>
      </w:r>
    </w:p>
    <w:p>
      <w:pPr>
        <w:spacing w:before="0" w:after="120" w:line="360" w:lineRule="auto"/>
        <w:jc w:val="both"/>
      </w:pPr>
      <w:r>
        <w:rPr>
          <w:rFonts w:ascii="Times New Roman" w:hAnsi="Times New Roman"/>
          <w:b w:val="0"/>
          <w:i w:val="0"/>
          <w:sz w:val="24"/>
        </w:rPr>
        <w:t>Pada dokumen hukum dan regulasi, strategi segmentasi teks berbasis panjang karakter acak (</w:t>
      </w:r>
      <w:r>
        <w:rPr>
          <w:rFonts w:ascii="Times New Roman" w:hAnsi="Times New Roman"/>
          <w:i/>
          <w:sz w:val="24"/>
        </w:rPr>
        <w:t>fixed-character chunking</w:t>
      </w:r>
      <w:r>
        <w:rPr>
          <w:rFonts w:ascii="Times New Roman" w:hAnsi="Times New Roman"/>
          <w:b w:val="0"/>
          <w:i w:val="0"/>
          <w:sz w:val="24"/>
        </w:rPr>
        <w:t xml:space="preserve">) sering kali memotong kalimat di tengah-tengah pasal, sehingga merusak konteks logis hukum. Oleh karena itu, penelitian ini menerapkan pendekatan </w:t>
      </w:r>
      <w:r>
        <w:rPr>
          <w:rFonts w:ascii="Times New Roman" w:hAnsi="Times New Roman"/>
          <w:i/>
          <w:sz w:val="24"/>
        </w:rPr>
        <w:t>Hierarchical Semantic Chunking</w:t>
      </w:r>
      <w:r>
        <w:rPr>
          <w:rFonts w:ascii="Times New Roman" w:hAnsi="Times New Roman"/>
          <w:b w:val="0"/>
          <w:i w:val="0"/>
          <w:sz w:val="24"/>
        </w:rPr>
        <w:t>:</w:t>
      </w:r>
    </w:p>
    <w:p>
      <w:pPr>
        <w:spacing w:before="0" w:after="120" w:line="360" w:lineRule="auto"/>
        <w:ind w:left="454"/>
        <w:jc w:val="both"/>
      </w:pPr>
      <w:r>
        <w:rPr>
          <w:rFonts w:ascii="Times New Roman" w:hAnsi="Times New Roman"/>
          <w:b/>
          <w:sz w:val="24"/>
        </w:rPr>
        <w:t xml:space="preserve">•  </w:t>
      </w:r>
      <w:r>
        <w:rPr>
          <w:rFonts w:ascii="Times New Roman" w:hAnsi="Times New Roman"/>
          <w:b/>
          <w:sz w:val="24"/>
        </w:rPr>
        <w:t>Rentang Ukuran Chunk</w:t>
      </w:r>
      <w:r>
        <w:rPr>
          <w:rFonts w:ascii="Times New Roman" w:hAnsi="Times New Roman"/>
          <w:b w:val="0"/>
          <w:i w:val="0"/>
          <w:sz w:val="24"/>
        </w:rPr>
        <w:t>: 500 hingga 800 token per segmen teks.</w:t>
      </w:r>
    </w:p>
    <w:p>
      <w:pPr>
        <w:spacing w:before="0" w:after="120" w:line="360" w:lineRule="auto"/>
        <w:ind w:left="454"/>
        <w:jc w:val="both"/>
      </w:pPr>
      <w:r>
        <w:rPr>
          <w:rFonts w:ascii="Times New Roman" w:hAnsi="Times New Roman"/>
          <w:b/>
          <w:sz w:val="24"/>
        </w:rPr>
        <w:t xml:space="preserve">•  </w:t>
      </w:r>
      <w:r>
        <w:rPr>
          <w:rFonts w:ascii="Times New Roman" w:hAnsi="Times New Roman"/>
          <w:b/>
          <w:sz w:val="24"/>
        </w:rPr>
        <w:t>Overlap Jendela Teks</w:t>
      </w:r>
      <w:r>
        <w:rPr>
          <w:rFonts w:ascii="Times New Roman" w:hAnsi="Times New Roman"/>
          <w:b w:val="0"/>
          <w:i w:val="0"/>
          <w:sz w:val="24"/>
        </w:rPr>
        <w:t>: 100 token antar-segmen yang berurutan guna menjaga kontinuitas semantik.</w:t>
      </w:r>
    </w:p>
    <w:p>
      <w:pPr>
        <w:spacing w:before="0" w:after="120" w:line="360" w:lineRule="auto"/>
        <w:ind w:left="454"/>
        <w:jc w:val="both"/>
      </w:pPr>
      <w:r>
        <w:rPr>
          <w:rFonts w:ascii="Times New Roman" w:hAnsi="Times New Roman"/>
          <w:b/>
          <w:sz w:val="24"/>
        </w:rPr>
        <w:t xml:space="preserve">•  </w:t>
      </w:r>
      <w:r>
        <w:rPr>
          <w:rFonts w:ascii="Times New Roman" w:hAnsi="Times New Roman"/>
          <w:b/>
          <w:sz w:val="24"/>
        </w:rPr>
        <w:t>Preservasi Metadata Kontekstual</w:t>
      </w:r>
      <w:r>
        <w:rPr>
          <w:rFonts w:ascii="Times New Roman" w:hAnsi="Times New Roman"/>
          <w:b w:val="0"/>
          <w:i w:val="0"/>
          <w:sz w:val="24"/>
        </w:rPr>
        <w:t>: Setiap potongan teks dilengkapi dengan injeksi metadata terstruktur pada tajuk segmen, yang memuat nama dokumen induk, nomor bab, judul bab, dan nomor pasal (misal: `[Dokumen: Pedoman Skripsi FTI 2024 | Bab II | Pasal 2: Prasyarat Seminar Proposal]`). Hal ini memastikan bahwa saat vektor teks diretrieve, model bahasa dapat mengetahui secara pasti nomor pasal rujukan.</w:t>
      </w:r>
    </w:p>
    <w:p>
      <w:pPr>
        <w:spacing w:before="0" w:after="120" w:line="360" w:lineRule="auto"/>
        <w:jc w:val="both"/>
      </w:pPr>
      <w:r>
        <w:rPr>
          <w:rFonts w:ascii="Times New Roman" w:hAnsi="Times New Roman"/>
          <w:b w:val="0"/>
          <w:i w:val="0"/>
          <w:sz w:val="24"/>
        </w:rPr>
        <w:t xml:space="preserve">Teks yang telah disegmentasi kemudian diproses menggunakan model Cohere `embed-multilingual-v3.0` untuk menghasilkan vektor 1024-dimensi dan disimpan ke dalam indeks Pinecone Serverless berorientasi ruang kemiripan </w:t>
      </w:r>
      <w:r>
        <w:rPr>
          <w:rFonts w:ascii="Times New Roman" w:hAnsi="Times New Roman"/>
          <w:i/>
          <w:sz w:val="24"/>
        </w:rPr>
        <w:t>Cosine</w:t>
      </w:r>
      <w:r>
        <w:rPr>
          <w:rFonts w:ascii="Times New Roman" w:hAnsi="Times New Roman"/>
          <w:b w:val="0"/>
          <w:i w:val="0"/>
          <w:sz w:val="24"/>
        </w:rPr>
        <w:t>.</w:t>
      </w:r>
    </w:p>
    <w:p>
      <w:pPr>
        <w:spacing w:before="280" w:after="80" w:line="276" w:lineRule="auto"/>
        <w:jc w:val="left"/>
      </w:pPr>
      <w:r>
        <w:rPr>
          <w:rFonts w:ascii="Times New Roman" w:hAnsi="Times New Roman"/>
          <w:b/>
          <w:color w:val="000000"/>
          <w:sz w:val="24"/>
        </w:rPr>
        <w:t>3.3 Perancangan Arsitektur Sistem AURA Core (*Pure-Go Native*)</w:t>
      </w:r>
    </w:p>
    <w:p>
      <w:pPr>
        <w:spacing w:before="0" w:after="120" w:line="360" w:lineRule="auto"/>
        <w:jc w:val="both"/>
      </w:pPr>
      <w:r>
        <w:rPr>
          <w:rFonts w:ascii="Times New Roman" w:hAnsi="Times New Roman"/>
          <w:b w:val="0"/>
          <w:i w:val="0"/>
          <w:sz w:val="24"/>
        </w:rPr>
        <w:t>Arsitektur AURA Core dirancang sebagai sistem monolitik modular berkinerja tinggi (</w:t>
      </w:r>
      <w:r>
        <w:rPr>
          <w:rFonts w:ascii="Times New Roman" w:hAnsi="Times New Roman"/>
          <w:i/>
          <w:sz w:val="24"/>
        </w:rPr>
        <w:t>high-performance modular monolith</w:t>
      </w:r>
      <w:r>
        <w:rPr>
          <w:rFonts w:ascii="Times New Roman" w:hAnsi="Times New Roman"/>
          <w:b w:val="0"/>
          <w:i w:val="0"/>
          <w:sz w:val="24"/>
        </w:rPr>
        <w:t>) menggunakan bahasa Go tanpa menggunakan kerangka kerja pihak ketiga seperti Gin atau Echo. Diagram arsitektur alur data ditunjukkan pada Gambar 3.2:</w:t>
      </w:r>
    </w:p>
    <w:tbl>
      <w:tblPr>
        <w:tblW w:type="auto" w:w="0"/>
        <w:jc w:val="center"/>
        <w:tblLook w:firstColumn="1" w:firstRow="1" w:lastColumn="0" w:lastRow="0" w:noHBand="0" w:noVBand="1" w:val="04A0"/>
      </w:tblPr>
      <w:tblGrid>
        <w:gridCol w:w="7937"/>
      </w:tblGrid>
      <w:tr>
        <w:tc>
          <w:tcPr>
            <w:tcW w:type="dxa" w:w="7937"/>
            <w:tcMar>
              <w:top w:w="120" w:type="dxa"/>
              <w:bottom w:w="120" w:type="dxa"/>
              <w:left w:w="160" w:type="dxa"/>
              <w:right w:w="160" w:type="dxa"/>
            </w:tcMar>
            <w:shd w:fill="F5F7FA"/>
            <w:tcBorders>
              <w:left w:val="single" w:sz="24" w:space="0" w:color="003366"/>
              <w:top w:val="none"/>
              <w:right w:val="none"/>
              <w:bottom w:val="none"/>
            </w:tcBorders>
          </w:tcPr>
          <w:p>
            <w:pPr>
              <w:spacing w:before="0" w:after="0" w:line="300" w:lineRule="auto"/>
              <w:jc w:val="both"/>
            </w:pPr>
            <w:r>
              <w:rPr>
                <w:rFonts w:ascii="Times New Roman" w:hAnsi="Times New Roman"/>
                <w:i/>
                <w:sz w:val="21"/>
              </w:rPr>
              <w:t>[ Klien Mahasiswa / Web Browser ]</w:t>
              <w:br/>
              <w:t>│  (HTTPS / WSS Request: Teks Kueri + Unggahan KHS/KRS)</w:t>
              <w:br/>
              <w:t>▼</w:t>
              <w:br/>
              <w:t>┌─────────────────────────────────────────────────────────────────────────────┐</w:t>
              <w:br/>
              <w:t>│                       AURA PURE-GO NATIVE GATEWAY                           │</w:t>
              <w:br/>
              <w:t>│  - HTTP Router (net/http stdlib)      - Gorilla WebSocket Multiplexer       │</w:t>
              <w:br/>
              <w:t>│  - Supabase Auth &amp; RLS Session Guard  - Strict In-Memory Concurrency Pool   │</w:t>
              <w:br/>
              <w:t>└─────────────────────────────────────┬───────────────────────────────────────┘</w:t>
              <w:br/>
              <w:t>│</w:t>
              <w:br/>
              <w:t>┌─────────────────────────────┴─────────────────────────────┐</w:t>
              <w:br/>
              <w:t>▼                                                           ▼</w:t>
              <w:br/>
              <w:t>┌───────────────────────────────┐           ┌─────────────────────────────────┐</w:t>
              <w:br/>
              <w:t>│     STAGE-1: DENSE ANN        │           │    ISOLASI PRIVASI MAHASISWA    │</w:t>
              <w:br/>
              <w:t>│       VECTOR RETRIEVAL        │           │     (In-Memory RAM Parser)      │</w:t>
              <w:br/>
              <w:t>│ - Embed query: 1024-dim       │           │ - Ekstraksi transkrip KHS/KRS   │</w:t>
              <w:br/>
              <w:t>│ - Top-20 candidates search    │           │ - Parsing IPK, IPS, SKS, Nilai  │</w:t>
              <w:br/>
              <w:t>│   pada Pinecone Serverless    │           │ - Data HANYA ada di RAM sesi    │</w:t>
              <w:br/>
              <w:t>│ - Waktu eksekusi: ~300-350 ms │           │ - ZERO PERSISTENCE ke Vector DB │</w:t>
              <w:br/>
              <w:t>└───────────────┬───────────────┘           └────────────────┬────────────────┘</w:t>
              <w:br/>
              <w:t>│ (20 Kandidat Pasal)                        │</w:t>
              <w:br/>
              <w:t>▼                                            │</w:t>
              <w:br/>
              <w:t>┌───────────────────────────────┐                            │</w:t>
              <w:br/>
              <w:t>│     STAGE-2: CROSS-ENCODER    │                            │</w:t>
              <w:br/>
              <w:t>│        NEURAL RERANKING       │                            │</w:t>
              <w:br/>
              <w:t>│ - Model: Cohere Rerank v3.5   │                            │</w:t>
              <w:br/>
              <w:t>│ - Full Cross-Attention query- │                            │</w:t>
              <w:br/>
              <w:t>│   pasal interaksi silang      │                            │</w:t>
              <w:br/>
              <w:t>│ - Filter &amp; rank: Top-8 pasal  │                            │</w:t>
              <w:br/>
              <w:t>│ - Waktu eksekusi: ~330 ms     │                            │</w:t>
              <w:br/>
              <w:t>└───────────────┬───────────────┘                            │</w:t>
              <w:br/>
              <w:t>│ (8 Pasal Otoritatif Terpilih)              │</w:t>
              <w:br/>
              <w:t>└─────────────────────┬──────────────────────┘</w:t>
              <w:br/>
              <w:t>│ (Konteks Bersih: 8 Pasal + Profil KHS)</w:t>
              <w:br/>
              <w:t>▼</w:t>
              <w:br/>
              <w:t>┌─────────────────────────────────────────────────────────────────────────────┐</w:t>
              <w:br/>
              <w:t>│                STAGE-3: CONSTRAINED GROUNDED GENERATION                     │</w:t>
              <w:br/>
              <w:t>│  - Model: DeepSeek Engine (deepseek-chat)                                   │</w:t>
              <w:br/>
              <w:t>│  - Parameter: Temperature tau = 0.2, Top-p = 0.95                           │</w:t>
              <w:br/>
              <w:t>│  - Guardrails: Mandatory clause citation, Anti-hallucination verification   │</w:t>
              <w:br/>
              <w:t>│  - Waktu eksekusi: ~3.2 - 3.8 detik                                         │</w:t>
              <w:br/>
              <w:t>└─────────────────────────────────────┬───────────────────────────────────────┘</w:t>
              <w:br/>
              <w:t>│</w:t>
              <w:br/>
              <w:t>▼</w:t>
              <w:br/>
              <w:t>[ Streaming Respons Berisi Sitasi Resmi Pasal ]</w:t>
            </w:r>
          </w:p>
        </w:tc>
      </w:tr>
    </w:tbl>
    <w:p>
      <w:pPr>
        <w:spacing w:after="120"/>
      </w:pPr>
    </w:p>
    <w:p>
      <w:pPr>
        <w:spacing w:before="0" w:after="120" w:line="360" w:lineRule="auto"/>
        <w:jc w:val="both"/>
      </w:pPr>
      <w:r>
        <w:rPr>
          <w:rFonts w:ascii="Times New Roman" w:hAnsi="Times New Roman"/>
          <w:i/>
          <w:sz w:val="24"/>
        </w:rPr>
        <w:t>Gambar 3.2 Diagram Arsitektur Pipeline Pure-Go Native Two-Stage RAG AURA Core</w:t>
      </w:r>
    </w:p>
    <w:p>
      <w:pPr>
        <w:spacing w:before="200" w:after="40" w:line="276" w:lineRule="auto"/>
        <w:jc w:val="left"/>
      </w:pPr>
      <w:r>
        <w:rPr>
          <w:rFonts w:ascii="Times New Roman" w:hAnsi="Times New Roman"/>
          <w:b/>
          <w:i/>
          <w:color w:val="000000"/>
          <w:sz w:val="24"/>
        </w:rPr>
        <w:t>3.3.1 Tahap 1: *Dense Vector Retrieval* (Bi-Encoder ANN)</w:t>
      </w:r>
    </w:p>
    <w:p>
      <w:pPr>
        <w:spacing w:before="0" w:after="120" w:line="360" w:lineRule="auto"/>
        <w:jc w:val="both"/>
      </w:pPr>
      <w:r>
        <w:rPr>
          <w:rFonts w:ascii="Times New Roman" w:hAnsi="Times New Roman"/>
          <w:b w:val="0"/>
          <w:i w:val="0"/>
          <w:sz w:val="24"/>
        </w:rPr>
        <w:t>Pada tahap pertama, kueri pengguna $q$ dikonversi menjadi representasi vektor numerik berdimensi 1024 melalui model representasi semantik:</w:t>
      </w:r>
    </w:p>
    <w:p>
      <w:pPr>
        <w:spacing w:before="160" w:after="160" w:line="276" w:lineRule="auto"/>
        <w:jc w:val="center"/>
      </w:pPr>
      <w:r>
        <w:rPr>
          <w:rFonts w:ascii="Times New Roman" w:hAnsi="Times New Roman"/>
          <w:i/>
          <w:sz w:val="22"/>
        </w:rPr>
        <w:t>\mathbf{v}_q = f_{\text{embed}}(q) \in \mathbb{R}^{1024}</w:t>
      </w:r>
    </w:p>
    <w:p>
      <w:pPr>
        <w:spacing w:before="0" w:after="120" w:line="360" w:lineRule="auto"/>
        <w:jc w:val="both"/>
      </w:pPr>
      <w:r>
        <w:rPr>
          <w:rFonts w:ascii="Times New Roman" w:hAnsi="Times New Roman"/>
          <w:b w:val="0"/>
          <w:i w:val="0"/>
          <w:sz w:val="24"/>
        </w:rPr>
        <w:t xml:space="preserve">Vektor kueri $\mathbf{v}_q$ kemudian dikirimkan ke kluster indeks Pinecone Serverless $\mathcal{I}_{\text{reg}}$ untuk mengeksekusi pencarian </w:t>
      </w:r>
      <w:r>
        <w:rPr>
          <w:rFonts w:ascii="Times New Roman" w:hAnsi="Times New Roman"/>
          <w:i/>
          <w:sz w:val="24"/>
        </w:rPr>
        <w:t>Approximate Nearest Neighbor</w:t>
      </w:r>
      <w:r>
        <w:rPr>
          <w:rFonts w:ascii="Times New Roman" w:hAnsi="Times New Roman"/>
          <w:b w:val="0"/>
          <w:i w:val="0"/>
          <w:sz w:val="24"/>
        </w:rPr>
        <w:t xml:space="preserve"> (ANN). Sistem mengidentifikasi himpunan 20 kandidat dokumen teratas $\mathcal{C}_{20}$ dengan menghitung nilai kemiripan kosinus:</w:t>
      </w:r>
    </w:p>
    <w:p>
      <w:pPr>
        <w:spacing w:before="160" w:after="160" w:line="276" w:lineRule="auto"/>
        <w:jc w:val="center"/>
      </w:pPr>
      <w:r>
        <w:rPr>
          <w:rFonts w:ascii="Times New Roman" w:hAnsi="Times New Roman"/>
          <w:i/>
          <w:sz w:val="22"/>
        </w:rPr>
        <w:t>\mathcal{C}_{20} = \operatorname{arg\,Top}_{p_i \in \mathcal{I}_{\text{reg}}}^{K=20} \left( \frac{\mathbf{v}_q \cdot \mathbf{v}_{p_i}}{\|\mathbf{v}_q\|_2 \|\mathbf{v}_{p_i}\|_2} \right)</w:t>
      </w:r>
    </w:p>
    <w:p>
      <w:pPr>
        <w:spacing w:before="0" w:after="120" w:line="360" w:lineRule="auto"/>
        <w:jc w:val="both"/>
      </w:pPr>
      <w:r>
        <w:rPr>
          <w:rFonts w:ascii="Times New Roman" w:hAnsi="Times New Roman"/>
          <w:b w:val="0"/>
          <w:i w:val="0"/>
          <w:sz w:val="24"/>
        </w:rPr>
        <w:t>Tujuan utama Tahap 1 adalah memaksimalkan perolehan (</w:t>
      </w:r>
      <w:r>
        <w:rPr>
          <w:rFonts w:ascii="Times New Roman" w:hAnsi="Times New Roman"/>
          <w:i/>
          <w:sz w:val="24"/>
        </w:rPr>
        <w:t>recall</w:t>
      </w:r>
      <w:r>
        <w:rPr>
          <w:rFonts w:ascii="Times New Roman" w:hAnsi="Times New Roman"/>
          <w:b w:val="0"/>
          <w:i w:val="0"/>
          <w:sz w:val="24"/>
        </w:rPr>
        <w:t>), memastikan bahwa semua potongan regulasi yang potensial terjaring ke dalam memori kerja sistem dengan latensi sekitar 300–350 milidetik.</w:t>
      </w:r>
    </w:p>
    <w:p>
      <w:pPr>
        <w:spacing w:before="200" w:after="40" w:line="276" w:lineRule="auto"/>
        <w:jc w:val="left"/>
      </w:pPr>
      <w:r>
        <w:rPr>
          <w:rFonts w:ascii="Times New Roman" w:hAnsi="Times New Roman"/>
          <w:b/>
          <w:i/>
          <w:color w:val="000000"/>
          <w:sz w:val="24"/>
        </w:rPr>
        <w:t>3.3.2 Tahap 2: *Cross-Encoder Neural Reranking*</w:t>
      </w:r>
    </w:p>
    <w:p>
      <w:pPr>
        <w:spacing w:before="0" w:after="120" w:line="360" w:lineRule="auto"/>
        <w:jc w:val="both"/>
      </w:pPr>
      <w:r>
        <w:rPr>
          <w:rFonts w:ascii="Times New Roman" w:hAnsi="Times New Roman"/>
          <w:b w:val="0"/>
          <w:i w:val="0"/>
          <w:sz w:val="24"/>
        </w:rPr>
        <w:t xml:space="preserve">Karena pencarian vektor </w:t>
      </w:r>
      <w:r>
        <w:rPr>
          <w:rFonts w:ascii="Times New Roman" w:hAnsi="Times New Roman"/>
          <w:i/>
          <w:sz w:val="24"/>
        </w:rPr>
        <w:t>bi-encoder</w:t>
      </w:r>
      <w:r>
        <w:rPr>
          <w:rFonts w:ascii="Times New Roman" w:hAnsi="Times New Roman"/>
          <w:b w:val="0"/>
          <w:i w:val="0"/>
          <w:sz w:val="24"/>
        </w:rPr>
        <w:t xml:space="preserve"> tidak mempertimbangkan interaksi mendalam antar-token, 20 kandidat dokumen $\mathcal{C}_{20} = \{p_1, p_2, \dots, p_{20}\}$ kerap kali mengandung dokumen pengganggu (</w:t>
      </w:r>
      <w:r>
        <w:rPr>
          <w:rFonts w:ascii="Times New Roman" w:hAnsi="Times New Roman"/>
          <w:i/>
          <w:sz w:val="24"/>
        </w:rPr>
        <w:t>noise</w:t>
      </w:r>
      <w:r>
        <w:rPr>
          <w:rFonts w:ascii="Times New Roman" w:hAnsi="Times New Roman"/>
          <w:b w:val="0"/>
          <w:i w:val="0"/>
          <w:sz w:val="24"/>
        </w:rPr>
        <w:t>) yang sekadar mirip secara kata kunci namun salah secara substansi hukum.</w:t>
      </w:r>
    </w:p>
    <w:p>
      <w:pPr>
        <w:spacing w:before="0" w:after="120" w:line="360" w:lineRule="auto"/>
        <w:jc w:val="both"/>
      </w:pPr>
      <w:r>
        <w:rPr>
          <w:rFonts w:ascii="Times New Roman" w:hAnsi="Times New Roman"/>
          <w:b w:val="0"/>
          <w:i w:val="0"/>
          <w:sz w:val="24"/>
        </w:rPr>
        <w:t xml:space="preserve">Pada Tahap 2, setiap pasangan kueri dan kandidat pasal $(q, p_i)$ disuapkan ke dalam model </w:t>
      </w:r>
      <w:r>
        <w:rPr>
          <w:rFonts w:ascii="Times New Roman" w:hAnsi="Times New Roman"/>
          <w:i/>
          <w:sz w:val="24"/>
        </w:rPr>
        <w:t>Cross-Encoder Neural Reranker</w:t>
      </w:r>
      <w:r>
        <w:rPr>
          <w:rFonts w:ascii="Times New Roman" w:hAnsi="Times New Roman"/>
          <w:b w:val="0"/>
          <w:i w:val="0"/>
          <w:sz w:val="24"/>
        </w:rPr>
        <w:t xml:space="preserve"> (Cohere Rerank v3.5). Model melakukan komputasi </w:t>
      </w:r>
      <w:r>
        <w:rPr>
          <w:rFonts w:ascii="Times New Roman" w:hAnsi="Times New Roman"/>
          <w:i/>
          <w:sz w:val="24"/>
        </w:rPr>
        <w:t>full cross-attention</w:t>
      </w:r>
      <w:r>
        <w:rPr>
          <w:rFonts w:ascii="Times New Roman" w:hAnsi="Times New Roman"/>
          <w:b w:val="0"/>
          <w:i w:val="0"/>
          <w:sz w:val="24"/>
        </w:rPr>
        <w:t xml:space="preserve"> di seluruh lapisan transformer guna menghasilkan skor relevansi diskret $s_i$:</w:t>
      </w:r>
    </w:p>
    <w:p>
      <w:pPr>
        <w:spacing w:before="160" w:after="160" w:line="276" w:lineRule="auto"/>
        <w:jc w:val="center"/>
      </w:pPr>
      <w:r>
        <w:rPr>
          <w:rFonts w:ascii="Times New Roman" w:hAnsi="Times New Roman"/>
          <w:i/>
          <w:sz w:val="22"/>
        </w:rPr>
        <w:t>s_i = g_{\text{rerank}}(q, p_i) \in [0.0, 1.0], \quad \forall p_i \in \mathcal{C}_{20}</w:t>
      </w:r>
    </w:p>
    <w:p>
      <w:pPr>
        <w:spacing w:before="0" w:after="120" w:line="360" w:lineRule="auto"/>
        <w:jc w:val="both"/>
      </w:pPr>
      <w:r>
        <w:rPr>
          <w:rFonts w:ascii="Times New Roman" w:hAnsi="Times New Roman"/>
          <w:b w:val="0"/>
          <w:i w:val="0"/>
          <w:sz w:val="24"/>
        </w:rPr>
        <w:t>Kandidat diurutkan secara menurun (</w:t>
      </w:r>
      <w:r>
        <w:rPr>
          <w:rFonts w:ascii="Times New Roman" w:hAnsi="Times New Roman"/>
          <w:i/>
          <w:sz w:val="24"/>
        </w:rPr>
        <w:t>descending</w:t>
      </w:r>
      <w:r>
        <w:rPr>
          <w:rFonts w:ascii="Times New Roman" w:hAnsi="Times New Roman"/>
          <w:b w:val="0"/>
          <w:i w:val="0"/>
          <w:sz w:val="24"/>
        </w:rPr>
        <w:t>) berdasarkan nilai $s_i$, dan sistem hanya mengambil $N = 8$ pasal teratas:</w:t>
      </w:r>
    </w:p>
    <w:p>
      <w:pPr>
        <w:spacing w:before="160" w:after="160" w:line="276" w:lineRule="auto"/>
        <w:jc w:val="center"/>
      </w:pPr>
      <w:r>
        <w:rPr>
          <w:rFonts w:ascii="Times New Roman" w:hAnsi="Times New Roman"/>
          <w:i/>
          <w:sz w:val="22"/>
        </w:rPr>
        <w:t>\mathcal{P}_8 = \operatorname{arg\,Top}_{p_i \in \mathcal{C}_{20}}^{N=8} (s_i)</w:t>
      </w:r>
    </w:p>
    <w:p>
      <w:pPr>
        <w:spacing w:before="0" w:after="120" w:line="360" w:lineRule="auto"/>
        <w:jc w:val="both"/>
      </w:pPr>
      <w:r>
        <w:rPr>
          <w:rFonts w:ascii="Times New Roman" w:hAnsi="Times New Roman"/>
          <w:b w:val="0"/>
          <w:i w:val="0"/>
          <w:sz w:val="24"/>
        </w:rPr>
        <w:t xml:space="preserve">Tahap ini mengeliminasi 12 dokumen subordinat yang kurang relevan, menyusutkan panjang konteks masukan secara drastis, serta memitigasi risiko </w:t>
      </w:r>
      <w:r>
        <w:rPr>
          <w:rFonts w:ascii="Times New Roman" w:hAnsi="Times New Roman"/>
          <w:i/>
          <w:sz w:val="24"/>
        </w:rPr>
        <w:t>Lost in the Middle</w:t>
      </w:r>
      <w:r>
        <w:rPr>
          <w:rFonts w:ascii="Times New Roman" w:hAnsi="Times New Roman"/>
          <w:b w:val="0"/>
          <w:i w:val="0"/>
          <w:sz w:val="24"/>
        </w:rPr>
        <w:t xml:space="preserve"> dengan latensi tambahan hanya sekitar 330 milidetik.</w:t>
      </w:r>
    </w:p>
    <w:p>
      <w:pPr>
        <w:spacing w:before="200" w:after="40" w:line="276" w:lineRule="auto"/>
        <w:jc w:val="left"/>
      </w:pPr>
      <w:r>
        <w:rPr>
          <w:rFonts w:ascii="Times New Roman" w:hAnsi="Times New Roman"/>
          <w:b/>
          <w:i/>
          <w:color w:val="000000"/>
          <w:sz w:val="24"/>
        </w:rPr>
        <w:t>3.3.3 Mekanisme Privasi Mahasiswa (*In-Memory Privacy Parser*)</w:t>
      </w:r>
    </w:p>
    <w:p>
      <w:pPr>
        <w:spacing w:before="0" w:after="120" w:line="360" w:lineRule="auto"/>
        <w:jc w:val="both"/>
      </w:pPr>
      <w:r>
        <w:rPr>
          <w:rFonts w:ascii="Times New Roman" w:hAnsi="Times New Roman"/>
          <w:b w:val="0"/>
          <w:i w:val="0"/>
          <w:sz w:val="24"/>
        </w:rPr>
        <w:t>Salah satu kebaruan arsitektural AURA Core adalah perlindungan data pribadi mahasiswa yang dijamin secara deterministik pada tingkat arsitektur perangkat lunak:</w:t>
      </w:r>
    </w:p>
    <w:p>
      <w:pPr>
        <w:spacing w:before="0" w:after="120" w:line="360" w:lineRule="auto"/>
        <w:jc w:val="both"/>
      </w:pPr>
      <w:r>
        <w:rPr>
          <w:rFonts w:ascii="Times New Roman" w:hAnsi="Times New Roman"/>
          <w:b w:val="0"/>
          <w:i w:val="0"/>
          <w:sz w:val="24"/>
        </w:rPr>
        <w:t xml:space="preserve">1. Ketika mahasiswa mengunggah dokumen KHS atau KRS dalam bentuk PDF atau tabel digital, berkas tersebut diterima oleh modul </w:t>
      </w:r>
      <w:r>
        <w:rPr>
          <w:rFonts w:ascii="Times New Roman" w:hAnsi="Times New Roman"/>
          <w:i/>
          <w:sz w:val="24"/>
        </w:rPr>
        <w:t>streaming buffer</w:t>
      </w:r>
      <w:r>
        <w:rPr>
          <w:rFonts w:ascii="Times New Roman" w:hAnsi="Times New Roman"/>
          <w:b w:val="0"/>
          <w:i w:val="0"/>
          <w:sz w:val="24"/>
        </w:rPr>
        <w:t xml:space="preserve"> Go (`io.Reader`).</w:t>
      </w:r>
    </w:p>
    <w:p>
      <w:pPr>
        <w:spacing w:before="0" w:after="120" w:line="360" w:lineRule="auto"/>
        <w:jc w:val="both"/>
      </w:pPr>
      <w:r>
        <w:rPr>
          <w:rFonts w:ascii="Times New Roman" w:hAnsi="Times New Roman"/>
          <w:b w:val="0"/>
          <w:i w:val="0"/>
          <w:sz w:val="24"/>
        </w:rPr>
        <w:t xml:space="preserve">2. Teks transkrip diekstraksi secara </w:t>
      </w:r>
      <w:r>
        <w:rPr>
          <w:rFonts w:ascii="Times New Roman" w:hAnsi="Times New Roman"/>
          <w:i/>
          <w:sz w:val="24"/>
        </w:rPr>
        <w:t>strictly in-memory</w:t>
      </w:r>
      <w:r>
        <w:rPr>
          <w:rFonts w:ascii="Times New Roman" w:hAnsi="Times New Roman"/>
          <w:b w:val="0"/>
          <w:i w:val="0"/>
          <w:sz w:val="24"/>
        </w:rPr>
        <w:t xml:space="preserve"> (hanya berada di RAM selama siklus eksekusi goroutine aktif). Fitur akademik penting (total SKS lulus, IPK kumulatif, IPS semester terakhir, dan daftar nilai berpredikat D atau E) dirangkum ke dalam struktur data sesi:</w:t>
      </w:r>
    </w:p>
    <w:p>
      <w:pPr>
        <w:spacing w:before="160" w:after="160" w:line="276" w:lineRule="auto"/>
        <w:jc w:val="center"/>
      </w:pPr>
      <w:r>
        <w:rPr>
          <w:rFonts w:ascii="Times New Roman" w:hAnsi="Times New Roman"/>
          <w:i/>
          <w:sz w:val="22"/>
        </w:rPr>
        <w:t>\mathcal{T}_{\text{student}} = \{\text{SKS}_{\text{lulus}}, \text{IPK}, \text{IPS}_{\text{lalu}}, \text{DaftarNilai}_{\text{kritis}}\}</w:t>
      </w:r>
    </w:p>
    <w:p>
      <w:pPr>
        <w:spacing w:before="0" w:after="120" w:line="360" w:lineRule="auto"/>
        <w:jc w:val="both"/>
      </w:pPr>
      <w:r>
        <w:rPr>
          <w:rFonts w:ascii="Times New Roman" w:hAnsi="Times New Roman"/>
          <w:b w:val="0"/>
          <w:i w:val="0"/>
          <w:sz w:val="24"/>
        </w:rPr>
        <w:t>3. Struktur $\mathcal{T}_{\text{student}}$ ini digabungkan secara langsung ke dalam konteks perintah sesaat (</w:t>
      </w:r>
      <w:r>
        <w:rPr>
          <w:rFonts w:ascii="Times New Roman" w:hAnsi="Times New Roman"/>
          <w:i/>
          <w:sz w:val="24"/>
        </w:rPr>
        <w:t>ephemeral prompt context</w:t>
      </w:r>
      <w:r>
        <w:rPr>
          <w:rFonts w:ascii="Times New Roman" w:hAnsi="Times New Roman"/>
          <w:b w:val="0"/>
          <w:i w:val="0"/>
          <w:sz w:val="24"/>
        </w:rPr>
        <w:t>) bersama 8 pasal resmi $\mathcal{P}_8$.</w:t>
      </w:r>
    </w:p>
    <w:p>
      <w:pPr>
        <w:spacing w:before="0" w:after="120" w:line="360" w:lineRule="auto"/>
        <w:jc w:val="both"/>
      </w:pPr>
      <w:r>
        <w:rPr>
          <w:rFonts w:ascii="Times New Roman" w:hAnsi="Times New Roman"/>
          <w:b w:val="0"/>
          <w:i w:val="0"/>
          <w:sz w:val="24"/>
        </w:rPr>
        <w:t xml:space="preserve">4. </w:t>
      </w:r>
      <w:r>
        <w:rPr>
          <w:rFonts w:ascii="Times New Roman" w:hAnsi="Times New Roman"/>
          <w:b/>
          <w:sz w:val="24"/>
        </w:rPr>
        <w:t>Jaminan Nir-Persistensi</w:t>
      </w:r>
      <w:r>
        <w:rPr>
          <w:rFonts w:ascii="Times New Roman" w:hAnsi="Times New Roman"/>
          <w:b w:val="0"/>
          <w:i w:val="0"/>
          <w:sz w:val="24"/>
        </w:rPr>
        <w:t xml:space="preserve">: Data akademik mahasiswa </w:t>
      </w:r>
      <w:r>
        <w:rPr>
          <w:rFonts w:ascii="Times New Roman" w:hAnsi="Times New Roman"/>
          <w:b/>
          <w:sz w:val="24"/>
        </w:rPr>
        <w:t>TIDAK PERNAH dikirimkan ke model embedding, tidak pernah diindeks, dan tidak pernah disimpan ke dalam basis data vektor Pinecone publik</w:t>
      </w:r>
      <w:r>
        <w:rPr>
          <w:rFonts w:ascii="Times New Roman" w:hAnsi="Times New Roman"/>
          <w:b w:val="0"/>
          <w:i w:val="0"/>
          <w:sz w:val="24"/>
        </w:rPr>
        <w:t xml:space="preserve">. Setelah respons streaming selesai dikirimkan ke pengguna, buffer memori langsung dibebaskan oleh </w:t>
      </w:r>
      <w:r>
        <w:rPr>
          <w:rFonts w:ascii="Times New Roman" w:hAnsi="Times New Roman"/>
          <w:i/>
          <w:sz w:val="24"/>
        </w:rPr>
        <w:t>Garbage Collector</w:t>
      </w:r>
      <w:r>
        <w:rPr>
          <w:rFonts w:ascii="Times New Roman" w:hAnsi="Times New Roman"/>
          <w:b w:val="0"/>
          <w:i w:val="0"/>
          <w:sz w:val="24"/>
        </w:rPr>
        <w:t xml:space="preserve"> Go.</w:t>
      </w:r>
    </w:p>
    <w:p>
      <w:pPr>
        <w:spacing w:before="200" w:after="40" w:line="276" w:lineRule="auto"/>
        <w:jc w:val="left"/>
      </w:pPr>
      <w:r>
        <w:rPr>
          <w:rFonts w:ascii="Times New Roman" w:hAnsi="Times New Roman"/>
          <w:b/>
          <w:i/>
          <w:color w:val="000000"/>
          <w:sz w:val="24"/>
        </w:rPr>
        <w:t>3.3.4 Tahap 3: *Constrained Grounded Reasoning &amp; Citation Enforcement*</w:t>
      </w:r>
    </w:p>
    <w:p>
      <w:pPr>
        <w:spacing w:before="0" w:after="120" w:line="360" w:lineRule="auto"/>
        <w:jc w:val="both"/>
      </w:pPr>
      <w:r>
        <w:rPr>
          <w:rFonts w:ascii="Times New Roman" w:hAnsi="Times New Roman"/>
          <w:b w:val="0"/>
          <w:i w:val="0"/>
          <w:sz w:val="24"/>
        </w:rPr>
        <w:t>Konteks gabungan $\mathcal{X} = \{\mathcal{P}_8, \mathcal{T}_{\text{student}}\}$ diteruskan ke mesin inferensi DeepSeek (`deepseek-chat`) dengan parameter suhu $\tau = 0.2$. Nilai $\tau = 0.2$ dipilih untuk membatasi variasi acak pembangkitan token tanpa menghilangkan keluwesan artikulasi bahasa alami.</w:t>
      </w:r>
    </w:p>
    <w:p>
      <w:pPr>
        <w:spacing w:before="0" w:after="120" w:line="360" w:lineRule="auto"/>
        <w:jc w:val="both"/>
      </w:pPr>
      <w:r>
        <w:rPr>
          <w:rFonts w:ascii="Times New Roman" w:hAnsi="Times New Roman"/>
          <w:b w:val="0"/>
          <w:i w:val="0"/>
          <w:sz w:val="24"/>
        </w:rPr>
        <w:t>Sistem menerapkan instruksi sistem (</w:t>
      </w:r>
      <w:r>
        <w:rPr>
          <w:rFonts w:ascii="Times New Roman" w:hAnsi="Times New Roman"/>
          <w:i/>
          <w:sz w:val="24"/>
        </w:rPr>
        <w:t>system prompt</w:t>
      </w:r>
      <w:r>
        <w:rPr>
          <w:rFonts w:ascii="Times New Roman" w:hAnsi="Times New Roman"/>
          <w:b w:val="0"/>
          <w:i w:val="0"/>
          <w:sz w:val="24"/>
        </w:rPr>
        <w:t>) berbasis tiga batas perlindungan (</w:t>
      </w:r>
      <w:r>
        <w:rPr>
          <w:rFonts w:ascii="Times New Roman" w:hAnsi="Times New Roman"/>
          <w:i/>
          <w:sz w:val="24"/>
        </w:rPr>
        <w:t>guardrails</w:t>
      </w:r>
      <w:r>
        <w:rPr>
          <w:rFonts w:ascii="Times New Roman" w:hAnsi="Times New Roman"/>
          <w:b w:val="0"/>
          <w:i w:val="0"/>
          <w:sz w:val="24"/>
        </w:rPr>
        <w:t>):</w:t>
      </w:r>
    </w:p>
    <w:p>
      <w:pPr>
        <w:spacing w:before="0" w:after="120" w:line="360" w:lineRule="auto"/>
        <w:jc w:val="both"/>
      </w:pPr>
      <w:r>
        <w:rPr>
          <w:rFonts w:ascii="Times New Roman" w:hAnsi="Times New Roman"/>
          <w:b w:val="0"/>
          <w:i w:val="0"/>
          <w:sz w:val="24"/>
        </w:rPr>
        <w:t>1. *</w:t>
      </w:r>
      <w:r>
        <w:rPr>
          <w:rFonts w:ascii="Times New Roman" w:hAnsi="Times New Roman"/>
          <w:i/>
          <w:sz w:val="24"/>
        </w:rPr>
        <w:t>Aturan Sitasi Pasal Eksplisit (</w:t>
      </w:r>
      <w:r>
        <w:rPr>
          <w:rFonts w:ascii="Times New Roman" w:hAnsi="Times New Roman"/>
          <w:b w:val="0"/>
          <w:i w:val="0"/>
          <w:sz w:val="24"/>
        </w:rPr>
        <w:t>Mandatory Citation Rule</w:t>
      </w:r>
      <w:r>
        <w:rPr>
          <w:rFonts w:ascii="Times New Roman" w:hAnsi="Times New Roman"/>
          <w:i/>
          <w:sz w:val="24"/>
        </w:rPr>
        <w:t>)</w:t>
      </w:r>
      <w:r>
        <w:rPr>
          <w:rFonts w:ascii="Times New Roman" w:hAnsi="Times New Roman"/>
          <w:b w:val="0"/>
          <w:i w:val="0"/>
          <w:sz w:val="24"/>
        </w:rPr>
        <w:t>*: Setiap pernyataan normatif (misalnya pemberian izin, penolakan, batas SKS, atau masa berlaku) wajib menyertakan dokumen rujukan dan nomor pasal yang valid (contoh: `[Buku Pedoman Akademik UII, Pasal 10]` atau `[Buku Pedoman Skripsi FTI UII, Pasal 2 Ayat 1]`).</w:t>
      </w:r>
    </w:p>
    <w:p>
      <w:pPr>
        <w:spacing w:before="0" w:after="120" w:line="360" w:lineRule="auto"/>
        <w:jc w:val="both"/>
      </w:pPr>
      <w:r>
        <w:rPr>
          <w:rFonts w:ascii="Times New Roman" w:hAnsi="Times New Roman"/>
          <w:b w:val="0"/>
          <w:i w:val="0"/>
          <w:sz w:val="24"/>
        </w:rPr>
        <w:t>2. *</w:t>
      </w:r>
      <w:r>
        <w:rPr>
          <w:rFonts w:ascii="Times New Roman" w:hAnsi="Times New Roman"/>
          <w:i/>
          <w:sz w:val="24"/>
        </w:rPr>
        <w:t>Penolakan Prosedur Fiktif (</w:t>
      </w:r>
      <w:r>
        <w:rPr>
          <w:rFonts w:ascii="Times New Roman" w:hAnsi="Times New Roman"/>
          <w:b w:val="0"/>
          <w:i w:val="0"/>
          <w:sz w:val="24"/>
        </w:rPr>
        <w:t>Adversarial Rejection</w:t>
      </w:r>
      <w:r>
        <w:rPr>
          <w:rFonts w:ascii="Times New Roman" w:hAnsi="Times New Roman"/>
          <w:i/>
          <w:sz w:val="24"/>
        </w:rPr>
        <w:t>)</w:t>
      </w:r>
      <w:r>
        <w:rPr>
          <w:rFonts w:ascii="Times New Roman" w:hAnsi="Times New Roman"/>
          <w:b w:val="0"/>
          <w:i w:val="0"/>
          <w:sz w:val="24"/>
        </w:rPr>
        <w:t>*: Jika mahasiswa menanyakan prosedur dispensasi fiktif (seperti surat keterangan RT/RW untuk dispensasi sempro), sistem diinstruksikan untuk secara tegas menolak eksistensi aturan tersebut dan membacakan syarat kumulatif yang sah.</w:t>
      </w:r>
    </w:p>
    <w:p>
      <w:pPr>
        <w:spacing w:before="0" w:after="120" w:line="360" w:lineRule="auto"/>
        <w:jc w:val="both"/>
      </w:pPr>
      <w:r>
        <w:rPr>
          <w:rFonts w:ascii="Times New Roman" w:hAnsi="Times New Roman"/>
          <w:b w:val="0"/>
          <w:i w:val="0"/>
          <w:sz w:val="24"/>
        </w:rPr>
        <w:t>3. *</w:t>
      </w:r>
      <w:r>
        <w:rPr>
          <w:rFonts w:ascii="Times New Roman" w:hAnsi="Times New Roman"/>
          <w:i/>
          <w:sz w:val="24"/>
        </w:rPr>
        <w:t>Kejujuran Epistemik (</w:t>
      </w:r>
      <w:r>
        <w:rPr>
          <w:rFonts w:ascii="Times New Roman" w:hAnsi="Times New Roman"/>
          <w:b w:val="0"/>
          <w:i w:val="0"/>
          <w:sz w:val="24"/>
        </w:rPr>
        <w:t>Epistemic Humility</w:t>
      </w:r>
      <w:r>
        <w:rPr>
          <w:rFonts w:ascii="Times New Roman" w:hAnsi="Times New Roman"/>
          <w:i/>
          <w:sz w:val="24"/>
        </w:rPr>
        <w:t>) dan Penanganan Luar Domain (</w:t>
      </w:r>
      <w:r>
        <w:rPr>
          <w:rFonts w:ascii="Times New Roman" w:hAnsi="Times New Roman"/>
          <w:b w:val="0"/>
          <w:i w:val="0"/>
          <w:sz w:val="24"/>
        </w:rPr>
        <w:t>Out-of-Domain / OOD</w:t>
      </w:r>
      <w:r>
        <w:rPr>
          <w:rFonts w:ascii="Times New Roman" w:hAnsi="Times New Roman"/>
          <w:i/>
          <w:sz w:val="24"/>
        </w:rPr>
        <w:t>)</w:t>
      </w:r>
      <w:r>
        <w:rPr>
          <w:rFonts w:ascii="Times New Roman" w:hAnsi="Times New Roman"/>
          <w:b w:val="0"/>
          <w:i w:val="0"/>
          <w:sz w:val="24"/>
        </w:rPr>
        <w:t>*: Jika pertanyaan menyangkut regulasi fakultas lain di luar FTI (misalnya Fakultas Kedokteran) atau aturan yang tidak tercakup dalam basis data, sistem dilarang berspekulasi dan wajib mengarahkan mahasiswa ke Divisi Administrasi Akademik (DAA) universitas.</w:t>
      </w:r>
    </w:p>
    <w:p>
      <w:pPr>
        <w:spacing w:before="280" w:after="80" w:line="276" w:lineRule="auto"/>
        <w:jc w:val="left"/>
      </w:pPr>
      <w:r>
        <w:rPr>
          <w:rFonts w:ascii="Times New Roman" w:hAnsi="Times New Roman"/>
          <w:b/>
          <w:color w:val="000000"/>
          <w:sz w:val="24"/>
        </w:rPr>
        <w:t>3.4 Desain Pengujian dan Metrik Evaluasi</w:t>
      </w:r>
    </w:p>
    <w:p>
      <w:pPr>
        <w:spacing w:before="200" w:after="40" w:line="276" w:lineRule="auto"/>
        <w:jc w:val="left"/>
      </w:pPr>
      <w:r>
        <w:rPr>
          <w:rFonts w:ascii="Times New Roman" w:hAnsi="Times New Roman"/>
          <w:b/>
          <w:i/>
          <w:color w:val="000000"/>
          <w:sz w:val="24"/>
        </w:rPr>
        <w:t>3.4.1 Dataset Tolok Ukur *UII-Bench-50*</w:t>
      </w:r>
    </w:p>
    <w:p>
      <w:pPr>
        <w:spacing w:before="0" w:after="120" w:line="360" w:lineRule="auto"/>
        <w:jc w:val="both"/>
      </w:pPr>
      <w:r>
        <w:rPr>
          <w:rFonts w:ascii="Times New Roman" w:hAnsi="Times New Roman"/>
          <w:b w:val="0"/>
          <w:i w:val="0"/>
          <w:sz w:val="24"/>
        </w:rPr>
        <w:t>Untuk mengevaluasi performa sistem secara kuantitatif dan dapat direproduksi (</w:t>
      </w:r>
      <w:r>
        <w:rPr>
          <w:rFonts w:ascii="Times New Roman" w:hAnsi="Times New Roman"/>
          <w:i/>
          <w:sz w:val="24"/>
        </w:rPr>
        <w:t>reproducible</w:t>
      </w:r>
      <w:r>
        <w:rPr>
          <w:rFonts w:ascii="Times New Roman" w:hAnsi="Times New Roman"/>
          <w:b w:val="0"/>
          <w:i w:val="0"/>
          <w:sz w:val="24"/>
        </w:rPr>
        <w:t xml:space="preserve">), disusunlah dataset </w:t>
      </w:r>
      <w:r>
        <w:rPr>
          <w:rFonts w:ascii="Times New Roman" w:hAnsi="Times New Roman"/>
          <w:i/>
          <w:sz w:val="24"/>
        </w:rPr>
        <w:t>UII-Bench-50</w:t>
      </w:r>
      <w:r>
        <w:rPr>
          <w:rFonts w:ascii="Times New Roman" w:hAnsi="Times New Roman"/>
          <w:b w:val="0"/>
          <w:i w:val="0"/>
          <w:sz w:val="24"/>
        </w:rPr>
        <w:t xml:space="preserve"> yang memetakan 50 skenario kasus regulasi akademik riil di lingkungan FTI UII. Dataset ini dibagi rata ke dalam lima klaster regulasi sebagaimana dipaparkan pada Tabel 3.1.</w:t>
      </w:r>
    </w:p>
    <w:p>
      <w:pPr>
        <w:spacing w:before="0" w:after="120" w:line="360" w:lineRule="auto"/>
        <w:jc w:val="both"/>
      </w:pPr>
      <w:r>
        <w:rPr>
          <w:rFonts w:ascii="Times New Roman" w:hAnsi="Times New Roman"/>
          <w:b/>
          <w:sz w:val="24"/>
        </w:rPr>
        <w:t>Tabel 3.1</w:t>
      </w:r>
      <w:r>
        <w:rPr>
          <w:rFonts w:ascii="Times New Roman" w:hAnsi="Times New Roman"/>
          <w:b w:val="0"/>
          <w:i w:val="0"/>
          <w:sz w:val="24"/>
        </w:rPr>
        <w:t xml:space="preserve"> Distribusi Skenario Pengujian pada Dataset UII-Bench-50</w:t>
      </w:r>
    </w:p>
    <w:tbl>
      <w:tblPr>
        <w:tblW w:type="auto" w:w="0"/>
        <w:jc w:val="center"/>
        <w:tblLayout w:type="autofit"/>
        <w:tblLook w:firstColumn="1" w:firstRow="1" w:lastColumn="0" w:lastRow="0" w:noHBand="0" w:noVBand="1" w:val="04A0"/>
        <w:tblBorders>
          <w:top w:val="single" w:sz="12" w:space="0" w:color="000000"/>
          <w:bottom w:val="single" w:sz="12" w:space="0" w:color="000000"/>
          <w:insideH w:val="single" w:sz="4" w:space="0" w:color="D3D3D3"/>
          <w:left w:val="none"/>
          <w:right w:val="none"/>
          <w:insideV w:val="none"/>
        </w:tblBorders>
      </w:tblPr>
      <w:tblGrid>
        <w:gridCol w:w="1984"/>
        <w:gridCol w:w="1984"/>
        <w:gridCol w:w="1984"/>
        <w:gridCol w:w="1984"/>
      </w:tblGrid>
      <w:tr>
        <w:tc>
          <w:tcPr>
            <w:tcW w:type="dxa" w:w="1984"/>
            <w:tcMar>
              <w:top w:w="100" w:type="dxa"/>
              <w:bottom w:w="100" w:type="dxa"/>
              <w:left w:w="120" w:type="dxa"/>
              <w:right w:w="120" w:type="dxa"/>
            </w:tcMar>
            <w:shd w:fill="F0F4F8"/>
          </w:tcPr>
          <w:p>
            <w:pPr>
              <w:spacing w:before="0" w:after="0" w:line="240" w:lineRule="auto"/>
              <w:jc w:val="center"/>
            </w:pPr>
            <w:r>
              <w:rPr>
                <w:rFonts w:ascii="Times New Roman" w:hAnsi="Times New Roman"/>
                <w:b/>
                <w:color w:val="002060"/>
                <w:sz w:val="20"/>
              </w:rPr>
              <w:t>Klaster</w:t>
            </w:r>
          </w:p>
        </w:tc>
        <w:tc>
          <w:tcPr>
            <w:tcW w:type="dxa" w:w="1984"/>
            <w:tcMar>
              <w:top w:w="100" w:type="dxa"/>
              <w:bottom w:w="100" w:type="dxa"/>
              <w:left w:w="120" w:type="dxa"/>
              <w:right w:w="120" w:type="dxa"/>
            </w:tcMar>
            <w:shd w:fill="F0F4F8"/>
          </w:tcPr>
          <w:p>
            <w:pPr>
              <w:spacing w:before="0" w:after="0" w:line="240" w:lineRule="auto"/>
              <w:jc w:val="center"/>
            </w:pPr>
            <w:r>
              <w:rPr>
                <w:rFonts w:ascii="Times New Roman" w:hAnsi="Times New Roman"/>
                <w:b/>
                <w:color w:val="002060"/>
                <w:sz w:val="20"/>
              </w:rPr>
              <w:t>Nama Klaster Regulasi</w:t>
            </w:r>
          </w:p>
        </w:tc>
        <w:tc>
          <w:tcPr>
            <w:tcW w:type="dxa" w:w="1984"/>
            <w:tcMar>
              <w:top w:w="100" w:type="dxa"/>
              <w:bottom w:w="100" w:type="dxa"/>
              <w:left w:w="120" w:type="dxa"/>
              <w:right w:w="120" w:type="dxa"/>
            </w:tcMar>
            <w:shd w:fill="F0F4F8"/>
          </w:tcPr>
          <w:p>
            <w:pPr>
              <w:spacing w:before="0" w:after="0" w:line="240" w:lineRule="auto"/>
              <w:jc w:val="center"/>
            </w:pPr>
            <w:r>
              <w:rPr>
                <w:rFonts w:ascii="Times New Roman" w:hAnsi="Times New Roman"/>
                <w:b/>
                <w:color w:val="002060"/>
                <w:sz w:val="20"/>
              </w:rPr>
              <w:t>Jumlah Skenario ($N$)</w:t>
            </w:r>
          </w:p>
        </w:tc>
        <w:tc>
          <w:tcPr>
            <w:tcW w:type="dxa" w:w="1984"/>
            <w:tcMar>
              <w:top w:w="100" w:type="dxa"/>
              <w:bottom w:w="100" w:type="dxa"/>
              <w:left w:w="120" w:type="dxa"/>
              <w:right w:w="120" w:type="dxa"/>
            </w:tcMar>
            <w:shd w:fill="F0F4F8"/>
          </w:tcPr>
          <w:p>
            <w:pPr>
              <w:spacing w:before="0" w:after="0" w:line="240" w:lineRule="auto"/>
              <w:jc w:val="center"/>
            </w:pPr>
            <w:r>
              <w:rPr>
                <w:rFonts w:ascii="Times New Roman" w:hAnsi="Times New Roman"/>
                <w:b/>
                <w:color w:val="002060"/>
                <w:sz w:val="20"/>
              </w:rPr>
              <w:t>Cakupan Masalah dan Batasan Hukum yang Diuji</w:t>
            </w:r>
          </w:p>
        </w:tc>
      </w:tr>
      <w:tr>
        <w:tc>
          <w:tcPr>
            <w:tcW w:type="dxa" w:w="1984"/>
            <w:tcMar>
              <w:top w:w="80" w:type="dxa"/>
              <w:bottom w:w="80" w:type="dxa"/>
              <w:left w:w="100" w:type="dxa"/>
              <w:right w:w="100" w:type="dxa"/>
            </w:tcMar>
            <w:shd w:fill="FFFFFF"/>
          </w:tcPr>
          <w:p>
            <w:pPr>
              <w:spacing w:before="0" w:after="0" w:line="276" w:lineRule="auto"/>
              <w:jc w:val="left"/>
            </w:pPr>
            <w:r>
              <w:rPr>
                <w:rFonts w:ascii="Times New Roman" w:hAnsi="Times New Roman"/>
                <w:b/>
                <w:sz w:val="19"/>
              </w:rPr>
              <w:t>**Klaster 1**</w:t>
            </w:r>
          </w:p>
        </w:tc>
        <w:tc>
          <w:tcPr>
            <w:tcW w:type="dxa" w:w="1984"/>
            <w:tcMar>
              <w:top w:w="80" w:type="dxa"/>
              <w:bottom w:w="80" w:type="dxa"/>
              <w:left w:w="100" w:type="dxa"/>
              <w:right w:w="100" w:type="dxa"/>
            </w:tcMar>
            <w:shd w:fill="FFFFFF"/>
          </w:tcPr>
          <w:p>
            <w:pPr>
              <w:spacing w:before="0" w:after="0" w:line="276" w:lineRule="auto"/>
              <w:jc w:val="left"/>
            </w:pPr>
            <w:r>
              <w:rPr>
                <w:rFonts w:ascii="Times New Roman" w:hAnsi="Times New Roman"/>
                <w:sz w:val="19"/>
              </w:rPr>
              <w:t>Prasyarat Seminar Proposal Skripsi</w:t>
            </w:r>
          </w:p>
        </w:tc>
        <w:tc>
          <w:tcPr>
            <w:tcW w:type="dxa" w:w="1984"/>
            <w:tcMar>
              <w:top w:w="80" w:type="dxa"/>
              <w:bottom w:w="80" w:type="dxa"/>
              <w:left w:w="100" w:type="dxa"/>
              <w:right w:w="100" w:type="dxa"/>
            </w:tcMar>
            <w:shd w:fill="FFFFFF"/>
          </w:tcPr>
          <w:p>
            <w:pPr>
              <w:spacing w:before="0" w:after="0" w:line="276" w:lineRule="auto"/>
              <w:jc w:val="center"/>
            </w:pPr>
            <w:r>
              <w:rPr>
                <w:rFonts w:ascii="Times New Roman" w:hAnsi="Times New Roman"/>
                <w:b/>
                <w:sz w:val="19"/>
              </w:rPr>
              <w:t>10 (S01–S10)</w:t>
            </w:r>
          </w:p>
        </w:tc>
        <w:tc>
          <w:tcPr>
            <w:tcW w:type="dxa" w:w="1984"/>
            <w:tcMar>
              <w:top w:w="80" w:type="dxa"/>
              <w:bottom w:w="80" w:type="dxa"/>
              <w:left w:w="100" w:type="dxa"/>
              <w:right w:w="100" w:type="dxa"/>
            </w:tcMar>
            <w:shd w:fill="FFFFFF"/>
          </w:tcPr>
          <w:p>
            <w:pPr>
              <w:spacing w:before="0" w:after="0" w:line="276" w:lineRule="auto"/>
              <w:jc w:val="left"/>
            </w:pPr>
            <w:r>
              <w:rPr>
                <w:rFonts w:ascii="Times New Roman" w:hAnsi="Times New Roman"/>
                <w:sz w:val="19"/>
              </w:rPr>
              <w:t>Batas minimal 110 SKS lulus, ambang batas IPK $\ge 2.00$, larangan keberadaan nilai E, kelulusan mata kuliah Metodologi Penelitian minimal nilai C, dan persetujuan draf oleh dosen pembimbing.</w:t>
            </w:r>
          </w:p>
        </w:tc>
      </w:tr>
      <w:tr>
        <w:tc>
          <w:tcPr>
            <w:tcW w:type="dxa" w:w="1984"/>
            <w:tcMar>
              <w:top w:w="80" w:type="dxa"/>
              <w:bottom w:w="80" w:type="dxa"/>
              <w:left w:w="100" w:type="dxa"/>
              <w:right w:w="100" w:type="dxa"/>
            </w:tcMar>
            <w:shd w:fill="FBFBFC"/>
          </w:tcPr>
          <w:p>
            <w:pPr>
              <w:spacing w:before="0" w:after="0" w:line="276" w:lineRule="auto"/>
              <w:jc w:val="left"/>
            </w:pPr>
            <w:r>
              <w:rPr>
                <w:rFonts w:ascii="Times New Roman" w:hAnsi="Times New Roman"/>
                <w:b/>
                <w:sz w:val="19"/>
              </w:rPr>
              <w:t>**Klaster 2**</w:t>
            </w:r>
          </w:p>
        </w:tc>
        <w:tc>
          <w:tcPr>
            <w:tcW w:type="dxa" w:w="1984"/>
            <w:tcMar>
              <w:top w:w="80" w:type="dxa"/>
              <w:bottom w:w="80" w:type="dxa"/>
              <w:left w:w="100" w:type="dxa"/>
              <w:right w:w="100" w:type="dxa"/>
            </w:tcMar>
            <w:shd w:fill="FBFBFC"/>
          </w:tcPr>
          <w:p>
            <w:pPr>
              <w:spacing w:before="0" w:after="0" w:line="276" w:lineRule="auto"/>
              <w:jc w:val="left"/>
            </w:pPr>
            <w:r>
              <w:rPr>
                <w:rFonts w:ascii="Times New Roman" w:hAnsi="Times New Roman"/>
                <w:sz w:val="19"/>
              </w:rPr>
              <w:t>Beban SKS Semester &amp; Nilai IPS</w:t>
            </w:r>
          </w:p>
        </w:tc>
        <w:tc>
          <w:tcPr>
            <w:tcW w:type="dxa" w:w="1984"/>
            <w:tcMar>
              <w:top w:w="80" w:type="dxa"/>
              <w:bottom w:w="80" w:type="dxa"/>
              <w:left w:w="100" w:type="dxa"/>
              <w:right w:w="100" w:type="dxa"/>
            </w:tcMar>
            <w:shd w:fill="FBFBFC"/>
          </w:tcPr>
          <w:p>
            <w:pPr>
              <w:spacing w:before="0" w:after="0" w:line="276" w:lineRule="auto"/>
              <w:jc w:val="center"/>
            </w:pPr>
            <w:r>
              <w:rPr>
                <w:rFonts w:ascii="Times New Roman" w:hAnsi="Times New Roman"/>
                <w:b/>
                <w:sz w:val="19"/>
              </w:rPr>
              <w:t>10 (S11–S20)</w:t>
            </w:r>
          </w:p>
        </w:tc>
        <w:tc>
          <w:tcPr>
            <w:tcW w:type="dxa" w:w="1984"/>
            <w:tcMar>
              <w:top w:w="80" w:type="dxa"/>
              <w:bottom w:w="80" w:type="dxa"/>
              <w:left w:w="100" w:type="dxa"/>
              <w:right w:w="100" w:type="dxa"/>
            </w:tcMar>
            <w:shd w:fill="FBFBFC"/>
          </w:tcPr>
          <w:p>
            <w:pPr>
              <w:spacing w:before="0" w:after="0" w:line="276" w:lineRule="auto"/>
              <w:jc w:val="left"/>
            </w:pPr>
            <w:r>
              <w:rPr>
                <w:rFonts w:ascii="Times New Roman" w:hAnsi="Times New Roman"/>
                <w:sz w:val="19"/>
              </w:rPr>
              <w:t>Konversi jatah SKS berdasarkan IPS semester lalu (IPS $\ge 3.00 \to 24$ SKS; $2.50 \le \text{IPS} &lt; 3.00 \to 21$ SKS; dsb.), batas SKS semester pendek (maksimal 9 SKS), dan penolakan jatah SKS melebihi batas legal 24 SKS.</w:t>
            </w:r>
          </w:p>
        </w:tc>
      </w:tr>
      <w:tr>
        <w:tc>
          <w:tcPr>
            <w:tcW w:type="dxa" w:w="1984"/>
            <w:tcMar>
              <w:top w:w="80" w:type="dxa"/>
              <w:bottom w:w="80" w:type="dxa"/>
              <w:left w:w="100" w:type="dxa"/>
              <w:right w:w="100" w:type="dxa"/>
            </w:tcMar>
            <w:shd w:fill="FFFFFF"/>
          </w:tcPr>
          <w:p>
            <w:pPr>
              <w:spacing w:before="0" w:after="0" w:line="276" w:lineRule="auto"/>
              <w:jc w:val="left"/>
            </w:pPr>
            <w:r>
              <w:rPr>
                <w:rFonts w:ascii="Times New Roman" w:hAnsi="Times New Roman"/>
                <w:b/>
                <w:sz w:val="19"/>
              </w:rPr>
              <w:t>**Klaster 3**</w:t>
            </w:r>
          </w:p>
        </w:tc>
        <w:tc>
          <w:tcPr>
            <w:tcW w:type="dxa" w:w="1984"/>
            <w:tcMar>
              <w:top w:w="80" w:type="dxa"/>
              <w:bottom w:w="80" w:type="dxa"/>
              <w:left w:w="100" w:type="dxa"/>
              <w:right w:w="100" w:type="dxa"/>
            </w:tcMar>
            <w:shd w:fill="FFFFFF"/>
          </w:tcPr>
          <w:p>
            <w:pPr>
              <w:spacing w:before="0" w:after="0" w:line="276" w:lineRule="auto"/>
              <w:jc w:val="left"/>
            </w:pPr>
            <w:r>
              <w:rPr>
                <w:rFonts w:ascii="Times New Roman" w:hAnsi="Times New Roman"/>
                <w:sz w:val="19"/>
              </w:rPr>
              <w:t>Masa Berlaku SK &amp; Pembimbingan</w:t>
            </w:r>
          </w:p>
        </w:tc>
        <w:tc>
          <w:tcPr>
            <w:tcW w:type="dxa" w:w="1984"/>
            <w:tcMar>
              <w:top w:w="80" w:type="dxa"/>
              <w:bottom w:w="80" w:type="dxa"/>
              <w:left w:w="100" w:type="dxa"/>
              <w:right w:w="100" w:type="dxa"/>
            </w:tcMar>
            <w:shd w:fill="FFFFFF"/>
          </w:tcPr>
          <w:p>
            <w:pPr>
              <w:spacing w:before="0" w:after="0" w:line="276" w:lineRule="auto"/>
              <w:jc w:val="center"/>
            </w:pPr>
            <w:r>
              <w:rPr>
                <w:rFonts w:ascii="Times New Roman" w:hAnsi="Times New Roman"/>
                <w:b/>
                <w:sz w:val="19"/>
              </w:rPr>
              <w:t>10 (S21–S30)</w:t>
            </w:r>
          </w:p>
        </w:tc>
        <w:tc>
          <w:tcPr>
            <w:tcW w:type="dxa" w:w="1984"/>
            <w:tcMar>
              <w:top w:w="80" w:type="dxa"/>
              <w:bottom w:w="80" w:type="dxa"/>
              <w:left w:w="100" w:type="dxa"/>
              <w:right w:w="100" w:type="dxa"/>
            </w:tcMar>
            <w:shd w:fill="FFFFFF"/>
          </w:tcPr>
          <w:p>
            <w:pPr>
              <w:spacing w:before="0" w:after="0" w:line="276" w:lineRule="auto"/>
              <w:jc w:val="left"/>
            </w:pPr>
            <w:r>
              <w:rPr>
                <w:rFonts w:ascii="Times New Roman" w:hAnsi="Times New Roman"/>
                <w:sz w:val="19"/>
              </w:rPr>
              <w:t>Durasi aktif SK pembimbing tugas akhir (1 semester), batas maksimal perpanjangan (1 kali perpanjangan / 1 semester tambahan), syarat logbook bimbingan minimal 8 kali, dan pergantian pembimbing.</w:t>
            </w:r>
          </w:p>
        </w:tc>
      </w:tr>
      <w:tr>
        <w:tc>
          <w:tcPr>
            <w:tcW w:type="dxa" w:w="1984"/>
            <w:tcMar>
              <w:top w:w="80" w:type="dxa"/>
              <w:bottom w:w="80" w:type="dxa"/>
              <w:left w:w="100" w:type="dxa"/>
              <w:right w:w="100" w:type="dxa"/>
            </w:tcMar>
            <w:shd w:fill="FBFBFC"/>
          </w:tcPr>
          <w:p>
            <w:pPr>
              <w:spacing w:before="0" w:after="0" w:line="276" w:lineRule="auto"/>
              <w:jc w:val="left"/>
            </w:pPr>
            <w:r>
              <w:rPr>
                <w:rFonts w:ascii="Times New Roman" w:hAnsi="Times New Roman"/>
                <w:b/>
                <w:sz w:val="19"/>
              </w:rPr>
              <w:t>**Klaster 4**</w:t>
            </w:r>
          </w:p>
        </w:tc>
        <w:tc>
          <w:tcPr>
            <w:tcW w:type="dxa" w:w="1984"/>
            <w:tcMar>
              <w:top w:w="80" w:type="dxa"/>
              <w:bottom w:w="80" w:type="dxa"/>
              <w:left w:w="100" w:type="dxa"/>
              <w:right w:w="100" w:type="dxa"/>
            </w:tcMar>
            <w:shd w:fill="FBFBFC"/>
          </w:tcPr>
          <w:p>
            <w:pPr>
              <w:spacing w:before="0" w:after="0" w:line="276" w:lineRule="auto"/>
              <w:jc w:val="left"/>
            </w:pPr>
            <w:r>
              <w:rPr>
                <w:rFonts w:ascii="Times New Roman" w:hAnsi="Times New Roman"/>
                <w:sz w:val="19"/>
              </w:rPr>
              <w:t>Batas Toleransi Turnitin &amp; Plagiarisme</w:t>
            </w:r>
          </w:p>
        </w:tc>
        <w:tc>
          <w:tcPr>
            <w:tcW w:type="dxa" w:w="1984"/>
            <w:tcMar>
              <w:top w:w="80" w:type="dxa"/>
              <w:bottom w:w="80" w:type="dxa"/>
              <w:left w:w="100" w:type="dxa"/>
              <w:right w:w="100" w:type="dxa"/>
            </w:tcMar>
            <w:shd w:fill="FBFBFC"/>
          </w:tcPr>
          <w:p>
            <w:pPr>
              <w:spacing w:before="0" w:after="0" w:line="276" w:lineRule="auto"/>
              <w:jc w:val="center"/>
            </w:pPr>
            <w:r>
              <w:rPr>
                <w:rFonts w:ascii="Times New Roman" w:hAnsi="Times New Roman"/>
                <w:b/>
                <w:sz w:val="19"/>
              </w:rPr>
              <w:t>10 (S31–S40)</w:t>
            </w:r>
          </w:p>
        </w:tc>
        <w:tc>
          <w:tcPr>
            <w:tcW w:type="dxa" w:w="1984"/>
            <w:tcMar>
              <w:top w:w="80" w:type="dxa"/>
              <w:bottom w:w="80" w:type="dxa"/>
              <w:left w:w="100" w:type="dxa"/>
              <w:right w:w="100" w:type="dxa"/>
            </w:tcMar>
            <w:shd w:fill="FBFBFC"/>
          </w:tcPr>
          <w:p>
            <w:pPr>
              <w:spacing w:before="0" w:after="0" w:line="276" w:lineRule="auto"/>
              <w:jc w:val="left"/>
            </w:pPr>
            <w:r>
              <w:rPr>
                <w:rFonts w:ascii="Times New Roman" w:hAnsi="Times New Roman"/>
                <w:sz w:val="19"/>
              </w:rPr>
              <w:t>Ambang batas maksimal *similarity index* 20%, verifikasi konfigurasi *exclude quotes* dan *exclude bibliography*, prosedur cek ulang jika melebihi batas, dan sanksi pelanggaran etika akademik.</w:t>
            </w:r>
          </w:p>
        </w:tc>
      </w:tr>
      <w:tr>
        <w:tc>
          <w:tcPr>
            <w:tcW w:type="dxa" w:w="1984"/>
            <w:tcMar>
              <w:top w:w="80" w:type="dxa"/>
              <w:bottom w:w="80" w:type="dxa"/>
              <w:left w:w="100" w:type="dxa"/>
              <w:right w:w="100" w:type="dxa"/>
            </w:tcMar>
            <w:shd w:fill="FFFFFF"/>
          </w:tcPr>
          <w:p>
            <w:pPr>
              <w:spacing w:before="0" w:after="0" w:line="276" w:lineRule="auto"/>
              <w:jc w:val="left"/>
            </w:pPr>
            <w:r>
              <w:rPr>
                <w:rFonts w:ascii="Times New Roman" w:hAnsi="Times New Roman"/>
                <w:b/>
                <w:sz w:val="19"/>
              </w:rPr>
              <w:t>**Klaster 5**</w:t>
            </w:r>
          </w:p>
        </w:tc>
        <w:tc>
          <w:tcPr>
            <w:tcW w:type="dxa" w:w="1984"/>
            <w:tcMar>
              <w:top w:w="80" w:type="dxa"/>
              <w:bottom w:w="80" w:type="dxa"/>
              <w:left w:w="100" w:type="dxa"/>
              <w:right w:w="100" w:type="dxa"/>
            </w:tcMar>
            <w:shd w:fill="FFFFFF"/>
          </w:tcPr>
          <w:p>
            <w:pPr>
              <w:spacing w:before="0" w:after="0" w:line="276" w:lineRule="auto"/>
              <w:jc w:val="left"/>
            </w:pPr>
            <w:r>
              <w:rPr>
                <w:rFonts w:ascii="Times New Roman" w:hAnsi="Times New Roman"/>
                <w:sz w:val="19"/>
              </w:rPr>
              <w:t>Evaluasi Studi &amp; Yudisium Kelulusan</w:t>
            </w:r>
          </w:p>
        </w:tc>
        <w:tc>
          <w:tcPr>
            <w:tcW w:type="dxa" w:w="1984"/>
            <w:tcMar>
              <w:top w:w="80" w:type="dxa"/>
              <w:bottom w:w="80" w:type="dxa"/>
              <w:left w:w="100" w:type="dxa"/>
              <w:right w:w="100" w:type="dxa"/>
            </w:tcMar>
            <w:shd w:fill="FFFFFF"/>
          </w:tcPr>
          <w:p>
            <w:pPr>
              <w:spacing w:before="0" w:after="0" w:line="276" w:lineRule="auto"/>
              <w:jc w:val="center"/>
            </w:pPr>
            <w:r>
              <w:rPr>
                <w:rFonts w:ascii="Times New Roman" w:hAnsi="Times New Roman"/>
                <w:b/>
                <w:sz w:val="19"/>
              </w:rPr>
              <w:t>10 (S41–S50)</w:t>
            </w:r>
          </w:p>
        </w:tc>
        <w:tc>
          <w:tcPr>
            <w:tcW w:type="dxa" w:w="1984"/>
            <w:tcMar>
              <w:top w:w="80" w:type="dxa"/>
              <w:bottom w:w="80" w:type="dxa"/>
              <w:left w:w="100" w:type="dxa"/>
              <w:right w:w="100" w:type="dxa"/>
            </w:tcMar>
            <w:shd w:fill="FFFFFF"/>
          </w:tcPr>
          <w:p>
            <w:pPr>
              <w:spacing w:before="0" w:after="0" w:line="276" w:lineRule="auto"/>
              <w:jc w:val="left"/>
            </w:pPr>
            <w:r>
              <w:rPr>
                <w:rFonts w:ascii="Times New Roman" w:hAnsi="Times New Roman"/>
                <w:sz w:val="19"/>
              </w:rPr>
              <w:t>Total penyelesaian minimal 144 SKS, batas maksimal persentase nilai D ($\le 10\%$ atau 14 SKS), skor minimal CEPT CILACS (450 untuk S1 Reguler), evaluasi DO semester 4 (minimal 35 SKS) dan semester 8 (minimal 70 SKS).</w:t>
            </w:r>
          </w:p>
        </w:tc>
      </w:tr>
    </w:tbl>
    <w:p>
      <w:pPr>
        <w:spacing w:after="120"/>
      </w:pPr>
    </w:p>
    <w:p>
      <w:pPr>
        <w:spacing w:before="200" w:after="40" w:line="276" w:lineRule="auto"/>
        <w:jc w:val="left"/>
      </w:pPr>
      <w:r>
        <w:rPr>
          <w:rFonts w:ascii="Times New Roman" w:hAnsi="Times New Roman"/>
          <w:b/>
          <w:i/>
          <w:color w:val="000000"/>
          <w:sz w:val="24"/>
        </w:rPr>
        <w:t>3.4.2 Implementasi *Automated LLM-as-Judge Runner*</w:t>
      </w:r>
    </w:p>
    <w:p>
      <w:pPr>
        <w:spacing w:before="0" w:after="120" w:line="360" w:lineRule="auto"/>
        <w:jc w:val="both"/>
      </w:pPr>
      <w:r>
        <w:rPr>
          <w:rFonts w:ascii="Times New Roman" w:hAnsi="Times New Roman"/>
          <w:b w:val="0"/>
          <w:i w:val="0"/>
          <w:sz w:val="24"/>
        </w:rPr>
        <w:t>Evaluasi terhadap 50 skenario dieksekusi secara otomatis melalui runner berbasis Go yang dibangun di dalam repositori (`cmd/bench/main.go` dan `internal/benchmark`). Penguji otomatis ini bekerja dengan alur:</w:t>
      </w:r>
    </w:p>
    <w:p>
      <w:pPr>
        <w:spacing w:before="0" w:after="120" w:line="360" w:lineRule="auto"/>
        <w:jc w:val="both"/>
      </w:pPr>
      <w:r>
        <w:rPr>
          <w:rFonts w:ascii="Times New Roman" w:hAnsi="Times New Roman"/>
          <w:b w:val="0"/>
          <w:i w:val="0"/>
          <w:sz w:val="24"/>
        </w:rPr>
        <w:t>1. Memuat seluruh berkas skenario dari `testdata/uii_bench_50.json`.</w:t>
      </w:r>
    </w:p>
    <w:p>
      <w:pPr>
        <w:spacing w:before="0" w:after="120" w:line="360" w:lineRule="auto"/>
        <w:jc w:val="both"/>
      </w:pPr>
      <w:r>
        <w:rPr>
          <w:rFonts w:ascii="Times New Roman" w:hAnsi="Times New Roman"/>
          <w:b w:val="0"/>
          <w:i w:val="0"/>
          <w:sz w:val="24"/>
        </w:rPr>
        <w:t>2. Menyuapkan setiap kueri $q$ ke dalam pipeline AURA Core untuk memperoleh konteks terpilih $\mathcal{P}$ dan jawaban sistem $a$.</w:t>
      </w:r>
    </w:p>
    <w:p>
      <w:pPr>
        <w:spacing w:before="0" w:after="120" w:line="360" w:lineRule="auto"/>
        <w:jc w:val="both"/>
      </w:pPr>
      <w:r>
        <w:rPr>
          <w:rFonts w:ascii="Times New Roman" w:hAnsi="Times New Roman"/>
          <w:b w:val="0"/>
          <w:i w:val="0"/>
          <w:sz w:val="24"/>
        </w:rPr>
        <w:t>3. Mengirimkan triplet $(q, \mathcal{P}, a)$ ke model penilai (</w:t>
      </w:r>
      <w:r>
        <w:rPr>
          <w:rFonts w:ascii="Times New Roman" w:hAnsi="Times New Roman"/>
          <w:i/>
          <w:sz w:val="24"/>
        </w:rPr>
        <w:t>Judge LLM</w:t>
      </w:r>
      <w:r>
        <w:rPr>
          <w:rFonts w:ascii="Times New Roman" w:hAnsi="Times New Roman"/>
          <w:b w:val="0"/>
          <w:i w:val="0"/>
          <w:sz w:val="24"/>
        </w:rPr>
        <w:t>) dengan suhu $\tau = 0.0$ untuk menghasilkan skor deterministik pada rentang $[0.0, 1.0]$ untuk ketiga metrik RAG Triad:</w:t>
      </w:r>
    </w:p>
    <w:p>
      <w:pPr>
        <w:spacing w:before="0" w:after="120" w:line="360" w:lineRule="auto"/>
        <w:ind w:left="454"/>
        <w:jc w:val="both"/>
      </w:pPr>
      <w:r>
        <w:rPr>
          <w:rFonts w:ascii="Times New Roman" w:hAnsi="Times New Roman"/>
          <w:b/>
          <w:sz w:val="24"/>
        </w:rPr>
        <w:t xml:space="preserve">•  </w:t>
      </w:r>
      <w:r>
        <w:rPr>
          <w:rFonts w:ascii="Times New Roman" w:hAnsi="Times New Roman"/>
          <w:b/>
          <w:sz w:val="24"/>
        </w:rPr>
        <w:t>Context Relevance (CR)</w:t>
      </w:r>
      <w:r>
        <w:rPr>
          <w:rFonts w:ascii="Times New Roman" w:hAnsi="Times New Roman"/>
          <w:b w:val="0"/>
          <w:i w:val="0"/>
          <w:sz w:val="24"/>
        </w:rPr>
        <w:t>: Penilai memeriksa rasio keterpautan konteks pasal yang diretrieve terhadap kueri mahasiswa.</w:t>
      </w:r>
    </w:p>
    <w:p>
      <w:pPr>
        <w:spacing w:before="0" w:after="120" w:line="360" w:lineRule="auto"/>
        <w:ind w:left="454"/>
        <w:jc w:val="both"/>
      </w:pPr>
      <w:r>
        <w:rPr>
          <w:rFonts w:ascii="Times New Roman" w:hAnsi="Times New Roman"/>
          <w:b/>
          <w:sz w:val="24"/>
        </w:rPr>
        <w:t xml:space="preserve">•  </w:t>
      </w:r>
      <w:r>
        <w:rPr>
          <w:rFonts w:ascii="Times New Roman" w:hAnsi="Times New Roman"/>
          <w:b/>
          <w:sz w:val="24"/>
        </w:rPr>
        <w:t>Groundedness (G)</w:t>
      </w:r>
      <w:r>
        <w:rPr>
          <w:rFonts w:ascii="Times New Roman" w:hAnsi="Times New Roman"/>
          <w:b w:val="0"/>
          <w:i w:val="0"/>
          <w:sz w:val="24"/>
        </w:rPr>
        <w:t>: Penilai memecah jawaban sistem menjadi proposisi klaim independen dan memverifikasi apakah klaim tersebut memiliki rujukan faktual pada teks pasal.</w:t>
      </w:r>
    </w:p>
    <w:p>
      <w:pPr>
        <w:spacing w:before="0" w:after="120" w:line="360" w:lineRule="auto"/>
        <w:ind w:left="454"/>
        <w:jc w:val="both"/>
      </w:pPr>
      <w:r>
        <w:rPr>
          <w:rFonts w:ascii="Times New Roman" w:hAnsi="Times New Roman"/>
          <w:b/>
          <w:sz w:val="24"/>
        </w:rPr>
        <w:t xml:space="preserve">•  </w:t>
      </w:r>
      <w:r>
        <w:rPr>
          <w:rFonts w:ascii="Times New Roman" w:hAnsi="Times New Roman"/>
          <w:b/>
          <w:sz w:val="24"/>
        </w:rPr>
        <w:t>Answer Relevance (AR)</w:t>
      </w:r>
      <w:r>
        <w:rPr>
          <w:rFonts w:ascii="Times New Roman" w:hAnsi="Times New Roman"/>
          <w:b w:val="0"/>
          <w:i w:val="0"/>
          <w:sz w:val="24"/>
        </w:rPr>
        <w:t>: Penilai mengukur kelengkapan dan ketajaman jawaban sistem dalam menyelesaikan inti masalah kueri.</w:t>
      </w:r>
    </w:p>
    <w:p>
      <w:pPr>
        <w:spacing w:before="0" w:after="120" w:line="360" w:lineRule="auto"/>
        <w:jc w:val="both"/>
      </w:pPr>
      <w:r>
        <w:rPr>
          <w:rFonts w:ascii="Times New Roman" w:hAnsi="Times New Roman"/>
          <w:b w:val="0"/>
          <w:i w:val="0"/>
          <w:sz w:val="24"/>
        </w:rPr>
        <w:t xml:space="preserve">4. Menghitung rata-rata harmonik </w:t>
      </w:r>
      <w:r>
        <w:rPr>
          <w:rFonts w:ascii="Times New Roman" w:hAnsi="Times New Roman"/>
          <w:i/>
          <w:sz w:val="24"/>
        </w:rPr>
        <w:t>RAG Triad Score</w:t>
      </w:r>
      <w:r>
        <w:rPr>
          <w:rFonts w:ascii="Times New Roman" w:hAnsi="Times New Roman"/>
          <w:b w:val="0"/>
          <w:i w:val="0"/>
          <w:sz w:val="24"/>
        </w:rPr>
        <w:t xml:space="preserve"> (RTS) untuk setiap skenario serta mengekspor seluruh rekapitulasi data ke dalam format CSV dan Markdown di direktori `benchmark_results/`.</w:t>
      </w:r>
    </w:p>
    <w:p>
      <w:pPr>
        <w:spacing w:before="200" w:after="40" w:line="276" w:lineRule="auto"/>
        <w:jc w:val="left"/>
      </w:pPr>
      <w:r>
        <w:rPr>
          <w:rFonts w:ascii="Times New Roman" w:hAnsi="Times New Roman"/>
          <w:b/>
          <w:i/>
          <w:color w:val="000000"/>
          <w:sz w:val="24"/>
        </w:rPr>
        <w:t>3.4.3 Desain Eksperimen Studi Ablasi (*Ablation Study*)</w:t>
      </w:r>
    </w:p>
    <w:p>
      <w:pPr>
        <w:spacing w:before="0" w:after="120" w:line="360" w:lineRule="auto"/>
        <w:jc w:val="both"/>
      </w:pPr>
      <w:r>
        <w:rPr>
          <w:rFonts w:ascii="Times New Roman" w:hAnsi="Times New Roman"/>
          <w:b w:val="0"/>
          <w:i w:val="0"/>
          <w:sz w:val="24"/>
        </w:rPr>
        <w:t xml:space="preserve">Untuk membuktikan secara ilmiah keunggulan arsitektur </w:t>
      </w:r>
      <w:r>
        <w:rPr>
          <w:rFonts w:ascii="Times New Roman" w:hAnsi="Times New Roman"/>
          <w:i/>
          <w:sz w:val="24"/>
        </w:rPr>
        <w:t>Two-Stage RAG</w:t>
      </w:r>
      <w:r>
        <w:rPr>
          <w:rFonts w:ascii="Times New Roman" w:hAnsi="Times New Roman"/>
          <w:b w:val="0"/>
          <w:i w:val="0"/>
          <w:sz w:val="24"/>
        </w:rPr>
        <w:t xml:space="preserve"> dibandingkan arsitektur konvensional, dilakukan pengujian ablasi terkontrol:</w:t>
      </w:r>
    </w:p>
    <w:p>
      <w:pPr>
        <w:spacing w:before="0" w:after="120" w:line="360" w:lineRule="auto"/>
        <w:ind w:left="454"/>
        <w:jc w:val="both"/>
      </w:pPr>
      <w:r>
        <w:rPr>
          <w:rFonts w:ascii="Times New Roman" w:hAnsi="Times New Roman"/>
          <w:b/>
          <w:sz w:val="24"/>
        </w:rPr>
        <w:t xml:space="preserve">•  </w:t>
      </w:r>
      <w:r>
        <w:rPr>
          <w:rFonts w:ascii="Times New Roman" w:hAnsi="Times New Roman"/>
          <w:b/>
          <w:sz w:val="24"/>
        </w:rPr>
        <w:t>Baseline (Single-Stage RAG)</w:t>
      </w:r>
      <w:r>
        <w:rPr>
          <w:rFonts w:ascii="Times New Roman" w:hAnsi="Times New Roman"/>
          <w:b w:val="0"/>
          <w:i w:val="0"/>
          <w:sz w:val="24"/>
        </w:rPr>
        <w:t xml:space="preserve">: Tahap </w:t>
      </w:r>
      <w:r>
        <w:rPr>
          <w:rFonts w:ascii="Times New Roman" w:hAnsi="Times New Roman"/>
          <w:i/>
          <w:sz w:val="24"/>
        </w:rPr>
        <w:t>Cross-Encoder Neural Reranking</w:t>
      </w:r>
      <w:r>
        <w:rPr>
          <w:rFonts w:ascii="Times New Roman" w:hAnsi="Times New Roman"/>
          <w:b w:val="0"/>
          <w:i w:val="0"/>
          <w:sz w:val="24"/>
        </w:rPr>
        <w:t xml:space="preserve"> dimatikan secara terprogram (`disableRerank = true`). Kandidat Top-8 dari hasil penelusuran vektor </w:t>
      </w:r>
      <w:r>
        <w:rPr>
          <w:rFonts w:ascii="Times New Roman" w:hAnsi="Times New Roman"/>
          <w:i/>
          <w:sz w:val="24"/>
        </w:rPr>
        <w:t>dense ANN</w:t>
      </w:r>
      <w:r>
        <w:rPr>
          <w:rFonts w:ascii="Times New Roman" w:hAnsi="Times New Roman"/>
          <w:b w:val="0"/>
          <w:i w:val="0"/>
          <w:sz w:val="24"/>
        </w:rPr>
        <w:t xml:space="preserve"> Pinecone langsung disuapkan ke LLM generator.</w:t>
      </w:r>
    </w:p>
    <w:p>
      <w:pPr>
        <w:spacing w:before="0" w:after="120" w:line="360" w:lineRule="auto"/>
        <w:ind w:left="454"/>
        <w:jc w:val="both"/>
      </w:pPr>
      <w:r>
        <w:rPr>
          <w:rFonts w:ascii="Times New Roman" w:hAnsi="Times New Roman"/>
          <w:b/>
          <w:sz w:val="24"/>
        </w:rPr>
        <w:t xml:space="preserve">•  </w:t>
      </w:r>
      <w:r>
        <w:rPr>
          <w:rFonts w:ascii="Times New Roman" w:hAnsi="Times New Roman"/>
          <w:b/>
          <w:sz w:val="24"/>
        </w:rPr>
        <w:t>Proposed Architecture (Two-Stage RAG)</w:t>
      </w:r>
      <w:r>
        <w:rPr>
          <w:rFonts w:ascii="Times New Roman" w:hAnsi="Times New Roman"/>
          <w:b w:val="0"/>
          <w:i w:val="0"/>
          <w:sz w:val="24"/>
        </w:rPr>
        <w:t xml:space="preserve">: Pipeline lengkap AURA Core dijalankan, di mana Top-20 kandidat ANN disaring kembali oleh </w:t>
      </w:r>
      <w:r>
        <w:rPr>
          <w:rFonts w:ascii="Times New Roman" w:hAnsi="Times New Roman"/>
          <w:i/>
          <w:sz w:val="24"/>
        </w:rPr>
        <w:t>Cross-Encoder</w:t>
      </w:r>
      <w:r>
        <w:rPr>
          <w:rFonts w:ascii="Times New Roman" w:hAnsi="Times New Roman"/>
          <w:b w:val="0"/>
          <w:i w:val="0"/>
          <w:sz w:val="24"/>
        </w:rPr>
        <w:t xml:space="preserve"> Cohere Rerank v3.5 menjadi Top-8 sebelum disuapkan ke LLM generator.</w:t>
      </w:r>
    </w:p>
    <w:p>
      <w:pPr>
        <w:spacing w:before="0" w:after="120" w:line="360" w:lineRule="auto"/>
        <w:ind w:left="454"/>
        <w:jc w:val="both"/>
      </w:pPr>
      <w:r>
        <w:rPr>
          <w:rFonts w:ascii="Times New Roman" w:hAnsi="Times New Roman"/>
          <w:b/>
          <w:sz w:val="24"/>
        </w:rPr>
        <w:t xml:space="preserve">•  </w:t>
      </w:r>
      <w:r>
        <w:rPr>
          <w:rFonts w:ascii="Times New Roman" w:hAnsi="Times New Roman"/>
          <w:b w:val="0"/>
          <w:i w:val="0"/>
          <w:sz w:val="24"/>
        </w:rPr>
        <w:t xml:space="preserve">Pengujian dijalankan pada dataset </w:t>
      </w:r>
      <w:r>
        <w:rPr>
          <w:rFonts w:ascii="Times New Roman" w:hAnsi="Times New Roman"/>
          <w:i/>
          <w:sz w:val="24"/>
        </w:rPr>
        <w:t>UII-Bench-50</w:t>
      </w:r>
      <w:r>
        <w:rPr>
          <w:rFonts w:ascii="Times New Roman" w:hAnsi="Times New Roman"/>
          <w:b w:val="0"/>
          <w:i w:val="0"/>
          <w:sz w:val="24"/>
        </w:rPr>
        <w:t xml:space="preserve"> yang identik, dan hasil komparasi metrik $CR$, $G$, $AR$, $RTS$, serta delta waktu komputasi dianalisis.</w:t>
      </w:r>
    </w:p>
    <w:p>
      <w:pPr>
        <w:spacing w:before="200" w:after="40" w:line="276" w:lineRule="auto"/>
        <w:jc w:val="left"/>
      </w:pPr>
      <w:r>
        <w:rPr>
          <w:rFonts w:ascii="Times New Roman" w:hAnsi="Times New Roman"/>
          <w:b/>
          <w:i/>
          <w:color w:val="000000"/>
          <w:sz w:val="24"/>
        </w:rPr>
        <w:t>3.4.4 Desain 15 Studi Kasus Siklus Hidup Mahasiswa (*CS01–CS15*)</w:t>
      </w:r>
    </w:p>
    <w:p>
      <w:pPr>
        <w:spacing w:before="0" w:after="120" w:line="360" w:lineRule="auto"/>
        <w:jc w:val="both"/>
      </w:pPr>
      <w:r>
        <w:rPr>
          <w:rFonts w:ascii="Times New Roman" w:hAnsi="Times New Roman"/>
          <w:b w:val="0"/>
          <w:i w:val="0"/>
          <w:sz w:val="24"/>
        </w:rPr>
        <w:t xml:space="preserve">Di samping pengujian kuantitatif agregat, dirancang 15 studi kasus kualitatif yang merepresentasikan seluruh rentang siklus studi sarjana (mulai dari semester awal, masa penentuan beban SKS, fase tugas akhir, hingga yudisium dan evaluasi putus studi). Pengujian ini bertujuan untuk membuktikan keandalan sistem dalam memverifikasi profil mahasiswa secara </w:t>
      </w:r>
      <w:r>
        <w:rPr>
          <w:rFonts w:ascii="Times New Roman" w:hAnsi="Times New Roman"/>
          <w:i/>
          <w:sz w:val="24"/>
        </w:rPr>
        <w:t>case-by-case</w:t>
      </w:r>
      <w:r>
        <w:rPr>
          <w:rFonts w:ascii="Times New Roman" w:hAnsi="Times New Roman"/>
          <w:b w:val="0"/>
          <w:i w:val="0"/>
          <w:sz w:val="24"/>
        </w:rPr>
        <w:t xml:space="preserve"> dengan hasil keputusan (</w:t>
      </w:r>
      <w:r>
        <w:rPr>
          <w:rFonts w:ascii="Times New Roman" w:hAnsi="Times New Roman"/>
          <w:i/>
          <w:sz w:val="24"/>
        </w:rPr>
        <w:t>verdict</w:t>
      </w:r>
      <w:r>
        <w:rPr>
          <w:rFonts w:ascii="Times New Roman" w:hAnsi="Times New Roman"/>
          <w:b w:val="0"/>
          <w:i w:val="0"/>
          <w:sz w:val="24"/>
        </w:rPr>
        <w:t>) yang deterministik dan adil sesuai regulasi yang berlaku.</w:t>
      </w:r>
    </w:p>
    <w:sectPr w:rsidR="00FC693F" w:rsidRPr="0006063C" w:rsidSect="00034616">
      <w:pgSz w:w="11906" w:h="16838"/>
      <w:pgMar w:top="2268"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