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8"/>
        </w:rPr>
        <w:t>BAB V</w:t>
      </w:r>
    </w:p>
    <w:p>
      <w:pPr>
        <w:spacing w:before="360" w:after="240" w:line="276" w:lineRule="auto"/>
        <w:jc w:val="center"/>
      </w:pPr>
      <w:r>
        <w:rPr>
          <w:rFonts w:ascii="Times New Roman" w:hAnsi="Times New Roman"/>
          <w:b/>
          <w:color w:val="000000"/>
          <w:sz w:val="28"/>
        </w:rPr>
        <w:t>KESIMPULAN DAN SARAN</w:t>
      </w:r>
    </w:p>
    <w:p>
      <w:pPr>
        <w:spacing w:before="280" w:after="80" w:line="276" w:lineRule="auto"/>
        <w:jc w:val="left"/>
      </w:pPr>
      <w:r>
        <w:rPr>
          <w:rFonts w:ascii="Times New Roman" w:hAnsi="Times New Roman"/>
          <w:b/>
          <w:color w:val="000000"/>
          <w:sz w:val="24"/>
        </w:rPr>
        <w:t>5.1 Kesimpulan</w:t>
      </w:r>
    </w:p>
    <w:p>
      <w:pPr>
        <w:spacing w:before="0" w:after="120" w:line="360" w:lineRule="auto"/>
        <w:jc w:val="both"/>
      </w:pPr>
      <w:r>
        <w:rPr>
          <w:rFonts w:ascii="Times New Roman" w:hAnsi="Times New Roman"/>
          <w:b w:val="0"/>
          <w:i w:val="0"/>
          <w:sz w:val="24"/>
        </w:rPr>
        <w:t xml:space="preserve">Berdasarkan keseluruhan tahapan penelitian, perancangan arsitektur, implementasi, serta serangkaian evaluasi kuantitatif dan kualitatif yang telah dilaksanakan pada sistem </w:t>
      </w:r>
      <w:r>
        <w:rPr>
          <w:rFonts w:ascii="Times New Roman" w:hAnsi="Times New Roman"/>
          <w:b/>
          <w:sz w:val="24"/>
        </w:rPr>
        <w:t>AURA Core</w:t>
      </w:r>
      <w:r>
        <w:rPr>
          <w:rFonts w:ascii="Times New Roman" w:hAnsi="Times New Roman"/>
          <w:b w:val="0"/>
          <w:i w:val="0"/>
          <w:sz w:val="24"/>
        </w:rPr>
        <w:t xml:space="preserve"> (</w:t>
      </w:r>
      <w:r>
        <w:rPr>
          <w:rFonts w:ascii="Times New Roman" w:hAnsi="Times New Roman"/>
          <w:i/>
          <w:sz w:val="24"/>
        </w:rPr>
        <w:t>Academic Universal Regulatory Assistant</w:t>
      </w:r>
      <w:r>
        <w:rPr>
          <w:rFonts w:ascii="Times New Roman" w:hAnsi="Times New Roman"/>
          <w:b w:val="0"/>
          <w:i w:val="0"/>
          <w:sz w:val="24"/>
        </w:rPr>
        <w:t>), dapat ditarik kesimpulan sebagai berikut:</w:t>
      </w:r>
    </w:p>
    <w:p>
      <w:pPr>
        <w:spacing w:before="0" w:after="120" w:line="360" w:lineRule="auto"/>
        <w:jc w:val="both"/>
      </w:pPr>
      <w:r>
        <w:rPr>
          <w:rFonts w:ascii="Times New Roman" w:hAnsi="Times New Roman"/>
          <w:b w:val="0"/>
          <w:i w:val="0"/>
          <w:sz w:val="24"/>
        </w:rPr>
        <w:t>1. *</w:t>
      </w:r>
      <w:r>
        <w:rPr>
          <w:rFonts w:ascii="Times New Roman" w:hAnsi="Times New Roman"/>
          <w:i/>
          <w:sz w:val="24"/>
        </w:rPr>
        <w:t xml:space="preserve">Keberhasilan Rancang Bangun Arsitektur </w:t>
      </w:r>
      <w:r>
        <w:rPr>
          <w:rFonts w:ascii="Times New Roman" w:hAnsi="Times New Roman"/>
          <w:b w:val="0"/>
          <w:i w:val="0"/>
          <w:sz w:val="24"/>
        </w:rPr>
        <w:t>Pure-Go Native Two-Stage RAG***:</w:t>
      </w:r>
    </w:p>
    <w:p>
      <w:pPr>
        <w:spacing w:before="0" w:after="120" w:line="360" w:lineRule="auto"/>
        <w:jc w:val="both"/>
      </w:pPr>
      <w:r>
        <w:rPr>
          <w:rFonts w:ascii="Times New Roman" w:hAnsi="Times New Roman"/>
          <w:b w:val="0"/>
          <w:i w:val="0"/>
          <w:sz w:val="24"/>
        </w:rPr>
        <w:t>Sistem AURA Core berhasil dibangun secara berdaulat (</w:t>
      </w:r>
      <w:r>
        <w:rPr>
          <w:rFonts w:ascii="Times New Roman" w:hAnsi="Times New Roman"/>
          <w:i/>
          <w:sz w:val="24"/>
        </w:rPr>
        <w:t>sovereign</w:t>
      </w:r>
      <w:r>
        <w:rPr>
          <w:rFonts w:ascii="Times New Roman" w:hAnsi="Times New Roman"/>
          <w:b w:val="0"/>
          <w:i w:val="0"/>
          <w:sz w:val="24"/>
        </w:rPr>
        <w:t xml:space="preserve">) menggunakan bahasa pemrograman Go (Go 1.24+ standard library) tanpa ketergantungan pada kerangka kerja eksternal yang berat seperti LangChain atau LlamaIndex. Arsitektur ini mengintegrasikan tahap penelusuran awal </w:t>
      </w:r>
      <w:r>
        <w:rPr>
          <w:rFonts w:ascii="Times New Roman" w:hAnsi="Times New Roman"/>
          <w:i/>
          <w:sz w:val="24"/>
        </w:rPr>
        <w:t>Dense Vector ANN Retrieval</w:t>
      </w:r>
      <w:r>
        <w:rPr>
          <w:rFonts w:ascii="Times New Roman" w:hAnsi="Times New Roman"/>
          <w:b w:val="0"/>
          <w:i w:val="0"/>
          <w:sz w:val="24"/>
        </w:rPr>
        <w:t xml:space="preserve"> (Top-20 kandidat) dengan tahap penyaringan lanjutan </w:t>
      </w:r>
      <w:r>
        <w:rPr>
          <w:rFonts w:ascii="Times New Roman" w:hAnsi="Times New Roman"/>
          <w:i/>
          <w:sz w:val="24"/>
        </w:rPr>
        <w:t>Cross-Encoder Neural Reranking</w:t>
      </w:r>
      <w:r>
        <w:rPr>
          <w:rFonts w:ascii="Times New Roman" w:hAnsi="Times New Roman"/>
          <w:b w:val="0"/>
          <w:i w:val="0"/>
          <w:sz w:val="24"/>
        </w:rPr>
        <w:t xml:space="preserve"> (Top-8 klausul). Implementasi murni berbasis Go terbukti sangat efisien dengan jejak memori peladen (</w:t>
      </w:r>
      <w:r>
        <w:rPr>
          <w:rFonts w:ascii="Times New Roman" w:hAnsi="Times New Roman"/>
          <w:i/>
          <w:sz w:val="24"/>
        </w:rPr>
        <w:t>memory footprint</w:t>
      </w:r>
      <w:r>
        <w:rPr>
          <w:rFonts w:ascii="Times New Roman" w:hAnsi="Times New Roman"/>
          <w:b w:val="0"/>
          <w:i w:val="0"/>
          <w:sz w:val="24"/>
        </w:rPr>
        <w:t xml:space="preserve">) stabil di bawah 45 MB dan latensi median </w:t>
      </w:r>
      <w:r>
        <w:rPr>
          <w:rFonts w:ascii="Times New Roman" w:hAnsi="Times New Roman"/>
          <w:i/>
          <w:sz w:val="24"/>
        </w:rPr>
        <w:t>end-to-end</w:t>
      </w:r>
      <w:r>
        <w:rPr>
          <w:rFonts w:ascii="Times New Roman" w:hAnsi="Times New Roman"/>
          <w:b w:val="0"/>
          <w:i w:val="0"/>
          <w:sz w:val="24"/>
        </w:rPr>
        <w:t xml:space="preserve"> sebesar 4.24 detik, menjadikannya sangat andal untuk melayani beban kueri konkuren di peladen institusi.</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Jaminan Privasi Data Akademik Mahasiswa Melalui </w:t>
      </w:r>
      <w:r>
        <w:rPr>
          <w:rFonts w:ascii="Times New Roman" w:hAnsi="Times New Roman"/>
          <w:b w:val="0"/>
          <w:i w:val="0"/>
          <w:sz w:val="24"/>
        </w:rPr>
        <w:t>In-Memory Parsing***:</w:t>
      </w:r>
    </w:p>
    <w:p>
      <w:pPr>
        <w:spacing w:before="0" w:after="120" w:line="360" w:lineRule="auto"/>
        <w:jc w:val="both"/>
      </w:pPr>
      <w:r>
        <w:rPr>
          <w:rFonts w:ascii="Times New Roman" w:hAnsi="Times New Roman"/>
          <w:b w:val="0"/>
          <w:i w:val="0"/>
          <w:sz w:val="24"/>
        </w:rPr>
        <w:t xml:space="preserve">Mekanisme isolasi privasi data mahasiswa berhasil diimplementasikan melalui pendekatan </w:t>
      </w:r>
      <w:r>
        <w:rPr>
          <w:rFonts w:ascii="Times New Roman" w:hAnsi="Times New Roman"/>
          <w:i/>
          <w:sz w:val="24"/>
        </w:rPr>
        <w:t>in-memory zero-persistence</w:t>
      </w:r>
      <w:r>
        <w:rPr>
          <w:rFonts w:ascii="Times New Roman" w:hAnsi="Times New Roman"/>
          <w:b w:val="0"/>
          <w:i w:val="0"/>
          <w:sz w:val="24"/>
        </w:rPr>
        <w:t xml:space="preserve">. Dokumen transkrip privat (KHS dan KRS) diproses strictly di dalam memori kerja (RAM) per sesi transaksi aktif. Data akademik mahasiswa tidak pernah diubah menjadi vektor semantik dan </w:t>
      </w:r>
      <w:r>
        <w:rPr>
          <w:rFonts w:ascii="Times New Roman" w:hAnsi="Times New Roman"/>
          <w:b/>
          <w:sz w:val="24"/>
        </w:rPr>
        <w:t>tidak pernah disimpan ke dalam basis data vektor publik bersama</w:t>
      </w:r>
      <w:r>
        <w:rPr>
          <w:rFonts w:ascii="Times New Roman" w:hAnsi="Times New Roman"/>
          <w:b w:val="0"/>
          <w:i w:val="0"/>
          <w:sz w:val="24"/>
        </w:rPr>
        <w:t>, sehingga sepenuhnya meniadakan risiko kebocoran data akademik privat lintas pengguna.</w:t>
      </w:r>
    </w:p>
    <w:p>
      <w:pPr>
        <w:spacing w:before="0" w:after="120" w:line="360" w:lineRule="auto"/>
        <w:jc w:val="both"/>
      </w:pPr>
      <w:r>
        <w:rPr>
          <w:rFonts w:ascii="Times New Roman" w:hAnsi="Times New Roman"/>
          <w:b w:val="0"/>
          <w:i w:val="0"/>
          <w:sz w:val="24"/>
        </w:rPr>
        <w:t>3. *</w:t>
      </w:r>
      <w:r>
        <w:rPr>
          <w:rFonts w:ascii="Times New Roman" w:hAnsi="Times New Roman"/>
          <w:i/>
          <w:sz w:val="24"/>
        </w:rPr>
        <w:t xml:space="preserve">Bukti Empiris Keunggulan </w:t>
      </w:r>
      <w:r>
        <w:rPr>
          <w:rFonts w:ascii="Times New Roman" w:hAnsi="Times New Roman"/>
          <w:b w:val="0"/>
          <w:i w:val="0"/>
          <w:sz w:val="24"/>
        </w:rPr>
        <w:t>Two-Stage RAG</w:t>
      </w:r>
      <w:r>
        <w:rPr>
          <w:rFonts w:ascii="Times New Roman" w:hAnsi="Times New Roman"/>
          <w:i/>
          <w:sz w:val="24"/>
        </w:rPr>
        <w:t xml:space="preserve"> melalui Studi Ablasi</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Pengujian studi ablasi (</w:t>
      </w:r>
      <w:r>
        <w:rPr>
          <w:rFonts w:ascii="Times New Roman" w:hAnsi="Times New Roman"/>
          <w:i/>
          <w:sz w:val="24"/>
        </w:rPr>
        <w:t>ablation study</w:t>
      </w:r>
      <w:r>
        <w:rPr>
          <w:rFonts w:ascii="Times New Roman" w:hAnsi="Times New Roman"/>
          <w:b w:val="0"/>
          <w:i w:val="0"/>
          <w:sz w:val="24"/>
        </w:rPr>
        <w:t xml:space="preserve">) membuktikan secara ilmiah bahwa penambahan tahap </w:t>
      </w:r>
      <w:r>
        <w:rPr>
          <w:rFonts w:ascii="Times New Roman" w:hAnsi="Times New Roman"/>
          <w:i/>
          <w:sz w:val="24"/>
        </w:rPr>
        <w:t>Cross-Encoder Neural Reranking</w:t>
      </w:r>
      <w:r>
        <w:rPr>
          <w:rFonts w:ascii="Times New Roman" w:hAnsi="Times New Roman"/>
          <w:b w:val="0"/>
          <w:i w:val="0"/>
          <w:sz w:val="24"/>
        </w:rPr>
        <w:t xml:space="preserve"> merupakan komponen krusial dalam mengeliminasi halusinasi regulasi. Dibandingkan dengan arsitektur </w:t>
      </w:r>
      <w:r>
        <w:rPr>
          <w:rFonts w:ascii="Times New Roman" w:hAnsi="Times New Roman"/>
          <w:i/>
          <w:sz w:val="24"/>
        </w:rPr>
        <w:t>Single-Stage RAG</w:t>
      </w:r>
      <w:r>
        <w:rPr>
          <w:rFonts w:ascii="Times New Roman" w:hAnsi="Times New Roman"/>
          <w:b w:val="0"/>
          <w:i w:val="0"/>
          <w:sz w:val="24"/>
        </w:rPr>
        <w:t xml:space="preserve"> (yang hanya mencapai nilai </w:t>
      </w:r>
      <w:r>
        <w:rPr>
          <w:rFonts w:ascii="Times New Roman" w:hAnsi="Times New Roman"/>
          <w:i/>
          <w:sz w:val="24"/>
        </w:rPr>
        <w:t>Groundedness</w:t>
      </w:r>
      <w:r>
        <w:rPr>
          <w:rFonts w:ascii="Times New Roman" w:hAnsi="Times New Roman"/>
          <w:b w:val="0"/>
          <w:i w:val="0"/>
          <w:sz w:val="24"/>
        </w:rPr>
        <w:t xml:space="preserve"> 81.22% dan gagal memenuhi batas aman institusional), arsitektur </w:t>
      </w:r>
      <w:r>
        <w:rPr>
          <w:rFonts w:ascii="Times New Roman" w:hAnsi="Times New Roman"/>
          <w:i/>
          <w:sz w:val="24"/>
        </w:rPr>
        <w:t>Two-Stage RAG</w:t>
      </w:r>
      <w:r>
        <w:rPr>
          <w:rFonts w:ascii="Times New Roman" w:hAnsi="Times New Roman"/>
          <w:b w:val="0"/>
          <w:i w:val="0"/>
          <w:sz w:val="24"/>
        </w:rPr>
        <w:t xml:space="preserve"> AURA Core menghasilkan lonjakan </w:t>
      </w:r>
      <w:r>
        <w:rPr>
          <w:rFonts w:ascii="Times New Roman" w:hAnsi="Times New Roman"/>
          <w:i/>
          <w:sz w:val="24"/>
        </w:rPr>
        <w:t>Groundedness</w:t>
      </w:r>
      <w:r>
        <w:rPr>
          <w:rFonts w:ascii="Times New Roman" w:hAnsi="Times New Roman"/>
          <w:b w:val="0"/>
          <w:i w:val="0"/>
          <w:sz w:val="24"/>
        </w:rPr>
        <w:t xml:space="preserve"> sebesar </w:t>
      </w:r>
      <w:r>
        <w:rPr>
          <w:rFonts w:ascii="Times New Roman" w:hAnsi="Times New Roman"/>
          <w:b/>
          <w:sz w:val="24"/>
        </w:rPr>
        <w:t>+10.58% menjadi 91.80%</w:t>
      </w:r>
      <w:r>
        <w:rPr>
          <w:rFonts w:ascii="Times New Roman" w:hAnsi="Times New Roman"/>
          <w:b w:val="0"/>
          <w:i w:val="0"/>
          <w:sz w:val="24"/>
        </w:rPr>
        <w:t xml:space="preserve"> serta peningkatan skor komposit </w:t>
      </w:r>
      <w:r>
        <w:rPr>
          <w:rFonts w:ascii="Times New Roman" w:hAnsi="Times New Roman"/>
          <w:i/>
          <w:sz w:val="24"/>
        </w:rPr>
        <w:t>RAG Triad Score</w:t>
      </w:r>
      <w:r>
        <w:rPr>
          <w:rFonts w:ascii="Times New Roman" w:hAnsi="Times New Roman"/>
          <w:b w:val="0"/>
          <w:i w:val="0"/>
          <w:sz w:val="24"/>
        </w:rPr>
        <w:t xml:space="preserve"> (RTS) sebesar </w:t>
      </w:r>
      <w:r>
        <w:rPr>
          <w:rFonts w:ascii="Times New Roman" w:hAnsi="Times New Roman"/>
          <w:b/>
          <w:sz w:val="24"/>
        </w:rPr>
        <w:t>+4.38% menjadi 90.55%</w:t>
      </w:r>
      <w:r>
        <w:rPr>
          <w:rFonts w:ascii="Times New Roman" w:hAnsi="Times New Roman"/>
          <w:b w:val="0"/>
          <w:i w:val="0"/>
          <w:sz w:val="24"/>
        </w:rPr>
        <w:t>. Lonjakan akurasi faktual ini dicapai dengan penambahan biaya latensi komputasi yang sangat efisien, yaitu hanya sekitar 330 milidetik.</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Pencapaian Kinerja Kuantitatif dan Ketahanan Kualitatif Sistem</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Pada evaluasi kuantitatif dataset </w:t>
      </w:r>
      <w:r>
        <w:rPr>
          <w:rFonts w:ascii="Times New Roman" w:hAnsi="Times New Roman"/>
          <w:i/>
          <w:sz w:val="24"/>
        </w:rPr>
        <w:t>UII-Bench-50</w:t>
      </w:r>
      <w:r>
        <w:rPr>
          <w:rFonts w:ascii="Times New Roman" w:hAnsi="Times New Roman"/>
          <w:b w:val="0"/>
          <w:i w:val="0"/>
          <w:sz w:val="24"/>
        </w:rPr>
        <w:t xml:space="preserve"> yang mencakup 50 skenario uji di 5 klaster regulasi FTI UII, AURA Core mencatatkan performa rata-rata yang melampaui seluruh target ideal skripsi:</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Context Relevance</w:t>
      </w:r>
      <w:r>
        <w:rPr>
          <w:rFonts w:ascii="Times New Roman" w:hAnsi="Times New Roman"/>
          <w:b w:val="0"/>
          <w:i w:val="0"/>
          <w:sz w:val="24"/>
        </w:rPr>
        <w:t xml:space="preserve"> (CR): </w:t>
      </w:r>
      <w:r>
        <w:rPr>
          <w:rFonts w:ascii="Times New Roman" w:hAnsi="Times New Roman"/>
          <w:b/>
          <w:sz w:val="24"/>
        </w:rPr>
        <w:t>87.40%</w:t>
      </w:r>
      <w:r>
        <w:rPr>
          <w:rFonts w:ascii="Times New Roman" w:hAnsi="Times New Roman"/>
          <w:b w:val="0"/>
          <w:i w:val="0"/>
          <w:sz w:val="24"/>
        </w:rPr>
        <w:t xml:space="preserve"> (Target: $\ge 70.0\%$).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Groundedness / Anti-Halusinasi</w:t>
      </w:r>
      <w:r>
        <w:rPr>
          <w:rFonts w:ascii="Times New Roman" w:hAnsi="Times New Roman"/>
          <w:b w:val="0"/>
          <w:i w:val="0"/>
          <w:sz w:val="24"/>
        </w:rPr>
        <w:t xml:space="preserve"> (G): </w:t>
      </w:r>
      <w:r>
        <w:rPr>
          <w:rFonts w:ascii="Times New Roman" w:hAnsi="Times New Roman"/>
          <w:b/>
          <w:sz w:val="24"/>
        </w:rPr>
        <w:t>91.80%</w:t>
      </w:r>
      <w:r>
        <w:rPr>
          <w:rFonts w:ascii="Times New Roman" w:hAnsi="Times New Roman"/>
          <w:b w:val="0"/>
          <w:i w:val="0"/>
          <w:sz w:val="24"/>
        </w:rPr>
        <w:t xml:space="preserve"> (Target: $\ge 85.0\%$).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Answer Relevance</w:t>
      </w:r>
      <w:r>
        <w:rPr>
          <w:rFonts w:ascii="Times New Roman" w:hAnsi="Times New Roman"/>
          <w:b w:val="0"/>
          <w:i w:val="0"/>
          <w:sz w:val="24"/>
        </w:rPr>
        <w:t xml:space="preserve"> (AR): </w:t>
      </w:r>
      <w:r>
        <w:rPr>
          <w:rFonts w:ascii="Times New Roman" w:hAnsi="Times New Roman"/>
          <w:b/>
          <w:sz w:val="24"/>
        </w:rPr>
        <w:t>98.60%</w:t>
      </w:r>
      <w:r>
        <w:rPr>
          <w:rFonts w:ascii="Times New Roman" w:hAnsi="Times New Roman"/>
          <w:b w:val="0"/>
          <w:i w:val="0"/>
          <w:sz w:val="24"/>
        </w:rPr>
        <w:t xml:space="preserve"> (Target: $\ge 90.0\%$).</w:t>
      </w:r>
    </w:p>
    <w:p>
      <w:pPr>
        <w:spacing w:before="0" w:after="120" w:line="360" w:lineRule="auto"/>
        <w:ind w:left="454"/>
        <w:jc w:val="both"/>
      </w:pPr>
      <w:r>
        <w:rPr>
          <w:rFonts w:ascii="Times New Roman" w:hAnsi="Times New Roman"/>
          <w:b/>
          <w:sz w:val="24"/>
        </w:rPr>
        <w:t xml:space="preserve">•  </w:t>
      </w:r>
      <w:r>
        <w:rPr>
          <w:rFonts w:ascii="Times New Roman" w:hAnsi="Times New Roman"/>
          <w:i/>
          <w:sz w:val="24"/>
        </w:rPr>
        <w:t>RAG Triad Score</w:t>
      </w:r>
      <w:r>
        <w:rPr>
          <w:rFonts w:ascii="Times New Roman" w:hAnsi="Times New Roman"/>
          <w:b w:val="0"/>
          <w:i w:val="0"/>
          <w:sz w:val="24"/>
        </w:rPr>
        <w:t xml:space="preserve"> (RTS): </w:t>
      </w:r>
      <w:r>
        <w:rPr>
          <w:rFonts w:ascii="Times New Roman" w:hAnsi="Times New Roman"/>
          <w:b/>
          <w:sz w:val="24"/>
        </w:rPr>
        <w:t>90.55%</w:t>
      </w:r>
      <w:r>
        <w:rPr>
          <w:rFonts w:ascii="Times New Roman" w:hAnsi="Times New Roman"/>
          <w:b w:val="0"/>
          <w:i w:val="0"/>
          <w:sz w:val="24"/>
        </w:rPr>
        <w:t xml:space="preserve"> (Target: $\ge 80.0\%$).</w:t>
      </w:r>
    </w:p>
    <w:p>
      <w:pPr>
        <w:spacing w:before="0" w:after="120" w:line="360" w:lineRule="auto"/>
        <w:jc w:val="both"/>
      </w:pPr>
      <w:r>
        <w:rPr>
          <w:rFonts w:ascii="Times New Roman" w:hAnsi="Times New Roman"/>
          <w:b w:val="0"/>
          <w:i w:val="0"/>
          <w:sz w:val="24"/>
        </w:rPr>
        <w:t>Selain itu, pengujian kualitatif terhadap 15 studi kasus riil mahasiswa (CS01–CS15) membuktikan ketahanan sistem dalam menegakkan batas hukum absolut (seperti penolakan 26 SKS pada IPS 3.90), ketegasan menolak upaya manipulasi aturan fiktif (injeksi surat rekomendasi RT/RW), kecermatan interpretasi status nilai E yang diulang, serta disiplin menolak spekulasi pada domain di luar regulasi FTI UII (</w:t>
      </w:r>
      <w:r>
        <w:rPr>
          <w:rFonts w:ascii="Times New Roman" w:hAnsi="Times New Roman"/>
          <w:i/>
          <w:sz w:val="24"/>
        </w:rPr>
        <w:t>out-of-domain isolation</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5.2 Saran</w:t>
      </w:r>
    </w:p>
    <w:p>
      <w:pPr>
        <w:spacing w:before="0" w:after="120" w:line="360" w:lineRule="auto"/>
        <w:jc w:val="both"/>
      </w:pPr>
      <w:r>
        <w:rPr>
          <w:rFonts w:ascii="Times New Roman" w:hAnsi="Times New Roman"/>
          <w:b w:val="0"/>
          <w:i w:val="0"/>
          <w:sz w:val="24"/>
        </w:rPr>
        <w:t>Untuk penyempurnaan dan pengembangan sistem AURA Core pada penelitian selanjutnya, beberapa saran teknis dan strategis yang direkomendasikan adalah:</w:t>
      </w:r>
    </w:p>
    <w:p>
      <w:pPr>
        <w:spacing w:before="0" w:after="120" w:line="360" w:lineRule="auto"/>
        <w:jc w:val="both"/>
      </w:pPr>
      <w:r>
        <w:rPr>
          <w:rFonts w:ascii="Times New Roman" w:hAnsi="Times New Roman"/>
          <w:b w:val="0"/>
          <w:i w:val="0"/>
          <w:sz w:val="24"/>
        </w:rPr>
        <w:t>1. *</w:t>
      </w:r>
      <w:r>
        <w:rPr>
          <w:rFonts w:ascii="Times New Roman" w:hAnsi="Times New Roman"/>
          <w:i/>
          <w:sz w:val="24"/>
        </w:rPr>
        <w:t>Implementasi Penelusuran Hibrida (</w:t>
      </w:r>
      <w:r>
        <w:rPr>
          <w:rFonts w:ascii="Times New Roman" w:hAnsi="Times New Roman"/>
          <w:b w:val="0"/>
          <w:i w:val="0"/>
          <w:sz w:val="24"/>
        </w:rPr>
        <w:t>Hybrid Lexical-Dense Retrieval</w:t>
      </w:r>
      <w:r>
        <w:rPr>
          <w:rFonts w:ascii="Times New Roman" w:hAnsi="Times New Roman"/>
          <w:i/>
          <w:sz w:val="24"/>
        </w:rPr>
        <w:t>)</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Disarankan untuk mengintegrasikan algoritma pencarian leksikal tradisional (seperti BM25 atau SPLADE) yang digabungkan dengan </w:t>
      </w:r>
      <w:r>
        <w:rPr>
          <w:rFonts w:ascii="Times New Roman" w:hAnsi="Times New Roman"/>
          <w:i/>
          <w:sz w:val="24"/>
        </w:rPr>
        <w:t>Dense ANN Vector Search</w:t>
      </w:r>
      <w:r>
        <w:rPr>
          <w:rFonts w:ascii="Times New Roman" w:hAnsi="Times New Roman"/>
          <w:b w:val="0"/>
          <w:i w:val="0"/>
          <w:sz w:val="24"/>
        </w:rPr>
        <w:t xml:space="preserve"> melalui mekanisme </w:t>
      </w:r>
      <w:r>
        <w:rPr>
          <w:rFonts w:ascii="Times New Roman" w:hAnsi="Times New Roman"/>
          <w:i/>
          <w:sz w:val="24"/>
        </w:rPr>
        <w:t>Reciprocal Rank Fusion</w:t>
      </w:r>
      <w:r>
        <w:rPr>
          <w:rFonts w:ascii="Times New Roman" w:hAnsi="Times New Roman"/>
          <w:b w:val="0"/>
          <w:i w:val="0"/>
          <w:sz w:val="24"/>
        </w:rPr>
        <w:t xml:space="preserve"> (RRF) pada Tahap 1. Hal ini akan semakin meningkatkan nilai </w:t>
      </w:r>
      <w:r>
        <w:rPr>
          <w:rFonts w:ascii="Times New Roman" w:hAnsi="Times New Roman"/>
          <w:i/>
          <w:sz w:val="24"/>
        </w:rPr>
        <w:t>Context Relevance</w:t>
      </w:r>
      <w:r>
        <w:rPr>
          <w:rFonts w:ascii="Times New Roman" w:hAnsi="Times New Roman"/>
          <w:b w:val="0"/>
          <w:i w:val="0"/>
          <w:sz w:val="24"/>
        </w:rPr>
        <w:t xml:space="preserve"> (CR) pada kueri mahasiswa yang memuat singkatan langka, kode mata kuliah spesifik, atau istilah administratif lokal yang tidak terpetakan secara optimal dalam model embedding semantik global.</w:t>
      </w:r>
    </w:p>
    <w:p>
      <w:pPr>
        <w:spacing w:before="0" w:after="120" w:line="360" w:lineRule="auto"/>
        <w:jc w:val="both"/>
      </w:pPr>
      <w:r>
        <w:rPr>
          <w:rFonts w:ascii="Times New Roman" w:hAnsi="Times New Roman"/>
          <w:b w:val="0"/>
          <w:i w:val="0"/>
          <w:sz w:val="24"/>
        </w:rPr>
        <w:t>2. *</w:t>
      </w:r>
      <w:r>
        <w:rPr>
          <w:rFonts w:ascii="Times New Roman" w:hAnsi="Times New Roman"/>
          <w:i/>
          <w:sz w:val="24"/>
        </w:rPr>
        <w:t>Fitur Ekspor Bukti Konsultasi Digital Terverifikasi (</w:t>
      </w:r>
      <w:r>
        <w:rPr>
          <w:rFonts w:ascii="Times New Roman" w:hAnsi="Times New Roman"/>
          <w:b w:val="0"/>
          <w:i w:val="0"/>
          <w:sz w:val="24"/>
        </w:rPr>
        <w:t>Cryptographic Consultation Export</w:t>
      </w:r>
      <w:r>
        <w:rPr>
          <w:rFonts w:ascii="Times New Roman" w:hAnsi="Times New Roman"/>
          <w:i/>
          <w:sz w:val="24"/>
        </w:rPr>
        <w:t>)</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Sistem dapat dikembangkan lebih lanjut dengan menambahkan modul pembangkit berkas PDF otomatis yang memuat rangkuman hasil konsultasi regulasi mahasiswa. Berkas tersebut dapat dilengkapi dengan tanda tangan digital berbasis stempel kriptografis (</w:t>
      </w:r>
      <w:r>
        <w:rPr>
          <w:rFonts w:ascii="Times New Roman" w:hAnsi="Times New Roman"/>
          <w:i/>
          <w:sz w:val="24"/>
        </w:rPr>
        <w:t>HMAC-SHA256 signature</w:t>
      </w:r>
      <w:r>
        <w:rPr>
          <w:rFonts w:ascii="Times New Roman" w:hAnsi="Times New Roman"/>
          <w:b w:val="0"/>
          <w:i w:val="0"/>
          <w:sz w:val="24"/>
        </w:rPr>
        <w:t xml:space="preserve"> atau </w:t>
      </w:r>
      <w:r>
        <w:rPr>
          <w:rFonts w:ascii="Times New Roman" w:hAnsi="Times New Roman"/>
          <w:i/>
          <w:sz w:val="24"/>
        </w:rPr>
        <w:t>QR Code verification</w:t>
      </w:r>
      <w:r>
        <w:rPr>
          <w:rFonts w:ascii="Times New Roman" w:hAnsi="Times New Roman"/>
          <w:b w:val="0"/>
          <w:i w:val="0"/>
          <w:sz w:val="24"/>
        </w:rPr>
        <w:t>) yang dapat dijadikan bukti pertimbangan awal saat mahasiswa mengajukan permohonan dispensasi resmi ke pihak fakultas.</w:t>
      </w:r>
    </w:p>
    <w:p>
      <w:pPr>
        <w:spacing w:before="0" w:after="120" w:line="360" w:lineRule="auto"/>
        <w:jc w:val="both"/>
      </w:pPr>
      <w:r>
        <w:rPr>
          <w:rFonts w:ascii="Times New Roman" w:hAnsi="Times New Roman"/>
          <w:b w:val="0"/>
          <w:i w:val="0"/>
          <w:sz w:val="24"/>
        </w:rPr>
        <w:t>3. *</w:t>
      </w:r>
      <w:r>
        <w:rPr>
          <w:rFonts w:ascii="Times New Roman" w:hAnsi="Times New Roman"/>
          <w:i/>
          <w:sz w:val="24"/>
        </w:rPr>
        <w:t>Integrasi Antarmuka Terprogram (</w:t>
      </w:r>
      <w:r>
        <w:rPr>
          <w:rFonts w:ascii="Times New Roman" w:hAnsi="Times New Roman"/>
          <w:b w:val="0"/>
          <w:i w:val="0"/>
          <w:sz w:val="24"/>
        </w:rPr>
        <w:t>API Gateway</w:t>
      </w:r>
      <w:r>
        <w:rPr>
          <w:rFonts w:ascii="Times New Roman" w:hAnsi="Times New Roman"/>
          <w:i/>
          <w:sz w:val="24"/>
        </w:rPr>
        <w:t>) dengan Sistem Informasi Akademik Kampus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Untuk mempermudah mahasiswa tanpa perlu mengunggah berkas KHS/KRS secara manual, penelitian masa depan dapat mengintegrasikan AURA Core langsung ke sistem informasi akademik universitas (seperti UIIRAS / Gateway Akademik UII) melalui protokol otorisasi terpusat (OAuth 2.0 / SAML) dengan tetap mempertahankan standar enkripsi ujung-ke-ujung (</w:t>
      </w:r>
      <w:r>
        <w:rPr>
          <w:rFonts w:ascii="Times New Roman" w:hAnsi="Times New Roman"/>
          <w:i/>
          <w:sz w:val="24"/>
        </w:rPr>
        <w:t>end-to-end encryption</w:t>
      </w:r>
      <w:r>
        <w:rPr>
          <w:rFonts w:ascii="Times New Roman" w:hAnsi="Times New Roman"/>
          <w:b w:val="0"/>
          <w:i w:val="0"/>
          <w:sz w:val="24"/>
        </w:rPr>
        <w: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