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1A2E"/>
          <w:sz w:val="56"/>
          <w:szCs w:val="56"/>
        </w:rPr>
        <w:t xml:space="preserve">SIDECHAIN SECURITY</w:t>
      </w:r>
    </w:p>
    <w:p>
      <w:pPr>
        <w:spacing w:after="80" w:before="0"/>
        <w:jc w:val="center"/>
      </w:pPr>
      <w:r>
        <w:rPr>
          <w:rFonts w:ascii="Arial" w:cs="Arial" w:eastAsia="Arial" w:hAnsi="Arial"/>
          <w:i/>
          <w:iCs/>
          <w:color w:val="4A4A6A"/>
          <w:sz w:val="28"/>
          <w:szCs w:val="28"/>
        </w:rPr>
        <w:t xml:space="preserve">Website Copy — MSSP Launch</w:t>
      </w:r>
    </w:p>
    <w:p>
      <w:pPr>
        <w:spacing w:after="400" w:before="0"/>
        <w:jc w:val="center"/>
      </w:pPr>
      <w:r>
        <w:rPr>
          <w:rFonts w:ascii="Arial" w:cs="Arial" w:eastAsia="Arial" w:hAnsi="Arial"/>
          <w:color w:val="888888"/>
          <w:sz w:val="22"/>
          <w:szCs w:val="22"/>
        </w:rPr>
        <w:t xml:space="preserve">Web Designer Handoff Document</w:t>
      </w:r>
    </w:p>
    <w:p>
      <w:pPr>
        <w:pBdr>
          <w:bottom w:val="single" w:color="CCCCCC" w:sz="4" w:space="1"/>
        </w:pBdr>
        <w:spacing w:after="200" w:before="200"/>
      </w:pPr>
      <w:r>
        <w:t xml:space="preserve"/>
      </w:r>
    </w:p>
    <w:p>
      <w:pPr>
        <w:spacing w:after="80" w:before="200"/>
      </w:pPr>
      <w:r>
        <w:rPr>
          <w:rFonts w:ascii="Arial" w:cs="Arial" w:eastAsia="Arial" w:hAnsi="Arial"/>
          <w:b/>
          <w:bCs/>
          <w:color w:val="1A1A2E"/>
          <w:sz w:val="24"/>
          <w:szCs w:val="24"/>
        </w:rPr>
        <w:t xml:space="preserve">How to Use This Document</w:t>
      </w:r>
    </w:p>
    <w:p>
      <w:pPr>
        <w:spacing w:after="80" w:before="80"/>
      </w:pPr>
      <w:r>
        <w:rPr>
          <w:rFonts w:ascii="Arial" w:cs="Arial" w:eastAsia="Arial" w:hAnsi="Arial"/>
          <w:color w:val="4A4A6A"/>
          <w:sz w:val="22"/>
          <w:szCs w:val="22"/>
        </w:rPr>
        <w:t xml:space="preserve">This document contains all copy for the Sidechain Security website, organized section by section as they appear on the page (top to bottom). The page is a single-scroll layout with anchor navigation. Each section is clearly labeled with its headline hierarchy (H1, H2, H3, Body, CTA) and any relevant designer notes.</w:t>
      </w:r>
    </w:p>
    <w:p>
      <w:pPr>
        <w:spacing w:after="80" w:before="80"/>
      </w:pPr>
      <w:r>
        <w:rPr>
          <w:rFonts w:ascii="Arial" w:cs="Arial" w:eastAsia="Arial" w:hAnsi="Arial"/>
          <w:color w:val="4A4A6A"/>
          <w:sz w:val="22"/>
          <w:szCs w:val="22"/>
        </w:rPr>
        <w:t xml:space="preserve">The site structure mirrors the layout reference at sc-fabric.vercel.app — a single page with a sticky nav that scrolls to each section. Page anchor IDs are suggested at the top of each section.</w:t>
      </w:r>
    </w:p>
    <w:p>
      <w:pPr>
        <w:spacing w:after="0" w:before="240"/>
      </w:pPr>
      <w:r>
        <w:t xml:space="preserve"/>
      </w:r>
    </w:p>
    <w:p>
      <w:pPr>
        <w:spacing w:after="80" w:before="100"/>
      </w:pPr>
      <w:r>
        <w:rPr>
          <w:rFonts w:ascii="Arial" w:cs="Arial" w:eastAsia="Arial" w:hAnsi="Arial"/>
          <w:b/>
          <w:bCs/>
          <w:color w:val="1A1A2E"/>
          <w:sz w:val="24"/>
          <w:szCs w:val="24"/>
        </w:rPr>
        <w:t xml:space="preserve">Proposed Brand Tagline</w:t>
      </w:r>
    </w:p>
    <w:p>
      <w:pPr>
        <w:spacing w:after="80" w:before="80"/>
      </w:pPr>
      <w:r>
        <w:rPr>
          <w:rFonts w:ascii="Arial" w:cs="Arial" w:eastAsia="Arial" w:hAnsi="Arial"/>
          <w:color w:val="4A4A6A"/>
          <w:sz w:val="22"/>
          <w:szCs w:val="22"/>
        </w:rPr>
        <w:t xml:space="preserve">Primary recommendation:</w:t>
      </w:r>
    </w:p>
    <w:p>
      <w:pPr>
        <w:spacing w:after="80" w:before="80"/>
      </w:pPr>
      <w:r>
        <w:rPr>
          <w:rFonts w:ascii="Arial" w:cs="Arial" w:eastAsia="Arial" w:hAnsi="Arial"/>
          <w:b/>
          <w:bCs/>
          <w:color w:val="8B1A2B"/>
          <w:sz w:val="30"/>
          <w:szCs w:val="30"/>
        </w:rPr>
        <w:t xml:space="preserve">“Security You Can Defend.”</w:t>
      </w:r>
    </w:p>
    <w:p>
      <w:pPr>
        <w:spacing w:after="80" w:before="80"/>
      </w:pPr>
      <w:r>
        <w:rPr>
          <w:rFonts w:ascii="Arial" w:cs="Arial" w:eastAsia="Arial" w:hAnsi="Arial"/>
          <w:color w:val="4A4A6A"/>
          <w:sz w:val="22"/>
          <w:szCs w:val="22"/>
        </w:rPr>
        <w:t xml:space="preserve">Rationale: Works on two levels — defending against threats, and being able to defend your security posture to an auditor, regulator, or board. That double meaning is directly on-brand for regulated industries. Short, confident, and immediately meaningful to the buyers we’re targeting.</w:t>
      </w:r>
    </w:p>
    <w:p>
      <w:pPr>
        <w:spacing w:after="0" w:before="120"/>
      </w:pPr>
      <w:r>
        <w:t xml:space="preserve"/>
      </w:r>
    </w:p>
    <w:p>
      <w:pPr>
        <w:spacing w:after="80" w:before="80"/>
      </w:pPr>
      <w:r>
        <w:rPr>
          <w:rFonts w:ascii="Arial" w:cs="Arial" w:eastAsia="Arial" w:hAnsi="Arial"/>
          <w:color w:val="4A4A6A"/>
          <w:sz w:val="22"/>
          <w:szCs w:val="22"/>
        </w:rPr>
        <w:t xml:space="preserve">Alternative options considered (for reference):</w:t>
      </w:r>
    </w:p>
    <w:p>
      <w:pPr>
        <w:pStyle w:val="ListParagraph"/>
        <w:numPr>
          <w:ilvl w:val="0"/>
          <w:numId w:val="2"/>
        </w:numPr>
        <w:spacing w:after="40" w:before="40"/>
      </w:pPr>
      <w:r>
        <w:rPr>
          <w:rFonts w:ascii="Arial" w:cs="Arial" w:eastAsia="Arial" w:hAnsi="Arial"/>
          <w:color w:val="4A4A6A"/>
          <w:sz w:val="21"/>
          <w:szCs w:val="21"/>
        </w:rPr>
        <w:t xml:space="preserve">"From the Data Up." — Plays on the data security heritage; rewards a second read but may be too insider.</w:t>
      </w:r>
    </w:p>
    <w:p>
      <w:pPr>
        <w:pStyle w:val="ListParagraph"/>
        <w:numPr>
          <w:ilvl w:val="0"/>
          <w:numId w:val="2"/>
        </w:numPr>
        <w:spacing w:after="40" w:before="40"/>
      </w:pPr>
      <w:r>
        <w:rPr>
          <w:rFonts w:ascii="Arial" w:cs="Arial" w:eastAsia="Arial" w:hAnsi="Arial"/>
          <w:color w:val="4A4A6A"/>
          <w:sz w:val="21"/>
          <w:szCs w:val="21"/>
        </w:rPr>
        <w:t xml:space="preserve">"Security Built From the Inside Out." — Similar idea, slightly more explanatory.</w:t>
      </w:r>
    </w:p>
    <w:p>
      <w:pPr>
        <w:pStyle w:val="ListParagraph"/>
        <w:numPr>
          <w:ilvl w:val="0"/>
          <w:numId w:val="2"/>
        </w:numPr>
        <w:spacing w:after="40" w:before="40"/>
      </w:pPr>
      <w:r>
        <w:rPr>
          <w:rFonts w:ascii="Arial" w:cs="Arial" w:eastAsia="Arial" w:hAnsi="Arial"/>
          <w:color w:val="4A4A6A"/>
          <w:sz w:val="21"/>
          <w:szCs w:val="21"/>
        </w:rPr>
        <w:t xml:space="preserve">"The Security Experts Regulated Industries Trust." — More direct, industry-focused.</w:t>
      </w:r>
    </w:p>
    <w:p>
      <w:pPr>
        <w:pStyle w:val="ListParagraph"/>
        <w:numPr>
          <w:ilvl w:val="0"/>
          <w:numId w:val="2"/>
        </w:numPr>
        <w:spacing w:after="40" w:before="40"/>
      </w:pPr>
      <w:r>
        <w:rPr>
          <w:rFonts w:ascii="Arial" w:cs="Arial" w:eastAsia="Arial" w:hAnsi="Arial"/>
          <w:color w:val="4A4A6A"/>
          <w:sz w:val="21"/>
          <w:szCs w:val="21"/>
        </w:rPr>
        <w:t xml:space="preserve">"Enterprise Expertise. Complete Protection." — Plays on the F500 heritage angle.</w:t>
      </w:r>
    </w:p>
    <w:p>
      <w:pPr>
        <w:pBdr>
          <w:bottom w:val="single" w:color="CCCCCC" w:sz="4" w:space="1"/>
        </w:pBdr>
        <w:spacing w:after="200" w:before="200"/>
      </w:pPr>
      <w:r>
        <w:t xml:space="preserve"/>
      </w:r>
    </w:p>
    <w:p>
      <w:pPr>
        <w:shd w:fill="1A1A2E" w:val="clear"/>
        <w:spacing w:after="120" w:before="400"/>
        <w:ind w:left="100" w:right="100"/>
      </w:pPr>
      <w:r>
        <w:rPr>
          <w:rFonts w:ascii="Arial" w:cs="Arial" w:eastAsia="Arial" w:hAnsi="Arial"/>
          <w:b/>
          <w:bCs/>
          <w:color w:val="FFFFFF"/>
          <w:sz w:val="22"/>
          <w:szCs w:val="22"/>
        </w:rPr>
        <w:t xml:space="preserve">SECTION NAV: NAVIGATION BAR</w:t>
      </w:r>
    </w:p>
    <w:p>
      <w:pPr>
        <w:shd w:fill="FFFDE7" w:val="clear"/>
        <w:spacing w:after="60" w:before="60"/>
        <w:ind w:left="200"/>
      </w:pPr>
      <w:r>
        <w:rPr>
          <w:rFonts w:ascii="Arial" w:cs="Arial" w:eastAsia="Arial" w:hAnsi="Arial"/>
          <w:i/>
          <w:iCs/>
          <w:color w:val="777700"/>
          <w:sz w:val="19"/>
          <w:szCs w:val="19"/>
        </w:rPr>
        <w:t xml:space="preserve">✏️  Designer Note: Sticky top navigation. Logo on left, menu items centered or right-aligned, CTA button on far right. Menu items scroll to page anchors.</w:t>
      </w:r>
    </w:p>
    <w:p>
      <w:pPr>
        <w:spacing w:after="0" w:before="120"/>
      </w:pPr>
      <w:r>
        <w:t xml:space="preserve"/>
      </w:r>
    </w:p>
    <w:p>
      <w:pPr>
        <w:spacing w:after="40" w:before="40"/>
      </w:pPr>
      <w:r>
        <w:rPr>
          <w:rFonts w:ascii="Arial" w:cs="Arial" w:eastAsia="Arial" w:hAnsi="Arial"/>
          <w:b/>
          <w:bCs/>
          <w:color w:val="1A1A2E"/>
          <w:sz w:val="20"/>
          <w:szCs w:val="20"/>
        </w:rPr>
        <w:t xml:space="preserve">Logo:</w:t>
      </w:r>
    </w:p>
    <w:p>
      <w:pPr>
        <w:spacing w:after="40" w:before="40"/>
      </w:pPr>
      <w:r>
        <w:rPr>
          <w:rFonts w:ascii="Arial" w:cs="Arial" w:eastAsia="Arial" w:hAnsi="Arial"/>
          <w:b w:val="false"/>
          <w:bCs w:val="false"/>
          <w:color w:val="1A1A2E"/>
          <w:sz w:val="20"/>
          <w:szCs w:val="20"/>
        </w:rPr>
        <w:t xml:space="preserve">Sidechain Security (wordmark + icon if available)</w:t>
      </w:r>
    </w:p>
    <w:p>
      <w:pPr>
        <w:spacing w:after="0" w:before="80"/>
      </w:pPr>
      <w:r>
        <w:t xml:space="preserve"/>
      </w:r>
    </w:p>
    <w:p>
      <w:pPr>
        <w:spacing w:after="40" w:before="40"/>
      </w:pPr>
      <w:r>
        <w:rPr>
          <w:rFonts w:ascii="Arial" w:cs="Arial" w:eastAsia="Arial" w:hAnsi="Arial"/>
          <w:b/>
          <w:bCs/>
          <w:color w:val="1A1A2E"/>
          <w:sz w:val="20"/>
          <w:szCs w:val="20"/>
        </w:rPr>
        <w:t xml:space="preserve">Nav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Services</w:t>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Why Sidechain</w:t>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Compliance</w:t>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Pricing</w:t>
            </w:r>
          </w:p>
        </w:tc>
      </w:tr>
      <w:tr>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B1A2B"/>
                <w:sz w:val="20"/>
                <w:szCs w:val="20"/>
              </w:rPr>
              <w:t xml:space="preserve">[ Contact Us ] ← CTA button style</w:t>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
            </w:r>
          </w:p>
        </w:tc>
        <w:tc>
          <w:tcPr>
            <w:tcW w:type="dxa" w:w="225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
            </w:r>
          </w:p>
        </w:tc>
      </w:tr>
    </w:tbl>
    <w:p>
      <w:pPr>
        <w:shd w:fill="1A1A2E" w:val="clear"/>
        <w:spacing w:after="120" w:before="400"/>
        <w:ind w:left="100" w:right="100"/>
      </w:pPr>
      <w:r>
        <w:rPr>
          <w:rFonts w:ascii="Arial" w:cs="Arial" w:eastAsia="Arial" w:hAnsi="Arial"/>
          <w:b/>
          <w:bCs/>
          <w:color w:val="FFFFFF"/>
          <w:sz w:val="22"/>
          <w:szCs w:val="22"/>
        </w:rPr>
        <w:t xml:space="preserve">SECTION 1: HERO — ANCHOR: #HERO</w:t>
      </w:r>
    </w:p>
    <w:p>
      <w:pPr>
        <w:shd w:fill="FFFDE7" w:val="clear"/>
        <w:spacing w:after="60" w:before="60"/>
        <w:ind w:left="200"/>
      </w:pPr>
      <w:r>
        <w:rPr>
          <w:rFonts w:ascii="Arial" w:cs="Arial" w:eastAsia="Arial" w:hAnsi="Arial"/>
          <w:i/>
          <w:iCs/>
          <w:color w:val="777700"/>
          <w:sz w:val="19"/>
          <w:szCs w:val="19"/>
        </w:rPr>
        <w:t xml:space="preserve">✏️  Designer Note: Full-width hero. Dark or deep-navy background recommended. Large H1 with strong typographic weight. Two CTAs below: primary button + secondary text link. Trust bar of industry names at bottom of hero.</w:t>
      </w:r>
    </w:p>
    <w:p>
      <w:pPr>
        <w:spacing w:after="0" w:before="120"/>
      </w:pPr>
      <w:r>
        <w:t xml:space="preserve"/>
      </w:r>
    </w:p>
    <w:p>
      <w:pPr>
        <w:spacing w:after="80" w:before="40"/>
      </w:pPr>
      <w:r>
        <w:rPr>
          <w:rFonts w:ascii="Arial" w:cs="Arial" w:eastAsia="Arial" w:hAnsi="Arial"/>
          <w:b/>
          <w:bCs/>
          <w:color w:val="8B1A2B"/>
          <w:sz w:val="18"/>
          <w:szCs w:val="18"/>
        </w:rPr>
        <w:t xml:space="preserve">MANAGED SECURITY SERVICES | #MSP</w:t>
      </w:r>
    </w:p>
    <w:p>
      <w:pPr>
        <w:pStyle w:val="Heading1"/>
      </w:pPr>
      <w:r>
        <w:rPr>
          <w:rFonts w:ascii="Arial" w:cs="Arial" w:eastAsia="Arial" w:hAnsi="Arial"/>
          <w:b/>
          <w:bCs/>
          <w:color w:val="1A1A2E"/>
          <w:sz w:val="48"/>
          <w:szCs w:val="48"/>
        </w:rPr>
        <w:t xml:space="preserve">The Security Experts</w:t>
      </w:r>
    </w:p>
    <w:p>
      <w:pPr>
        <w:pStyle w:val="Heading1"/>
      </w:pPr>
      <w:r>
        <w:rPr>
          <w:rFonts w:ascii="Arial" w:cs="Arial" w:eastAsia="Arial" w:hAnsi="Arial"/>
          <w:b/>
          <w:bCs/>
          <w:color w:val="1A1A2E"/>
          <w:sz w:val="48"/>
          <w:szCs w:val="48"/>
        </w:rPr>
        <w:t xml:space="preserve">Regulated Industries Trust.</w:t>
      </w:r>
    </w:p>
    <w:p>
      <w:pPr>
        <w:spacing w:after="0" w:before="160"/>
      </w:pPr>
      <w:r>
        <w:t xml:space="preserve"/>
      </w:r>
    </w:p>
    <w:p>
      <w:pPr>
        <w:spacing w:after="80" w:before="80"/>
      </w:pPr>
      <w:r>
        <w:rPr>
          <w:rFonts w:ascii="Arial" w:cs="Arial" w:eastAsia="Arial" w:hAnsi="Arial"/>
          <w:color w:val="4A4A6A"/>
          <w:sz w:val="22"/>
          <w:szCs w:val="22"/>
        </w:rPr>
        <w:t xml:space="preserve">We built our reputation managing encryption and data security for Fortune 500 companies. Today, Sidechain Security delivers fully managed cybersecurity programs that protect your entire organization — compliance-ready, expert-led, and built on a foundation of deep data security expertise.</w:t>
      </w:r>
    </w:p>
    <w:p>
      <w:pPr>
        <w:spacing w:after="0" w:before="160"/>
      </w:pPr>
      <w:r>
        <w:t xml:space="preserve"/>
      </w:r>
    </w:p>
    <w:p>
      <w:pPr>
        <w:spacing w:after="100" w:before="100"/>
      </w:pPr>
      <w:r>
        <w:rPr>
          <w:rFonts w:ascii="Arial" w:cs="Arial" w:eastAsia="Arial" w:hAnsi="Arial"/>
          <w:b/>
          <w:bCs/>
          <w:color w:val="8B1A2B"/>
          <w:sz w:val="22"/>
          <w:szCs w:val="22"/>
        </w:rPr>
        <w:t xml:space="preserve">[ Schedule a Free Consultation ]</w:t>
      </w:r>
    </w:p>
    <w:p>
      <w:pPr>
        <w:spacing w:after="80" w:before="40"/>
      </w:pPr>
      <w:r>
        <w:rPr>
          <w:rFonts w:ascii="Arial" w:cs="Arial" w:eastAsia="Arial" w:hAnsi="Arial"/>
          <w:i/>
          <w:iCs/>
          <w:color w:val="8B1A2B"/>
          <w:sz w:val="20"/>
          <w:szCs w:val="20"/>
        </w:rPr>
        <w:t xml:space="preserve">Not sure where to start? Begin with a Vulnerability Assessment →</w:t>
      </w:r>
    </w:p>
    <w:p>
      <w:pPr>
        <w:spacing w:after="0" w:before="200"/>
      </w:pPr>
      <w:r>
        <w:t xml:space="preserve"/>
      </w:r>
    </w:p>
    <w:p>
      <w:pPr>
        <w:spacing w:after="40" w:before="60"/>
      </w:pPr>
      <w:r>
        <w:rPr>
          <w:rFonts w:ascii="Arial" w:cs="Arial" w:eastAsia="Arial" w:hAnsi="Arial"/>
          <w:color w:val="999999"/>
          <w:sz w:val="19"/>
          <w:szCs w:val="19"/>
        </w:rPr>
        <w:t xml:space="preserve">Trusted by organizations in:</w:t>
      </w:r>
    </w:p>
    <w:p>
      <w:pPr>
        <w:spacing w:after="80" w:before="0"/>
      </w:pPr>
      <w:r>
        <w:rPr>
          <w:rFonts w:ascii="Arial" w:cs="Arial" w:eastAsia="Arial" w:hAnsi="Arial"/>
          <w:b/>
          <w:bCs/>
          <w:color w:val="4A4A6A"/>
          <w:sz w:val="20"/>
          <w:szCs w:val="20"/>
        </w:rPr>
        <w:t xml:space="preserve">Healthcare  ·  Financial Services  ·  Insurance  ·  Retail</w:t>
      </w:r>
    </w:p>
    <w:p>
      <w:pPr>
        <w:shd w:fill="1A1A2E" w:val="clear"/>
        <w:spacing w:after="120" w:before="400"/>
        <w:ind w:left="100" w:right="100"/>
      </w:pPr>
      <w:r>
        <w:rPr>
          <w:rFonts w:ascii="Arial" w:cs="Arial" w:eastAsia="Arial" w:hAnsi="Arial"/>
          <w:b/>
          <w:bCs/>
          <w:color w:val="FFFFFF"/>
          <w:sz w:val="22"/>
          <w:szCs w:val="22"/>
        </w:rPr>
        <w:t xml:space="preserve">SECTION 2: THE CHALLENGE — ANCHOR: #WHY</w:t>
      </w:r>
    </w:p>
    <w:p>
      <w:pPr>
        <w:shd w:fill="FFFDE7" w:val="clear"/>
        <w:spacing w:after="60" w:before="60"/>
        <w:ind w:left="200"/>
      </w:pPr>
      <w:r>
        <w:rPr>
          <w:rFonts w:ascii="Arial" w:cs="Arial" w:eastAsia="Arial" w:hAnsi="Arial"/>
          <w:i/>
          <w:iCs/>
          <w:color w:val="777700"/>
          <w:sz w:val="19"/>
          <w:szCs w:val="19"/>
        </w:rPr>
        <w:t xml:space="preserve">✏️  Designer Note: 2-column layout or centered text. Relatively concise — this is a bridge section from hero to services. Can use subtle background differentiation (light gray).</w:t>
      </w:r>
    </w:p>
    <w:p>
      <w:pPr>
        <w:spacing w:after="0" w:before="120"/>
      </w:pPr>
      <w:r>
        <w:t xml:space="preserve"/>
      </w:r>
    </w:p>
    <w:p>
      <w:pPr>
        <w:spacing w:after="80" w:before="40"/>
      </w:pPr>
      <w:r>
        <w:rPr>
          <w:rFonts w:ascii="Arial" w:cs="Arial" w:eastAsia="Arial" w:hAnsi="Arial"/>
          <w:b/>
          <w:bCs/>
          <w:color w:val="8B1A2B"/>
          <w:sz w:val="18"/>
          <w:szCs w:val="18"/>
        </w:rPr>
        <w:t xml:space="preserve">THE REALITY</w:t>
      </w:r>
    </w:p>
    <w:p>
      <w:pPr>
        <w:pStyle w:val="Heading2"/>
      </w:pPr>
      <w:r>
        <w:rPr>
          <w:rFonts w:ascii="Arial" w:cs="Arial" w:eastAsia="Arial" w:hAnsi="Arial"/>
          <w:b/>
          <w:bCs/>
          <w:color w:val="1A1A2E"/>
          <w:sz w:val="34"/>
          <w:szCs w:val="34"/>
        </w:rPr>
        <w:t xml:space="preserve">Security Is Complex. Regulated Industries Can’t Afford to Figure It Out Alone.</w:t>
      </w:r>
    </w:p>
    <w:p>
      <w:pPr>
        <w:spacing w:after="0" w:before="120"/>
      </w:pPr>
      <w:r>
        <w:t xml:space="preserve"/>
      </w:r>
    </w:p>
    <w:p>
      <w:pPr>
        <w:spacing w:after="80" w:before="80"/>
      </w:pPr>
      <w:r>
        <w:rPr>
          <w:rFonts w:ascii="Arial" w:cs="Arial" w:eastAsia="Arial" w:hAnsi="Arial"/>
          <w:color w:val="4A4A6A"/>
          <w:sz w:val="22"/>
          <w:szCs w:val="22"/>
        </w:rPr>
        <w:t xml:space="preserve">Healthcare organizations face OCR audits and HIPAA enforcement. Financial services firms navigate NY-DFS and PCI-DSS requirements. Insurers carry significant data liability. Retailers handle sensitive payment data every hour of every day.</w:t>
      </w:r>
    </w:p>
    <w:p>
      <w:pPr>
        <w:spacing w:after="80" w:before="80"/>
      </w:pPr>
      <w:r>
        <w:rPr>
          <w:rFonts w:ascii="Arial" w:cs="Arial" w:eastAsia="Arial" w:hAnsi="Arial"/>
          <w:color w:val="4A4A6A"/>
          <w:sz w:val="22"/>
          <w:szCs w:val="22"/>
        </w:rPr>
        <w:t xml:space="preserve">For businesses in these industries, a security breach isn’t just an IT problem — it’s a regulatory event, a reputational crisis, and a financial exposure. You need a security partner who understands both the threat landscape and the compliance environment you operate in.</w:t>
      </w:r>
    </w:p>
    <w:p>
      <w:pPr>
        <w:spacing w:after="80" w:before="80"/>
      </w:pPr>
      <w:r>
        <w:rPr>
          <w:rFonts w:ascii="Arial" w:cs="Arial" w:eastAsia="Arial" w:hAnsi="Arial"/>
          <w:color w:val="4A4A6A"/>
          <w:sz w:val="22"/>
          <w:szCs w:val="22"/>
        </w:rPr>
        <w:t xml:space="preserve">That’s what Sidechain Security was built for.</w:t>
      </w:r>
    </w:p>
    <w:p>
      <w:pPr>
        <w:shd w:fill="1A1A2E" w:val="clear"/>
        <w:spacing w:after="120" w:before="400"/>
        <w:ind w:left="100" w:right="100"/>
      </w:pPr>
      <w:r>
        <w:rPr>
          <w:rFonts w:ascii="Arial" w:cs="Arial" w:eastAsia="Arial" w:hAnsi="Arial"/>
          <w:b/>
          <w:bCs/>
          <w:color w:val="FFFFFF"/>
          <w:sz w:val="22"/>
          <w:szCs w:val="22"/>
        </w:rPr>
        <w:t xml:space="preserve">SECTION 3: ONE-TIME ASSESSMENTS (ENTRY POINT) — ANCHOR: #ASSESS</w:t>
      </w:r>
    </w:p>
    <w:p>
      <w:pPr>
        <w:shd w:fill="FFFDE7" w:val="clear"/>
        <w:spacing w:after="60" w:before="60"/>
        <w:ind w:left="200"/>
      </w:pPr>
      <w:r>
        <w:rPr>
          <w:rFonts w:ascii="Arial" w:cs="Arial" w:eastAsia="Arial" w:hAnsi="Arial"/>
          <w:i/>
          <w:iCs/>
          <w:color w:val="777700"/>
          <w:sz w:val="19"/>
          <w:szCs w:val="19"/>
        </w:rPr>
        <w:t xml:space="preserve">✏️  Designer Note: 3-card horizontal layout. Each card has an icon, H3, body copy, and a text CTA link. This section is the top-of-funnel hook — give it visual prominence. Light accent background works well here.</w:t>
      </w:r>
    </w:p>
    <w:p>
      <w:pPr>
        <w:spacing w:after="0" w:before="120"/>
      </w:pPr>
      <w:r>
        <w:t xml:space="preserve"/>
      </w:r>
    </w:p>
    <w:p>
      <w:pPr>
        <w:spacing w:after="80" w:before="40"/>
      </w:pPr>
      <w:r>
        <w:rPr>
          <w:rFonts w:ascii="Arial" w:cs="Arial" w:eastAsia="Arial" w:hAnsi="Arial"/>
          <w:b/>
          <w:bCs/>
          <w:color w:val="8B1A2B"/>
          <w:sz w:val="18"/>
          <w:szCs w:val="18"/>
        </w:rPr>
        <w:t xml:space="preserve">WHERE TO START</w:t>
      </w:r>
    </w:p>
    <w:p>
      <w:pPr>
        <w:pStyle w:val="Heading2"/>
      </w:pPr>
      <w:r>
        <w:rPr>
          <w:rFonts w:ascii="Arial" w:cs="Arial" w:eastAsia="Arial" w:hAnsi="Arial"/>
          <w:b/>
          <w:bCs/>
          <w:color w:val="1A1A2E"/>
          <w:sz w:val="34"/>
          <w:szCs w:val="34"/>
        </w:rPr>
        <w:t xml:space="preserve">Not Sure Where You Stand? Start Here.</w:t>
      </w:r>
    </w:p>
    <w:p>
      <w:pPr>
        <w:spacing w:after="80" w:before="80"/>
      </w:pPr>
      <w:r>
        <w:rPr>
          <w:rFonts w:ascii="Arial" w:cs="Arial" w:eastAsia="Arial" w:hAnsi="Arial"/>
          <w:color w:val="4A4A6A"/>
          <w:sz w:val="22"/>
          <w:szCs w:val="22"/>
        </w:rPr>
        <w:t xml:space="preserve">Before you can manage security, you need to understand your current risk. Our one-time assessment services give you a clear, expert-led picture of your vulnerabilities and compliance gaps. Most clients find the results immediately actionable — and many use them as the starting point for an ongoing security program.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Borders>
              <w:top w:val="single" w:color="DDDDDD" w:sz="1"/>
              <w:left w:val="single" w:color="DDDDDD" w:sz="1"/>
              <w:bottom w:val="single" w:color="DDDDDD" w:sz="1"/>
              <w:right w:val="single" w:color="DDDDDD" w:sz="1"/>
            </w:tcBorders>
            <w:shd w:fill="EEF0F8" w:val="clear"/>
            <w:tcMar>
              <w:top w:type="dxa" w:w="160"/>
              <w:left w:type="dxa" w:w="160"/>
              <w:bottom w:type="dxa" w:w="160"/>
              <w:right w:type="dxa" w:w="160"/>
            </w:tcMar>
            <w:vAlign w:val="top"/>
          </w:tcPr>
          <w:p>
            <w:pPr>
              <w:spacing w:after="100" w:before="0"/>
            </w:pPr>
            <w:r>
              <w:rPr>
                <w:rFonts w:ascii="Arial" w:cs="Arial" w:eastAsia="Arial" w:hAnsi="Arial"/>
                <w:b/>
                <w:bCs/>
                <w:color w:val="1A1A2E"/>
                <w:sz w:val="22"/>
                <w:szCs w:val="22"/>
              </w:rPr>
              <w:t xml:space="preserve">🔍  Vulnerability Assessment</w:t>
            </w:r>
          </w:p>
          <w:p>
            <w:pPr>
              <w:spacing w:after="120" w:before="0"/>
            </w:pPr>
            <w:r>
              <w:rPr>
                <w:rFonts w:ascii="Arial" w:cs="Arial" w:eastAsia="Arial" w:hAnsi="Arial"/>
                <w:color w:val="4A4A6A"/>
                <w:sz w:val="20"/>
                <w:szCs w:val="20"/>
              </w:rPr>
              <w:t xml:space="preserve">A systematic scan and expert analysis of your environment to identify security weaknesses before attackers find them. You receive a prioritized remediation roadmap and a clear picture of your current exposure.</w:t>
            </w:r>
          </w:p>
          <w:p>
            <w:pPr>
              <w:spacing w:after="0" w:before="60"/>
            </w:pPr>
            <w:r>
              <w:rPr>
                <w:rFonts w:ascii="Arial" w:cs="Arial" w:eastAsia="Arial" w:hAnsi="Arial"/>
                <w:b/>
                <w:bCs/>
                <w:color w:val="8B1A2B"/>
                <w:sz w:val="20"/>
                <w:szCs w:val="20"/>
              </w:rPr>
              <w:t xml:space="preserve">Schedule an Assessment →</w:t>
            </w:r>
          </w:p>
        </w:tc>
        <w:tc>
          <w:tcPr>
            <w:tcW w:type="dxa" w:w="3080"/>
            <w:tcBorders>
              <w:top w:val="single" w:color="DDDDDD" w:sz="1"/>
              <w:left w:val="single" w:color="DDDDDD" w:sz="1"/>
              <w:bottom w:val="single" w:color="DDDDDD" w:sz="1"/>
              <w:right w:val="single" w:color="DDDDDD" w:sz="1"/>
            </w:tcBorders>
            <w:shd w:fill="EEF0F8" w:val="clear"/>
            <w:tcMar>
              <w:top w:type="dxa" w:w="160"/>
              <w:left w:type="dxa" w:w="160"/>
              <w:bottom w:type="dxa" w:w="160"/>
              <w:right w:type="dxa" w:w="160"/>
            </w:tcMar>
            <w:vAlign w:val="top"/>
          </w:tcPr>
          <w:p>
            <w:pPr>
              <w:spacing w:after="100" w:before="0"/>
            </w:pPr>
            <w:r>
              <w:rPr>
                <w:rFonts w:ascii="Arial" w:cs="Arial" w:eastAsia="Arial" w:hAnsi="Arial"/>
                <w:b/>
                <w:bCs/>
                <w:color w:val="1A1A2E"/>
                <w:sz w:val="22"/>
                <w:szCs w:val="22"/>
              </w:rPr>
              <w:t xml:space="preserve">📋  Cyber Risk Evaluation</w:t>
            </w:r>
          </w:p>
          <w:p>
            <w:pPr>
              <w:spacing w:after="120" w:before="0"/>
            </w:pPr>
            <w:r>
              <w:rPr>
                <w:rFonts w:ascii="Arial" w:cs="Arial" w:eastAsia="Arial" w:hAnsi="Arial"/>
                <w:color w:val="4A4A6A"/>
                <w:sz w:val="20"/>
                <w:szCs w:val="20"/>
              </w:rPr>
              <w:t xml:space="preserve">A structured review of your overall security posture — policies, controls, people, and technology — mapped against industry frameworks. Understand where you are, where you need to be, and what it will take to get there.</w:t>
            </w:r>
          </w:p>
          <w:p>
            <w:pPr>
              <w:spacing w:after="0" w:before="60"/>
            </w:pPr>
            <w:r>
              <w:rPr>
                <w:rFonts w:ascii="Arial" w:cs="Arial" w:eastAsia="Arial" w:hAnsi="Arial"/>
                <w:b/>
                <w:bCs/>
                <w:color w:val="8B1A2B"/>
                <w:sz w:val="20"/>
                <w:szCs w:val="20"/>
              </w:rPr>
              <w:t xml:space="preserve">Schedule an Evaluation →</w:t>
            </w:r>
          </w:p>
        </w:tc>
        <w:tc>
          <w:tcPr>
            <w:tcW w:type="dxa" w:w="3080"/>
            <w:tcBorders>
              <w:top w:val="single" w:color="DDDDDD" w:sz="1"/>
              <w:left w:val="single" w:color="DDDDDD" w:sz="1"/>
              <w:bottom w:val="single" w:color="DDDDDD" w:sz="1"/>
              <w:right w:val="single" w:color="DDDDDD" w:sz="1"/>
            </w:tcBorders>
            <w:shd w:fill="EEF0F8" w:val="clear"/>
            <w:tcMar>
              <w:top w:type="dxa" w:w="160"/>
              <w:left w:type="dxa" w:w="160"/>
              <w:bottom w:type="dxa" w:w="160"/>
              <w:right w:type="dxa" w:w="160"/>
            </w:tcMar>
            <w:vAlign w:val="top"/>
          </w:tcPr>
          <w:p>
            <w:pPr>
              <w:spacing w:after="100" w:before="0"/>
            </w:pPr>
            <w:r>
              <w:rPr>
                <w:rFonts w:ascii="Arial" w:cs="Arial" w:eastAsia="Arial" w:hAnsi="Arial"/>
                <w:b/>
                <w:bCs/>
                <w:color w:val="1A1A2E"/>
                <w:sz w:val="22"/>
                <w:szCs w:val="22"/>
              </w:rPr>
              <w:t xml:space="preserve">⚕️  HIPAA Cyber Risk Assessment</w:t>
            </w:r>
          </w:p>
          <w:p>
            <w:pPr>
              <w:spacing w:after="120" w:before="0"/>
            </w:pPr>
            <w:r>
              <w:rPr>
                <w:rFonts w:ascii="Arial" w:cs="Arial" w:eastAsia="Arial" w:hAnsi="Arial"/>
                <w:color w:val="4A4A6A"/>
                <w:sz w:val="20"/>
                <w:szCs w:val="20"/>
              </w:rPr>
              <w:t xml:space="preserve">Required by the HIPAA Security Rule, this assessment identifies risks to the confidentiality, integrity, and availability of your ePHI. We deliver audit-ready documentation that satisfies OCR requirements and gives your compliance team what they need.</w:t>
            </w:r>
          </w:p>
          <w:p>
            <w:pPr>
              <w:spacing w:after="0" w:before="60"/>
            </w:pPr>
            <w:r>
              <w:rPr>
                <w:rFonts w:ascii="Arial" w:cs="Arial" w:eastAsia="Arial" w:hAnsi="Arial"/>
                <w:b/>
                <w:bCs/>
                <w:color w:val="8B1A2B"/>
                <w:sz w:val="20"/>
                <w:szCs w:val="20"/>
              </w:rPr>
              <w:t xml:space="preserve">Schedule an Assessment →</w:t>
            </w:r>
          </w:p>
        </w:tc>
      </w:tr>
    </w:tbl>
    <w:p>
      <w:pPr>
        <w:spacing w:after="0" w:before="160"/>
      </w:pPr>
      <w:r>
        <w:t xml:space="preserve"/>
      </w:r>
    </w:p>
    <w:p>
      <w:pPr>
        <w:spacing w:after="60" w:before="60"/>
      </w:pPr>
      <w:r>
        <w:rPr>
          <w:rFonts w:ascii="Arial" w:cs="Arial" w:eastAsia="Arial" w:hAnsi="Arial"/>
          <w:i/>
          <w:iCs/>
          <w:color w:val="888888"/>
          <w:sz w:val="18"/>
          <w:szCs w:val="18"/>
        </w:rPr>
        <w:t xml:space="preserve">Each assessment is a standalone engagement. Many clients use them as the starting point for ongoing managed security.</w:t>
      </w:r>
    </w:p>
    <w:p>
      <w:pPr>
        <w:shd w:fill="1A1A2E" w:val="clear"/>
        <w:spacing w:after="120" w:before="400"/>
        <w:ind w:left="100" w:right="100"/>
      </w:pPr>
      <w:r>
        <w:rPr>
          <w:rFonts w:ascii="Arial" w:cs="Arial" w:eastAsia="Arial" w:hAnsi="Arial"/>
          <w:b/>
          <w:bCs/>
          <w:color w:val="FFFFFF"/>
          <w:sz w:val="22"/>
          <w:szCs w:val="22"/>
        </w:rPr>
        <w:t xml:space="preserve">SECTION 4: MANAGED SECURITY SERVICES (THE 5 PILLARS) — ANCHOR: #SERVICES</w:t>
      </w:r>
    </w:p>
    <w:p>
      <w:pPr>
        <w:shd w:fill="FFFDE7" w:val="clear"/>
        <w:spacing w:after="60" w:before="60"/>
        <w:ind w:left="200"/>
      </w:pPr>
      <w:r>
        <w:rPr>
          <w:rFonts w:ascii="Arial" w:cs="Arial" w:eastAsia="Arial" w:hAnsi="Arial"/>
          <w:i/>
          <w:iCs/>
          <w:color w:val="777700"/>
          <w:sz w:val="19"/>
          <w:szCs w:val="19"/>
        </w:rPr>
        <w:t xml:space="preserve">✏️  Designer Note: This is the core services section. Consider a 2-column alternating layout (icon/title left, body right) or 5 stacked cards with a subtle numbered treatment. Avoid making this feel like a feature list — each pillar should read as a complete, valuable service.</w:t>
      </w:r>
    </w:p>
    <w:p>
      <w:pPr>
        <w:spacing w:after="0" w:before="120"/>
      </w:pPr>
      <w:r>
        <w:t xml:space="preserve"/>
      </w:r>
    </w:p>
    <w:p>
      <w:pPr>
        <w:spacing w:after="80" w:before="40"/>
      </w:pPr>
      <w:r>
        <w:rPr>
          <w:rFonts w:ascii="Arial" w:cs="Arial" w:eastAsia="Arial" w:hAnsi="Arial"/>
          <w:b/>
          <w:bCs/>
          <w:color w:val="8B1A2B"/>
          <w:sz w:val="18"/>
          <w:szCs w:val="18"/>
        </w:rPr>
        <w:t xml:space="preserve">MANAGED SECURITY SERVICES</w:t>
      </w:r>
    </w:p>
    <w:p>
      <w:pPr>
        <w:pStyle w:val="Heading2"/>
      </w:pPr>
      <w:r>
        <w:rPr>
          <w:rFonts w:ascii="Arial" w:cs="Arial" w:eastAsia="Arial" w:hAnsi="Arial"/>
          <w:b/>
          <w:bCs/>
          <w:color w:val="1A1A2E"/>
          <w:sz w:val="34"/>
          <w:szCs w:val="34"/>
        </w:rPr>
        <w:t xml:space="preserve">Complete Security Management,</w:t>
      </w:r>
    </w:p>
    <w:p>
      <w:pPr>
        <w:pStyle w:val="Heading2"/>
      </w:pPr>
      <w:r>
        <w:rPr>
          <w:rFonts w:ascii="Arial" w:cs="Arial" w:eastAsia="Arial" w:hAnsi="Arial"/>
          <w:b/>
          <w:bCs/>
          <w:color w:val="1A1A2E"/>
          <w:sz w:val="34"/>
          <w:szCs w:val="34"/>
        </w:rPr>
        <w:t xml:space="preserve">Built Around Five Core Pillars</w:t>
      </w:r>
    </w:p>
    <w:p>
      <w:pPr>
        <w:spacing w:after="0" w:before="80"/>
      </w:pPr>
      <w:r>
        <w:t xml:space="preserve"/>
      </w:r>
    </w:p>
    <w:p>
      <w:pPr>
        <w:spacing w:after="80" w:before="80"/>
      </w:pPr>
      <w:r>
        <w:rPr>
          <w:rFonts w:ascii="Arial" w:cs="Arial" w:eastAsia="Arial" w:hAnsi="Arial"/>
          <w:color w:val="4A4A6A"/>
          <w:sz w:val="22"/>
          <w:szCs w:val="22"/>
        </w:rPr>
        <w:t xml:space="preserve">Our managed security program addresses the most common causes of breaches in regulated industries: phishing, unpatched systems, ransomware, credential theft, and failed backups. Together, these five services form a defensible, documented security program — not a collection of disconnected tools. When regulators or cyber insurers ask hard questions, you’ll have the answers.</w:t>
      </w:r>
    </w:p>
    <w:p>
      <w:pPr>
        <w:spacing w:after="0" w:before="240"/>
      </w:pPr>
      <w:r>
        <w:t xml:space="preserve"/>
      </w:r>
    </w:p>
    <w:p>
      <w:pPr>
        <w:spacing w:after="0" w:before="120"/>
      </w:pPr>
      <w:r>
        <w:rPr>
          <w:rFonts w:ascii="Arial" w:cs="Arial" w:eastAsia="Arial" w:hAnsi="Arial"/>
          <w:b/>
          <w:bCs/>
          <w:color w:val="DDDDDD"/>
          <w:sz w:val="48"/>
          <w:szCs w:val="48"/>
        </w:rPr>
        <w:t xml:space="preserve">01</w:t>
      </w:r>
    </w:p>
    <w:p>
      <w:pPr>
        <w:pStyle w:val="Heading3"/>
      </w:pPr>
      <w:r>
        <w:rPr>
          <w:rFonts w:ascii="Arial" w:cs="Arial" w:eastAsia="Arial" w:hAnsi="Arial"/>
          <w:b/>
          <w:bCs/>
          <w:color w:val="1A1A2E"/>
          <w:sz w:val="26"/>
          <w:szCs w:val="26"/>
        </w:rPr>
        <w:t xml:space="preserve">Endpoint Detection &amp; Response (EDR)</w:t>
      </w:r>
    </w:p>
    <w:p>
      <w:pPr>
        <w:spacing w:after="80" w:before="80"/>
      </w:pPr>
      <w:r>
        <w:rPr>
          <w:rFonts w:ascii="Arial" w:cs="Arial" w:eastAsia="Arial" w:hAnsi="Arial"/>
          <w:color w:val="4A4A6A"/>
          <w:sz w:val="22"/>
          <w:szCs w:val="22"/>
        </w:rPr>
        <w:t xml:space="preserve">Every device on your network is a potential entry point. We deploy and manage endpoint detection and response across your environment, providing continuous monitoring, real-time threat detection, and rapid containment when something goes wrong. You get expert eyes on every endpoint — without hiring an internal security team.</w:t>
      </w:r>
    </w:p>
    <w:p>
      <w:pPr>
        <w:pBdr>
          <w:bottom w:val="single" w:color="CCCCCC" w:sz="4" w:space="1"/>
        </w:pBdr>
        <w:spacing w:after="200" w:before="200"/>
      </w:pPr>
      <w:r>
        <w:t xml:space="preserve"/>
      </w:r>
    </w:p>
    <w:p>
      <w:pPr>
        <w:spacing w:after="0" w:before="120"/>
      </w:pPr>
      <w:r>
        <w:rPr>
          <w:rFonts w:ascii="Arial" w:cs="Arial" w:eastAsia="Arial" w:hAnsi="Arial"/>
          <w:b/>
          <w:bCs/>
          <w:color w:val="DDDDDD"/>
          <w:sz w:val="48"/>
          <w:szCs w:val="48"/>
        </w:rPr>
        <w:t xml:space="preserve">02</w:t>
      </w:r>
    </w:p>
    <w:p>
      <w:pPr>
        <w:pStyle w:val="Heading3"/>
      </w:pPr>
      <w:r>
        <w:rPr>
          <w:rFonts w:ascii="Arial" w:cs="Arial" w:eastAsia="Arial" w:hAnsi="Arial"/>
          <w:b/>
          <w:bCs/>
          <w:color w:val="1A1A2E"/>
          <w:sz w:val="26"/>
          <w:szCs w:val="26"/>
        </w:rPr>
        <w:t xml:space="preserve">Email Security &amp; Phishing Protection</w:t>
      </w:r>
    </w:p>
    <w:p>
      <w:pPr>
        <w:spacing w:after="80" w:before="80"/>
      </w:pPr>
      <w:r>
        <w:rPr>
          <w:rFonts w:ascii="Arial" w:cs="Arial" w:eastAsia="Arial" w:hAnsi="Arial"/>
          <w:color w:val="4A4A6A"/>
          <w:sz w:val="22"/>
          <w:szCs w:val="22"/>
        </w:rPr>
        <w:t xml:space="preserve">Phishing remains the number one cause of breaches. We layer advanced email filtering, anti-spoofing controls, and security awareness training to dramatically reduce your exposure. When phishing attempts do get through, your team will know exactly what to do.</w:t>
      </w:r>
    </w:p>
    <w:p>
      <w:pPr>
        <w:pBdr>
          <w:bottom w:val="single" w:color="CCCCCC" w:sz="4" w:space="1"/>
        </w:pBdr>
        <w:spacing w:after="200" w:before="200"/>
      </w:pPr>
      <w:r>
        <w:t xml:space="preserve"/>
      </w:r>
    </w:p>
    <w:p>
      <w:pPr>
        <w:spacing w:after="0" w:before="120"/>
      </w:pPr>
      <w:r>
        <w:rPr>
          <w:rFonts w:ascii="Arial" w:cs="Arial" w:eastAsia="Arial" w:hAnsi="Arial"/>
          <w:b/>
          <w:bCs/>
          <w:color w:val="DDDDDD"/>
          <w:sz w:val="48"/>
          <w:szCs w:val="48"/>
        </w:rPr>
        <w:t xml:space="preserve">03</w:t>
      </w:r>
    </w:p>
    <w:p>
      <w:pPr>
        <w:pStyle w:val="Heading3"/>
      </w:pPr>
      <w:r>
        <w:rPr>
          <w:rFonts w:ascii="Arial" w:cs="Arial" w:eastAsia="Arial" w:hAnsi="Arial"/>
          <w:b/>
          <w:bCs/>
          <w:color w:val="1A1A2E"/>
          <w:sz w:val="26"/>
          <w:szCs w:val="26"/>
        </w:rPr>
        <w:t xml:space="preserve">Patch Management &amp; Vulnerability Remediation</w:t>
      </w:r>
    </w:p>
    <w:p>
      <w:pPr>
        <w:spacing w:after="80" w:before="80"/>
      </w:pPr>
      <w:r>
        <w:rPr>
          <w:rFonts w:ascii="Arial" w:cs="Arial" w:eastAsia="Arial" w:hAnsi="Arial"/>
          <w:color w:val="4A4A6A"/>
          <w:sz w:val="22"/>
          <w:szCs w:val="22"/>
        </w:rPr>
        <w:t xml:space="preserve">Unpatched systems are an open invitation. We manage your patching cadence across operating systems and applications, prioritizing critical vulnerabilities and maintaining a documented remediation history. No more wondering whether your systems are current — and no more scrambling after a CVE drops.</w:t>
      </w:r>
    </w:p>
    <w:p>
      <w:pPr>
        <w:pBdr>
          <w:bottom w:val="single" w:color="CCCCCC" w:sz="4" w:space="1"/>
        </w:pBdr>
        <w:spacing w:after="200" w:before="200"/>
      </w:pPr>
      <w:r>
        <w:t xml:space="preserve"/>
      </w:r>
    </w:p>
    <w:p>
      <w:pPr>
        <w:spacing w:after="0" w:before="120"/>
      </w:pPr>
      <w:r>
        <w:rPr>
          <w:rFonts w:ascii="Arial" w:cs="Arial" w:eastAsia="Arial" w:hAnsi="Arial"/>
          <w:b/>
          <w:bCs/>
          <w:color w:val="DDDDDD"/>
          <w:sz w:val="48"/>
          <w:szCs w:val="48"/>
        </w:rPr>
        <w:t xml:space="preserve">04</w:t>
      </w:r>
    </w:p>
    <w:p>
      <w:pPr>
        <w:pStyle w:val="Heading3"/>
      </w:pPr>
      <w:r>
        <w:rPr>
          <w:rFonts w:ascii="Arial" w:cs="Arial" w:eastAsia="Arial" w:hAnsi="Arial"/>
          <w:b/>
          <w:bCs/>
          <w:color w:val="1A1A2E"/>
          <w:sz w:val="26"/>
          <w:szCs w:val="26"/>
        </w:rPr>
        <w:t xml:space="preserve">SIEM &amp; Threat Monitoring</w:t>
      </w:r>
    </w:p>
    <w:p>
      <w:pPr>
        <w:spacing w:after="80" w:before="80"/>
      </w:pPr>
      <w:r>
        <w:rPr>
          <w:rFonts w:ascii="Arial" w:cs="Arial" w:eastAsia="Arial" w:hAnsi="Arial"/>
          <w:color w:val="4A4A6A"/>
          <w:sz w:val="22"/>
          <w:szCs w:val="22"/>
        </w:rPr>
        <w:t xml:space="preserve">We deploy and tune a Security Information and Event Management (SIEM) system that aggregates logs from across your environment and flags anomalous behavior — failed login spikes, unauthorized access attempts, data movement that doesn’t look right. You receive a monthly threat activity summary and immediate escalation for anything that requires attention.</w:t>
      </w:r>
    </w:p>
    <w:p>
      <w:pPr>
        <w:pBdr>
          <w:bottom w:val="single" w:color="CCCCCC" w:sz="4" w:space="1"/>
        </w:pBdr>
        <w:spacing w:after="200" w:before="200"/>
      </w:pPr>
      <w:r>
        <w:t xml:space="preserve"/>
      </w:r>
    </w:p>
    <w:p>
      <w:pPr>
        <w:spacing w:after="0" w:before="120"/>
      </w:pPr>
      <w:r>
        <w:rPr>
          <w:rFonts w:ascii="Arial" w:cs="Arial" w:eastAsia="Arial" w:hAnsi="Arial"/>
          <w:b/>
          <w:bCs/>
          <w:color w:val="DDDDDD"/>
          <w:sz w:val="48"/>
          <w:szCs w:val="48"/>
        </w:rPr>
        <w:t xml:space="preserve">05</w:t>
      </w:r>
    </w:p>
    <w:p>
      <w:pPr>
        <w:pStyle w:val="Heading3"/>
      </w:pPr>
      <w:r>
        <w:rPr>
          <w:rFonts w:ascii="Arial" w:cs="Arial" w:eastAsia="Arial" w:hAnsi="Arial"/>
          <w:b/>
          <w:bCs/>
          <w:color w:val="1A1A2E"/>
          <w:sz w:val="26"/>
          <w:szCs w:val="26"/>
        </w:rPr>
        <w:t xml:space="preserve">Backup Integrity &amp; Incident Response Readiness</w:t>
      </w:r>
    </w:p>
    <w:p>
      <w:pPr>
        <w:spacing w:after="80" w:before="80"/>
      </w:pPr>
      <w:r>
        <w:rPr>
          <w:rFonts w:ascii="Arial" w:cs="Arial" w:eastAsia="Arial" w:hAnsi="Arial"/>
          <w:color w:val="4A4A6A"/>
          <w:sz w:val="22"/>
          <w:szCs w:val="22"/>
        </w:rPr>
        <w:t xml:space="preserve">Ransomware groups specifically target and destroy backups before they deploy. We monitor your backup jobs, validate restore capability on a regular schedule, maintain your incident response plan, and ensure that when — not if — something happens, you have a tested playbook. Not a panic.</w:t>
      </w:r>
    </w:p>
    <w:p>
      <w:pPr>
        <w:spacing w:after="0" w:before="200"/>
      </w:pPr>
      <w:r>
        <w:t xml:space="preserve"/>
      </w:r>
    </w:p>
    <w:p>
      <w:pPr>
        <w:spacing w:after="100" w:before="100"/>
      </w:pPr>
      <w:r>
        <w:rPr>
          <w:rFonts w:ascii="Arial" w:cs="Arial" w:eastAsia="Arial" w:hAnsi="Arial"/>
          <w:b/>
          <w:bCs/>
          <w:color w:val="8B1A2B"/>
          <w:sz w:val="22"/>
          <w:szCs w:val="22"/>
        </w:rPr>
        <w:t xml:space="preserve">[ Ready for a complete security program? — Schedule a Free Consultation → ]</w:t>
      </w:r>
    </w:p>
    <w:p>
      <w:pPr>
        <w:shd w:fill="1A1A2E" w:val="clear"/>
        <w:spacing w:after="120" w:before="400"/>
        <w:ind w:left="100" w:right="100"/>
      </w:pPr>
      <w:r>
        <w:rPr>
          <w:rFonts w:ascii="Arial" w:cs="Arial" w:eastAsia="Arial" w:hAnsi="Arial"/>
          <w:b/>
          <w:bCs/>
          <w:color w:val="FFFFFF"/>
          <w:sz w:val="22"/>
          <w:szCs w:val="22"/>
        </w:rPr>
        <w:t xml:space="preserve">SECTION 5: DATA SECURITY DIFFERENTIATOR — ANCHOR: #DATA-SECURITY</w:t>
      </w:r>
    </w:p>
    <w:p>
      <w:pPr>
        <w:shd w:fill="FFFDE7" w:val="clear"/>
        <w:spacing w:after="60" w:before="60"/>
        <w:ind w:left="200"/>
      </w:pPr>
      <w:r>
        <w:rPr>
          <w:rFonts w:ascii="Arial" w:cs="Arial" w:eastAsia="Arial" w:hAnsi="Arial"/>
          <w:i/>
          <w:iCs/>
          <w:color w:val="777700"/>
          <w:sz w:val="19"/>
          <w:szCs w:val="19"/>
        </w:rPr>
        <w:t xml:space="preserve">✏️  Designer Note: This is the brand differentiator section. Give it a visually distinct treatment — dark background, strong typography. Use the tagline 'From the Data Up.' prominently. 3 sub-features below the main copy can use icon + title + body layout. Include a 'Learn more' link that can go to a deeper data security page or section.</w:t>
      </w:r>
    </w:p>
    <w:p>
      <w:pPr>
        <w:spacing w:after="0" w:before="120"/>
      </w:pPr>
      <w:r>
        <w:t xml:space="preserve"/>
      </w:r>
    </w:p>
    <w:p>
      <w:pPr>
        <w:spacing w:after="80" w:before="40"/>
      </w:pPr>
      <w:r>
        <w:rPr>
          <w:rFonts w:ascii="Arial" w:cs="Arial" w:eastAsia="Arial" w:hAnsi="Arial"/>
          <w:b/>
          <w:bCs/>
          <w:color w:val="8B1A2B"/>
          <w:sz w:val="18"/>
          <w:szCs w:val="18"/>
        </w:rPr>
        <w:t xml:space="preserve">OUR DIFFERENTIATOR</w:t>
      </w:r>
    </w:p>
    <w:p>
      <w:pPr>
        <w:pStyle w:val="Heading2"/>
      </w:pPr>
      <w:r>
        <w:rPr>
          <w:rFonts w:ascii="Arial" w:cs="Arial" w:eastAsia="Arial" w:hAnsi="Arial"/>
          <w:b/>
          <w:bCs/>
          <w:color w:val="1A1A2E"/>
          <w:sz w:val="34"/>
          <w:szCs w:val="34"/>
        </w:rPr>
        <w:t xml:space="preserve">Security From the Data Up.</w:t>
      </w:r>
    </w:p>
    <w:p>
      <w:pPr>
        <w:spacing w:after="0" w:before="120"/>
      </w:pPr>
      <w:r>
        <w:t xml:space="preserve"/>
      </w:r>
    </w:p>
    <w:p>
      <w:pPr>
        <w:spacing w:after="80" w:before="80"/>
      </w:pPr>
      <w:r>
        <w:rPr>
          <w:rFonts w:ascii="Arial" w:cs="Arial" w:eastAsia="Arial" w:hAnsi="Arial"/>
          <w:color w:val="4A4A6A"/>
          <w:sz w:val="22"/>
          <w:szCs w:val="22"/>
        </w:rPr>
        <w:t xml:space="preserve">Most MSSPs start at the perimeter. We started at the data itself.</w:t>
      </w:r>
    </w:p>
    <w:p>
      <w:pPr>
        <w:spacing w:after="0" w:before="80"/>
      </w:pPr>
      <w:r>
        <w:t xml:space="preserve"/>
      </w:r>
    </w:p>
    <w:p>
      <w:pPr>
        <w:spacing w:after="80" w:before="80"/>
      </w:pPr>
      <w:r>
        <w:rPr>
          <w:rFonts w:ascii="Arial" w:cs="Arial" w:eastAsia="Arial" w:hAnsi="Arial"/>
          <w:color w:val="4A4A6A"/>
          <w:sz w:val="22"/>
          <w:szCs w:val="22"/>
        </w:rPr>
        <w:t xml:space="preserve">Before we were a full-service MSSP, Sidechain Security spent years as a specialized data security firm — deploying and managing encryption, key management infrastructure, and Hardware Security Modules (HSMs) for Fortune 500 companies. We worked in environments where data protection wasn’t optional, where a single misconfigured encryption key could mean regulatory action, financial liability, or both.</w:t>
      </w:r>
    </w:p>
    <w:p>
      <w:pPr>
        <w:spacing w:after="0" w:before="80"/>
      </w:pPr>
      <w:r>
        <w:t xml:space="preserve"/>
      </w:r>
    </w:p>
    <w:p>
      <w:pPr>
        <w:spacing w:after="80" w:before="80"/>
      </w:pPr>
      <w:r>
        <w:rPr>
          <w:rFonts w:ascii="Arial" w:cs="Arial" w:eastAsia="Arial" w:hAnsi="Arial"/>
          <w:color w:val="4A4A6A"/>
          <w:sz w:val="22"/>
          <w:szCs w:val="22"/>
        </w:rPr>
        <w:t xml:space="preserve">That background shapes everything we do. When we monitor your environment, we understand what’s at risk at the data layer. When we design your security program, data protection isn’t an afterthought — it’s the foundation.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Borders>
              <w:top w:val="none" w:color="FFFFFF" w:sz="0"/>
              <w:left w:val="none" w:color="FFFFFF" w:sz="0"/>
              <w:bottom w:val="none" w:color="FFFFFF" w:sz="0"/>
              <w:right w:val="none" w:color="FFFFFF" w:sz="0"/>
            </w:tcBorders>
            <w:shd w:fill="F4F4F8" w:val="clear"/>
            <w:tcMar>
              <w:top w:type="dxa" w:w="160"/>
              <w:left w:type="dxa" w:w="160"/>
              <w:bottom w:type="dxa" w:w="160"/>
              <w:right w:type="dxa" w:w="140"/>
            </w:tcMar>
            <w:vAlign w:val="top"/>
          </w:tcPr>
          <w:p>
            <w:pPr>
              <w:spacing w:after="100" w:before="0"/>
            </w:pPr>
            <w:r>
              <w:rPr>
                <w:rFonts w:ascii="Arial" w:cs="Arial" w:eastAsia="Arial" w:hAnsi="Arial"/>
                <w:b/>
                <w:bCs/>
                <w:color w:val="1A1A2E"/>
                <w:sz w:val="21"/>
                <w:szCs w:val="21"/>
              </w:rPr>
              <w:t xml:space="preserve">🔐  Encryption &amp; Key Management</w:t>
            </w:r>
          </w:p>
          <w:p>
            <w:pPr>
              <w:spacing w:after="0" w:before="0"/>
            </w:pPr>
            <w:r>
              <w:rPr>
                <w:rFonts w:ascii="Arial" w:cs="Arial" w:eastAsia="Arial" w:hAnsi="Arial"/>
                <w:color w:val="4A4A6A"/>
                <w:sz w:val="19"/>
                <w:szCs w:val="19"/>
              </w:rPr>
              <w:t xml:space="preserve">Full lifecycle management of encryption keys across your environment. We support Thales CipherTrust, Entrust, Utimaco, Fortanix, AWS KMS, Azure Key Vault, and Google Cloud KMS.</w:t>
            </w:r>
          </w:p>
        </w:tc>
        <w:tc>
          <w:tcPr>
            <w:tcW w:type="dxa" w:w="3080"/>
            <w:tcBorders>
              <w:top w:val="none" w:color="FFFFFF" w:sz="0"/>
              <w:left w:val="none" w:color="FFFFFF" w:sz="0"/>
              <w:bottom w:val="none" w:color="FFFFFF" w:sz="0"/>
              <w:right w:val="none" w:color="FFFFFF" w:sz="0"/>
            </w:tcBorders>
            <w:shd w:fill="F4F4F8" w:val="clear"/>
            <w:tcMar>
              <w:top w:type="dxa" w:w="160"/>
              <w:left w:type="dxa" w:w="160"/>
              <w:bottom w:type="dxa" w:w="160"/>
              <w:right w:type="dxa" w:w="140"/>
            </w:tcMar>
            <w:vAlign w:val="top"/>
          </w:tcPr>
          <w:p>
            <w:pPr>
              <w:spacing w:after="100" w:before="0"/>
            </w:pPr>
            <w:r>
              <w:rPr>
                <w:rFonts w:ascii="Arial" w:cs="Arial" w:eastAsia="Arial" w:hAnsi="Arial"/>
                <w:b/>
                <w:bCs/>
                <w:color w:val="1A1A2E"/>
                <w:sz w:val="21"/>
                <w:szCs w:val="21"/>
              </w:rPr>
              <w:t xml:space="preserve">🏛️  Managed HSM</w:t>
            </w:r>
          </w:p>
          <w:p>
            <w:pPr>
              <w:spacing w:after="0" w:before="0"/>
            </w:pPr>
            <w:r>
              <w:rPr>
                <w:rFonts w:ascii="Arial" w:cs="Arial" w:eastAsia="Arial" w:hAnsi="Arial"/>
                <w:color w:val="4A4A6A"/>
                <w:sz w:val="19"/>
                <w:szCs w:val="19"/>
              </w:rPr>
              <w:t xml:space="preserve">Hardware Security Module hosting and management at FIPS 140-2 Level 3, delivered from our secure data center infrastructure — enterprise-grade key protection without the hardware complexity.</w:t>
            </w:r>
          </w:p>
        </w:tc>
        <w:tc>
          <w:tcPr>
            <w:tcW w:type="dxa" w:w="3080"/>
            <w:tcBorders>
              <w:top w:val="none" w:color="FFFFFF" w:sz="0"/>
              <w:left w:val="none" w:color="FFFFFF" w:sz="0"/>
              <w:bottom w:val="none" w:color="FFFFFF" w:sz="0"/>
              <w:right w:val="none" w:color="FFFFFF" w:sz="0"/>
            </w:tcBorders>
            <w:shd w:fill="F4F4F8" w:val="clear"/>
            <w:tcMar>
              <w:top w:type="dxa" w:w="160"/>
              <w:left w:type="dxa" w:w="160"/>
              <w:bottom w:type="dxa" w:w="160"/>
              <w:right w:type="dxa" w:w="160"/>
            </w:tcMar>
            <w:vAlign w:val="top"/>
          </w:tcPr>
          <w:p>
            <w:pPr>
              <w:spacing w:after="100" w:before="0"/>
            </w:pPr>
            <w:r>
              <w:rPr>
                <w:rFonts w:ascii="Arial" w:cs="Arial" w:eastAsia="Arial" w:hAnsi="Arial"/>
                <w:b/>
                <w:bCs/>
                <w:color w:val="1A1A2E"/>
                <w:sz w:val="21"/>
                <w:szCs w:val="21"/>
              </w:rPr>
              <w:t xml:space="preserve">☁️  Cloud Data Protection</w:t>
            </w:r>
          </w:p>
          <w:p>
            <w:pPr>
              <w:spacing w:after="0" w:before="0"/>
            </w:pPr>
            <w:r>
              <w:rPr>
                <w:rFonts w:ascii="Arial" w:cs="Arial" w:eastAsia="Arial" w:hAnsi="Arial"/>
                <w:color w:val="4A4A6A"/>
                <w:sz w:val="19"/>
                <w:szCs w:val="19"/>
              </w:rPr>
              <w:t xml:space="preserve">BYOK and HYOK solutions that let you maintain data sovereignty while leveraging cloud infrastructure. Protect data in AWS, Azure, and Google Cloud without surrendering control of your keys.</w:t>
            </w:r>
          </w:p>
        </w:tc>
      </w:tr>
    </w:tbl>
    <w:p>
      <w:pPr>
        <w:spacing w:after="0" w:before="200"/>
      </w:pPr>
      <w:r>
        <w:t xml:space="preserve"/>
      </w:r>
    </w:p>
    <w:p>
      <w:pPr>
        <w:spacing w:after="60" w:before="60"/>
      </w:pPr>
      <w:r>
        <w:rPr>
          <w:rFonts w:ascii="Arial" w:cs="Arial" w:eastAsia="Arial" w:hAnsi="Arial"/>
          <w:b/>
          <w:bCs/>
          <w:color w:val="8B1A2B"/>
          <w:sz w:val="20"/>
          <w:szCs w:val="20"/>
        </w:rPr>
        <w:t xml:space="preserve">Learn more about our Data Security platform →</w:t>
      </w:r>
    </w:p>
    <w:p>
      <w:pPr>
        <w:spacing w:after="60" w:before="60"/>
      </w:pPr>
      <w:r>
        <w:rPr>
          <w:rFonts w:ascii="Arial" w:cs="Arial" w:eastAsia="Arial" w:hAnsi="Arial"/>
          <w:i/>
          <w:iCs/>
          <w:color w:val="888888"/>
          <w:sz w:val="18"/>
          <w:szCs w:val="18"/>
        </w:rPr>
        <w:t xml:space="preserve">Designer note: This link can go to a dedicated /data-security sub-page or a modal. Consider referencing sidechainsecurity.com for fuller detail on the data security platform.</w:t>
      </w:r>
    </w:p>
    <w:p>
      <w:pPr>
        <w:shd w:fill="1A1A2E" w:val="clear"/>
        <w:spacing w:after="120" w:before="400"/>
        <w:ind w:left="100" w:right="100"/>
      </w:pPr>
      <w:r>
        <w:rPr>
          <w:rFonts w:ascii="Arial" w:cs="Arial" w:eastAsia="Arial" w:hAnsi="Arial"/>
          <w:b/>
          <w:bCs/>
          <w:color w:val="FFFFFF"/>
          <w:sz w:val="22"/>
          <w:szCs w:val="22"/>
        </w:rPr>
        <w:t xml:space="preserve">SECTION 6: REGULATED INDUSTRIES &amp; COMPLIANCE — ANCHOR: #COMPLIANCE</w:t>
      </w:r>
    </w:p>
    <w:p>
      <w:pPr>
        <w:shd w:fill="FFFDE7" w:val="clear"/>
        <w:spacing w:after="60" w:before="60"/>
        <w:ind w:left="200"/>
      </w:pPr>
      <w:r>
        <w:rPr>
          <w:rFonts w:ascii="Arial" w:cs="Arial" w:eastAsia="Arial" w:hAnsi="Arial"/>
          <w:i/>
          <w:iCs/>
          <w:color w:val="777700"/>
          <w:sz w:val="19"/>
          <w:szCs w:val="19"/>
        </w:rPr>
        <w:t xml:space="preserve">✏️  Designer Note: 4-industry layout (2x2 grid or 4 columns). Each industry gets an icon, H3, and 2-3 sentences of copy. End the section with a compliance frameworks bar (logos or text tags).</w:t>
      </w:r>
    </w:p>
    <w:p>
      <w:pPr>
        <w:spacing w:after="0" w:before="120"/>
      </w:pPr>
      <w:r>
        <w:t xml:space="preserve"/>
      </w:r>
    </w:p>
    <w:p>
      <w:pPr>
        <w:spacing w:after="80" w:before="40"/>
      </w:pPr>
      <w:r>
        <w:rPr>
          <w:rFonts w:ascii="Arial" w:cs="Arial" w:eastAsia="Arial" w:hAnsi="Arial"/>
          <w:b/>
          <w:bCs/>
          <w:color w:val="8B1A2B"/>
          <w:sz w:val="18"/>
          <w:szCs w:val="18"/>
        </w:rPr>
        <w:t xml:space="preserve">COMPLIANCE EXPERTISE</w:t>
      </w:r>
    </w:p>
    <w:p>
      <w:pPr>
        <w:pStyle w:val="Heading2"/>
      </w:pPr>
      <w:r>
        <w:rPr>
          <w:rFonts w:ascii="Arial" w:cs="Arial" w:eastAsia="Arial" w:hAnsi="Arial"/>
          <w:b/>
          <w:bCs/>
          <w:color w:val="1A1A2E"/>
          <w:sz w:val="34"/>
          <w:szCs w:val="34"/>
        </w:rPr>
        <w:t xml:space="preserve">Built for the Industries With the Most at Stake</w:t>
      </w:r>
    </w:p>
    <w:p>
      <w:pPr>
        <w:spacing w:after="80" w:before="80"/>
      </w:pPr>
      <w:r>
        <w:rPr>
          <w:rFonts w:ascii="Arial" w:cs="Arial" w:eastAsia="Arial" w:hAnsi="Arial"/>
          <w:color w:val="4A4A6A"/>
          <w:sz w:val="22"/>
          <w:szCs w:val="22"/>
        </w:rPr>
        <w:t xml:space="preserve">We serve organizations where compliance isn’t a checkbox — it’s a business requirement. Our team has deep familiarity with the regulatory frameworks that govern your industry, and we design security programs that satisfy auditors, not just defend against threats.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F0F8" w:val="clear"/>
            <w:tcMar>
              <w:top w:type="dxa" w:w="160"/>
              <w:left w:type="dxa" w:w="180"/>
              <w:bottom w:type="dxa" w:w="160"/>
              <w:right w:type="dxa" w:w="180"/>
            </w:tcMar>
            <w:vAlign w:val="top"/>
          </w:tcPr>
          <w:p>
            <w:pPr>
              <w:spacing w:after="80" w:before="0"/>
            </w:pPr>
            <w:r>
              <w:rPr>
                <w:rFonts w:ascii="Arial" w:cs="Arial" w:eastAsia="Arial" w:hAnsi="Arial"/>
                <w:b/>
                <w:bCs/>
                <w:color w:val="1A1A2E"/>
                <w:sz w:val="24"/>
                <w:szCs w:val="24"/>
              </w:rPr>
              <w:t xml:space="preserve">⚕️  Healthcare</w:t>
            </w:r>
          </w:p>
          <w:p>
            <w:pPr>
              <w:spacing w:after="0" w:before="0"/>
            </w:pPr>
            <w:r>
              <w:rPr>
                <w:rFonts w:ascii="Arial" w:cs="Arial" w:eastAsia="Arial" w:hAnsi="Arial"/>
                <w:color w:val="4A4A6A"/>
                <w:sz w:val="20"/>
                <w:szCs w:val="20"/>
              </w:rPr>
              <w:t xml:space="preserve">HIPAA Security Rule compliance, required risk assessments, ePHI protection, and OCR-ready documentation. We understand what regulators want to see — and exactly how to get you there. Our HIPAA Cyber Risk Assessment is designed specifically to satisfy the requirements of 45 CFR § 164.308.</w:t>
            </w:r>
          </w:p>
        </w:tc>
        <w:tc>
          <w:tcPr>
            <w:tcW w:type="dxa" w:w="4680"/>
            <w:tcBorders>
              <w:top w:val="single" w:color="DDDDDD" w:sz="1"/>
              <w:left w:val="single" w:color="DDDDDD" w:sz="1"/>
              <w:bottom w:val="single" w:color="DDDDDD" w:sz="1"/>
              <w:right w:val="single" w:color="DDDDDD" w:sz="1"/>
            </w:tcBorders>
            <w:shd w:fill="EEF0F8" w:val="clear"/>
            <w:tcMar>
              <w:top w:type="dxa" w:w="160"/>
              <w:left w:type="dxa" w:w="180"/>
              <w:bottom w:type="dxa" w:w="160"/>
              <w:right w:type="dxa" w:w="180"/>
            </w:tcMar>
            <w:vAlign w:val="top"/>
          </w:tcPr>
          <w:p>
            <w:pPr>
              <w:spacing w:after="80" w:before="0"/>
            </w:pPr>
            <w:r>
              <w:rPr>
                <w:rFonts w:ascii="Arial" w:cs="Arial" w:eastAsia="Arial" w:hAnsi="Arial"/>
                <w:b/>
                <w:bCs/>
                <w:color w:val="1A1A2E"/>
                <w:sz w:val="24"/>
                <w:szCs w:val="24"/>
              </w:rPr>
              <w:t xml:space="preserve">🏛️  Financial Services &amp; Insurance</w:t>
            </w:r>
          </w:p>
          <w:p>
            <w:pPr>
              <w:spacing w:after="0" w:before="0"/>
            </w:pPr>
            <w:r>
              <w:rPr>
                <w:rFonts w:ascii="Arial" w:cs="Arial" w:eastAsia="Arial" w:hAnsi="Arial"/>
                <w:color w:val="4A4A6A"/>
                <w:sz w:val="20"/>
                <w:szCs w:val="20"/>
              </w:rPr>
              <w:t xml:space="preserve">NY-DFS Part 500 compliance, PCI-DSS, and SOC 2 readiness. We serve banks, credit unions, RIAs, insurers, and other financial entities navigating overlapping regulatory requirements. Our team understands the data protection obligations that come with handling financial information.</w:t>
            </w:r>
          </w:p>
        </w:tc>
      </w:tr>
      <w:tr>
        <w:tc>
          <w:tcPr>
            <w:tcW w:type="dxa" w:w="4680"/>
            <w:tcBorders>
              <w:top w:val="single" w:color="DDDDDD" w:sz="1"/>
              <w:left w:val="single" w:color="DDDDDD" w:sz="1"/>
              <w:bottom w:val="single" w:color="DDDDDD" w:sz="1"/>
              <w:right w:val="single" w:color="DDDDDD" w:sz="1"/>
            </w:tcBorders>
            <w:shd w:fill="EEF0F8" w:val="clear"/>
            <w:tcMar>
              <w:top w:type="dxa" w:w="160"/>
              <w:left w:type="dxa" w:w="180"/>
              <w:bottom w:type="dxa" w:w="160"/>
              <w:right w:type="dxa" w:w="180"/>
            </w:tcMar>
            <w:vAlign w:val="top"/>
          </w:tcPr>
          <w:p>
            <w:pPr>
              <w:spacing w:after="80" w:before="0"/>
            </w:pPr>
            <w:r>
              <w:rPr>
                <w:rFonts w:ascii="Arial" w:cs="Arial" w:eastAsia="Arial" w:hAnsi="Arial"/>
                <w:b/>
                <w:bCs/>
                <w:color w:val="1A1A2E"/>
                <w:sz w:val="24"/>
                <w:szCs w:val="24"/>
              </w:rPr>
              <w:t xml:space="preserve">🛒  Retail</w:t>
            </w:r>
          </w:p>
          <w:p>
            <w:pPr>
              <w:spacing w:after="0" w:before="0"/>
            </w:pPr>
            <w:r>
              <w:rPr>
                <w:rFonts w:ascii="Arial" w:cs="Arial" w:eastAsia="Arial" w:hAnsi="Arial"/>
                <w:color w:val="4A4A6A"/>
                <w:sz w:val="20"/>
                <w:szCs w:val="20"/>
              </w:rPr>
              <w:t xml:space="preserve">PCI-DSS compliance, payment data security, and endpoint protection across distributed locations. We help retailers protect cardholder data and maintain compliance across their entire operational footprint — from flagship stores to remote POS systems.</w:t>
            </w:r>
          </w:p>
        </w:tc>
        <w:tc>
          <w:tcPr>
            <w:tcW w:type="dxa" w:w="4680"/>
            <w:tcBorders>
              <w:top w:val="single" w:color="DDDDDD" w:sz="1"/>
              <w:left w:val="single" w:color="DDDDDD" w:sz="1"/>
              <w:bottom w:val="single" w:color="DDDDDD" w:sz="1"/>
              <w:right w:val="single" w:color="DDDDDD" w:sz="1"/>
            </w:tcBorders>
            <w:shd w:fill="EEF0F8" w:val="clear"/>
            <w:tcMar>
              <w:top w:type="dxa" w:w="160"/>
              <w:left w:type="dxa" w:w="180"/>
              <w:bottom w:type="dxa" w:w="160"/>
              <w:right w:type="dxa" w:w="180"/>
            </w:tcMar>
            <w:vAlign w:val="top"/>
          </w:tcPr>
          <w:p>
            <w:pPr>
              <w:spacing w:after="80" w:before="0"/>
            </w:pPr>
            <w:r>
              <w:rPr>
                <w:rFonts w:ascii="Arial" w:cs="Arial" w:eastAsia="Arial" w:hAnsi="Arial"/>
                <w:b/>
                <w:bCs/>
                <w:color w:val="1A1A2E"/>
                <w:sz w:val="24"/>
                <w:szCs w:val="24"/>
              </w:rPr>
              <w:t xml:space="preserve">💼  Other Regulated Industries</w:t>
            </w:r>
          </w:p>
          <w:p>
            <w:pPr>
              <w:spacing w:after="0" w:before="0"/>
            </w:pPr>
            <w:r>
              <w:rPr>
                <w:rFonts w:ascii="Arial" w:cs="Arial" w:eastAsia="Arial" w:hAnsi="Arial"/>
                <w:color w:val="4A4A6A"/>
                <w:sz w:val="20"/>
                <w:szCs w:val="20"/>
              </w:rPr>
              <w:t xml:space="preserve">Our compliance expertise extends to any organization that handles sensitive data under regulatory oversight. If your industry has compliance requirements you’re struggling to meet, we’d like to talk.</w:t>
            </w:r>
          </w:p>
        </w:tc>
      </w:tr>
    </w:tbl>
    <w:p>
      <w:pPr>
        <w:spacing w:after="0" w:before="200"/>
      </w:pPr>
      <w:r>
        <w:t xml:space="preserve"/>
      </w:r>
    </w:p>
    <w:p>
      <w:pPr>
        <w:spacing w:after="40" w:before="40"/>
      </w:pPr>
      <w:r>
        <w:rPr>
          <w:rFonts w:ascii="Arial" w:cs="Arial" w:eastAsia="Arial" w:hAnsi="Arial"/>
          <w:b/>
          <w:bCs/>
          <w:color w:val="1A1A2E"/>
          <w:sz w:val="20"/>
          <w:szCs w:val="20"/>
        </w:rPr>
        <w:t xml:space="preserve">Compliance Frameworks We Support:</w:t>
      </w:r>
    </w:p>
    <w:p>
      <w:pPr>
        <w:spacing w:after="60" w:before="60"/>
      </w:pPr>
      <w:r>
        <w:rPr>
          <w:rFonts w:ascii="Arial" w:cs="Arial" w:eastAsia="Arial" w:hAnsi="Arial"/>
          <w:b/>
          <w:bCs/>
          <w:color w:val="4A4A6A"/>
          <w:sz w:val="20"/>
          <w:szCs w:val="20"/>
        </w:rPr>
        <w:t xml:space="preserve">HIPAA  ·  PCI-DSS  ·  NY-DFS Part 500  ·  GDPR  ·  SOC 2  ·  NIST CSF  ·  ISO 27001</w:t>
      </w:r>
    </w:p>
    <w:p>
      <w:pPr>
        <w:shd w:fill="FFFDE7" w:val="clear"/>
        <w:spacing w:after="60" w:before="60"/>
        <w:ind w:left="200"/>
      </w:pPr>
      <w:r>
        <w:rPr>
          <w:rFonts w:ascii="Arial" w:cs="Arial" w:eastAsia="Arial" w:hAnsi="Arial"/>
          <w:i/>
          <w:iCs/>
          <w:color w:val="777700"/>
          <w:sz w:val="19"/>
          <w:szCs w:val="19"/>
        </w:rPr>
        <w:t xml:space="preserve">✏️  Designer Note: Display as pill/badge tags or a clean horizontal bar. Can use subtle icons.</w:t>
      </w:r>
    </w:p>
    <w:p>
      <w:pPr>
        <w:shd w:fill="1A1A2E" w:val="clear"/>
        <w:spacing w:after="120" w:before="400"/>
        <w:ind w:left="100" w:right="100"/>
      </w:pPr>
      <w:r>
        <w:rPr>
          <w:rFonts w:ascii="Arial" w:cs="Arial" w:eastAsia="Arial" w:hAnsi="Arial"/>
          <w:b/>
          <w:bCs/>
          <w:color w:val="FFFFFF"/>
          <w:sz w:val="22"/>
          <w:szCs w:val="22"/>
        </w:rPr>
        <w:t xml:space="preserve">SECTION 7: PRICING — ANCHOR: #PRICING</w:t>
      </w:r>
    </w:p>
    <w:p>
      <w:pPr>
        <w:shd w:fill="FFFDE7" w:val="clear"/>
        <w:spacing w:after="60" w:before="60"/>
        <w:ind w:left="200"/>
      </w:pPr>
      <w:r>
        <w:rPr>
          <w:rFonts w:ascii="Arial" w:cs="Arial" w:eastAsia="Arial" w:hAnsi="Arial"/>
          <w:i/>
          <w:iCs/>
          <w:color w:val="777700"/>
          <w:sz w:val="19"/>
          <w:szCs w:val="19"/>
        </w:rPr>
        <w:t xml:space="preserve">✏️  Designer Note: 2-card pricing layout. Left card is the featured/recommended plan ($3k/month) with a badge. Right card is the à la carte / custom option. Keep this section clean and scannable — no overengineering.</w:t>
      </w:r>
    </w:p>
    <w:p>
      <w:pPr>
        <w:spacing w:after="0" w:before="120"/>
      </w:pPr>
      <w:r>
        <w:t xml:space="preserve"/>
      </w:r>
    </w:p>
    <w:p>
      <w:pPr>
        <w:spacing w:after="80" w:before="40"/>
      </w:pPr>
      <w:r>
        <w:rPr>
          <w:rFonts w:ascii="Arial" w:cs="Arial" w:eastAsia="Arial" w:hAnsi="Arial"/>
          <w:b/>
          <w:bCs/>
          <w:color w:val="8B1A2B"/>
          <w:sz w:val="18"/>
          <w:szCs w:val="18"/>
        </w:rPr>
        <w:t xml:space="preserve">PRICING</w:t>
      </w:r>
    </w:p>
    <w:p>
      <w:pPr>
        <w:pStyle w:val="Heading2"/>
      </w:pPr>
      <w:r>
        <w:rPr>
          <w:rFonts w:ascii="Arial" w:cs="Arial" w:eastAsia="Arial" w:hAnsi="Arial"/>
          <w:b/>
          <w:bCs/>
          <w:color w:val="1A1A2E"/>
          <w:sz w:val="34"/>
          <w:szCs w:val="34"/>
        </w:rPr>
        <w:t xml:space="preserve">Simple, Transparent Pricing</w:t>
      </w:r>
    </w:p>
    <w:p>
      <w:pPr>
        <w:spacing w:after="80" w:before="80"/>
      </w:pPr>
      <w:r>
        <w:rPr>
          <w:rFonts w:ascii="Arial" w:cs="Arial" w:eastAsia="Arial" w:hAnsi="Arial"/>
          <w:color w:val="4A4A6A"/>
          <w:sz w:val="22"/>
          <w:szCs w:val="22"/>
        </w:rPr>
        <w:t xml:space="preserve">Complete security management as a flat monthly program, or à la carte services for organizations with specific needs. No hidden fees, no usage-based surprises, no complicated tiers.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DDDDDD" w:sz="1"/>
              <w:left w:val="single" w:color="DDDDDD" w:sz="1"/>
              <w:bottom w:val="single" w:color="DDDDDD" w:sz="1"/>
              <w:right w:val="single" w:color="DDDDDD" w:sz="1"/>
            </w:tcBorders>
            <w:shd w:fill="1A1A2E" w:val="clear"/>
            <w:tcMar>
              <w:top w:type="dxa" w:w="200"/>
              <w:left w:type="dxa" w:w="200"/>
              <w:bottom w:type="dxa" w:w="200"/>
              <w:right w:type="dxa" w:w="200"/>
            </w:tcMar>
            <w:vAlign w:val="top"/>
          </w:tcPr>
          <w:p>
            <w:pPr>
              <w:spacing w:after="80" w:before="0"/>
            </w:pPr>
            <w:r>
              <w:rPr>
                <w:rFonts w:ascii="Arial" w:cs="Arial" w:eastAsia="Arial" w:hAnsi="Arial"/>
                <w:b/>
                <w:bCs/>
                <w:color w:val="FFD700"/>
                <w:sz w:val="18"/>
                <w:szCs w:val="18"/>
              </w:rPr>
              <w:t xml:space="preserve">★ RECOMMENDED</w:t>
            </w:r>
          </w:p>
          <w:p>
            <w:pPr>
              <w:spacing w:after="80" w:before="0"/>
            </w:pPr>
            <w:r>
              <w:rPr>
                <w:rFonts w:ascii="Arial" w:cs="Arial" w:eastAsia="Arial" w:hAnsi="Arial"/>
                <w:b/>
                <w:bCs/>
                <w:color w:val="FFFFFF"/>
                <w:sz w:val="26"/>
                <w:szCs w:val="26"/>
              </w:rPr>
              <w:t xml:space="preserve">Complete Security Management</w:t>
            </w:r>
          </w:p>
          <w:p>
            <w:pPr>
              <w:spacing w:after="80" w:before="0"/>
            </w:pPr>
            <w:r>
              <w:rPr>
                <w:rFonts w:ascii="Arial" w:cs="Arial" w:eastAsia="Arial" w:hAnsi="Arial"/>
                <w:b/>
                <w:bCs/>
                <w:color w:val="FFFFFF"/>
                <w:sz w:val="52"/>
                <w:szCs w:val="52"/>
              </w:rPr>
              <w:t xml:space="preserve">$3,000</w:t>
            </w:r>
            <w:r>
              <w:rPr>
                <w:rFonts w:ascii="Arial" w:cs="Arial" w:eastAsia="Arial" w:hAnsi="Arial"/>
                <w:color w:val="AAAAAA"/>
                <w:sz w:val="22"/>
                <w:szCs w:val="22"/>
              </w:rPr>
              <w:t xml:space="preserve"> / month</w:t>
            </w:r>
          </w:p>
          <w:p>
            <w:pPr>
              <w:spacing w:after="120" w:before="0"/>
            </w:pPr>
            <w:r>
              <w:rPr>
                <w:rFonts w:ascii="Arial" w:cs="Arial" w:eastAsia="Arial" w:hAnsi="Arial"/>
                <w:i/>
                <w:iCs/>
                <w:color w:val="CCCCCC"/>
                <w:sz w:val="20"/>
                <w:szCs w:val="20"/>
              </w:rPr>
              <w:t xml:space="preserve">Everything you need for a fully managed security program.</w:t>
            </w:r>
          </w:p>
          <w:p>
            <w:pPr>
              <w:spacing w:after="40" w:before="60"/>
            </w:pPr>
            <w:r>
              <w:rPr>
                <w:rFonts w:ascii="Arial" w:cs="Arial" w:eastAsia="Arial" w:hAnsi="Arial"/>
                <w:b/>
                <w:bCs/>
                <w:color w:val="FFFFFF"/>
                <w:sz w:val="20"/>
                <w:szCs w:val="20"/>
              </w:rPr>
              <w:t xml:space="preserve">Includes:</w:t>
            </w:r>
          </w:p>
          <w:p>
            <w:pPr>
              <w:pStyle w:val="ListParagraph"/>
              <w:numPr>
                <w:ilvl w:val="0"/>
                <w:numId w:val="2"/>
              </w:numPr>
              <w:spacing w:after="30" w:before="30"/>
            </w:pPr>
            <w:r>
              <w:rPr>
                <w:rFonts w:ascii="Arial" w:cs="Arial" w:eastAsia="Arial" w:hAnsi="Arial"/>
                <w:color w:val="DDDDDD"/>
                <w:sz w:val="20"/>
                <w:szCs w:val="20"/>
              </w:rPr>
              <w:t xml:space="preserve">Endpoint Detection &amp; Response (EDR)</w:t>
            </w:r>
          </w:p>
          <w:p>
            <w:pPr>
              <w:pStyle w:val="ListParagraph"/>
              <w:numPr>
                <w:ilvl w:val="0"/>
                <w:numId w:val="2"/>
              </w:numPr>
              <w:spacing w:after="30" w:before="30"/>
            </w:pPr>
            <w:r>
              <w:rPr>
                <w:rFonts w:ascii="Arial" w:cs="Arial" w:eastAsia="Arial" w:hAnsi="Arial"/>
                <w:color w:val="DDDDDD"/>
                <w:sz w:val="20"/>
                <w:szCs w:val="20"/>
              </w:rPr>
              <w:t xml:space="preserve">Email Security &amp; Phishing Protection</w:t>
            </w:r>
          </w:p>
          <w:p>
            <w:pPr>
              <w:pStyle w:val="ListParagraph"/>
              <w:numPr>
                <w:ilvl w:val="0"/>
                <w:numId w:val="2"/>
              </w:numPr>
              <w:spacing w:after="30" w:before="30"/>
            </w:pPr>
            <w:r>
              <w:rPr>
                <w:rFonts w:ascii="Arial" w:cs="Arial" w:eastAsia="Arial" w:hAnsi="Arial"/>
                <w:color w:val="DDDDDD"/>
                <w:sz w:val="20"/>
                <w:szCs w:val="20"/>
              </w:rPr>
              <w:t xml:space="preserve">Patch Management &amp; Vulnerability Remediation</w:t>
            </w:r>
          </w:p>
          <w:p>
            <w:pPr>
              <w:pStyle w:val="ListParagraph"/>
              <w:numPr>
                <w:ilvl w:val="0"/>
                <w:numId w:val="2"/>
              </w:numPr>
              <w:spacing w:after="30" w:before="30"/>
            </w:pPr>
            <w:r>
              <w:rPr>
                <w:rFonts w:ascii="Arial" w:cs="Arial" w:eastAsia="Arial" w:hAnsi="Arial"/>
                <w:color w:val="DDDDDD"/>
                <w:sz w:val="20"/>
                <w:szCs w:val="20"/>
              </w:rPr>
              <w:t xml:space="preserve">SIEM &amp; Threat Monitoring</w:t>
            </w:r>
          </w:p>
          <w:p>
            <w:pPr>
              <w:pStyle w:val="ListParagraph"/>
              <w:numPr>
                <w:ilvl w:val="0"/>
                <w:numId w:val="2"/>
              </w:numPr>
              <w:spacing w:after="30" w:before="30"/>
            </w:pPr>
            <w:r>
              <w:rPr>
                <w:rFonts w:ascii="Arial" w:cs="Arial" w:eastAsia="Arial" w:hAnsi="Arial"/>
                <w:color w:val="DDDDDD"/>
                <w:sz w:val="20"/>
                <w:szCs w:val="20"/>
              </w:rPr>
              <w:t xml:space="preserve">Backup Integrity &amp; Incident Response Readiness</w:t>
            </w:r>
          </w:p>
          <w:p>
            <w:pPr>
              <w:pStyle w:val="ListParagraph"/>
              <w:numPr>
                <w:ilvl w:val="0"/>
                <w:numId w:val="2"/>
              </w:numPr>
              <w:spacing w:after="30" w:before="30"/>
            </w:pPr>
            <w:r>
              <w:rPr>
                <w:rFonts w:ascii="Arial" w:cs="Arial" w:eastAsia="Arial" w:hAnsi="Arial"/>
                <w:color w:val="DDDDDD"/>
                <w:sz w:val="20"/>
                <w:szCs w:val="20"/>
              </w:rPr>
              <w:t xml:space="preserve">Dedicated named security engineer</w:t>
            </w:r>
          </w:p>
          <w:p>
            <w:pPr>
              <w:pStyle w:val="ListParagraph"/>
              <w:numPr>
                <w:ilvl w:val="0"/>
                <w:numId w:val="2"/>
              </w:numPr>
              <w:spacing w:after="30" w:before="30"/>
            </w:pPr>
            <w:r>
              <w:rPr>
                <w:rFonts w:ascii="Arial" w:cs="Arial" w:eastAsia="Arial" w:hAnsi="Arial"/>
                <w:color w:val="DDDDDD"/>
                <w:sz w:val="20"/>
                <w:szCs w:val="20"/>
              </w:rPr>
              <w:t xml:space="preserve">Monthly security reporting</w:t>
            </w:r>
          </w:p>
          <w:p>
            <w:pPr>
              <w:pStyle w:val="ListParagraph"/>
              <w:numPr>
                <w:ilvl w:val="0"/>
                <w:numId w:val="2"/>
              </w:numPr>
              <w:spacing w:after="30" w:before="30"/>
            </w:pPr>
            <w:r>
              <w:rPr>
                <w:rFonts w:ascii="Arial" w:cs="Arial" w:eastAsia="Arial" w:hAnsi="Arial"/>
                <w:color w:val="DDDDDD"/>
                <w:sz w:val="20"/>
                <w:szCs w:val="20"/>
              </w:rPr>
              <w:t xml:space="preserve">Compliance-ready documentation</w:t>
            </w:r>
          </w:p>
          <w:p>
            <w:pPr>
              <w:spacing w:after="0" w:before="160"/>
            </w:pPr>
            <w:r>
              <w:t xml:space="preserve"/>
            </w:r>
          </w:p>
          <w:p>
            <w:pPr>
              <w:spacing w:after="0" w:before="100"/>
            </w:pPr>
            <w:r>
              <w:rPr>
                <w:rFonts w:ascii="Arial" w:cs="Arial" w:eastAsia="Arial" w:hAnsi="Arial"/>
                <w:b/>
                <w:bCs/>
                <w:color w:val="8B1A2B"/>
                <w:sz w:val="21"/>
                <w:szCs w:val="21"/>
              </w:rPr>
              <w:t xml:space="preserve">[ Schedule a Consultation ]</w:t>
            </w:r>
          </w:p>
        </w:tc>
        <w:tc>
          <w:tcPr>
            <w:tcW w:type="dxa" w:w="4620"/>
            <w:tcBorders>
              <w:top w:val="single" w:color="DDDDDD" w:sz="1"/>
              <w:left w:val="single" w:color="DDDDDD" w:sz="1"/>
              <w:bottom w:val="single" w:color="DDDDDD" w:sz="1"/>
              <w:right w:val="single" w:color="DDDDDD" w:sz="1"/>
            </w:tcBorders>
            <w:shd w:fill="F4F4F8" w:val="clear"/>
            <w:tcMar>
              <w:top w:type="dxa" w:w="200"/>
              <w:left w:type="dxa" w:w="200"/>
              <w:bottom w:type="dxa" w:w="200"/>
              <w:right w:type="dxa" w:w="200"/>
            </w:tcMar>
            <w:vAlign w:val="top"/>
          </w:tcPr>
          <w:p>
            <w:pPr>
              <w:spacing w:after="80" w:before="0"/>
            </w:pPr>
            <w:r>
              <w:rPr>
                <w:rFonts w:ascii="Arial" w:cs="Arial" w:eastAsia="Arial" w:hAnsi="Arial"/>
                <w:b/>
                <w:bCs/>
                <w:color w:val="4A4A6A"/>
                <w:sz w:val="18"/>
                <w:szCs w:val="18"/>
              </w:rPr>
              <w:t xml:space="preserve">CUSTOM</w:t>
            </w:r>
          </w:p>
          <w:p>
            <w:pPr>
              <w:spacing w:after="80" w:before="0"/>
            </w:pPr>
            <w:r>
              <w:rPr>
                <w:rFonts w:ascii="Arial" w:cs="Arial" w:eastAsia="Arial" w:hAnsi="Arial"/>
                <w:b/>
                <w:bCs/>
                <w:color w:val="1A1A2E"/>
                <w:sz w:val="26"/>
                <w:szCs w:val="26"/>
              </w:rPr>
              <w:t xml:space="preserve">Custom Security Services</w:t>
            </w:r>
          </w:p>
          <w:p>
            <w:pPr>
              <w:spacing w:after="80" w:before="0"/>
            </w:pPr>
            <w:r>
              <w:rPr>
                <w:rFonts w:ascii="Arial" w:cs="Arial" w:eastAsia="Arial" w:hAnsi="Arial"/>
                <w:b/>
                <w:bCs/>
                <w:color w:val="1A1A2E"/>
                <w:sz w:val="36"/>
                <w:szCs w:val="36"/>
              </w:rPr>
              <w:t xml:space="preserve">Contact Sales</w:t>
            </w:r>
          </w:p>
          <w:p>
            <w:pPr>
              <w:spacing w:after="120" w:before="0"/>
            </w:pPr>
            <w:r>
              <w:rPr>
                <w:rFonts w:ascii="Arial" w:cs="Arial" w:eastAsia="Arial" w:hAnsi="Arial"/>
                <w:i/>
                <w:iCs/>
                <w:color w:val="4A4A6A"/>
                <w:sz w:val="20"/>
                <w:szCs w:val="20"/>
              </w:rPr>
              <w:t xml:space="preserve">Build a security program around your specific needs and budget.</w:t>
            </w:r>
          </w:p>
          <w:p>
            <w:pPr>
              <w:spacing w:after="40" w:before="60"/>
            </w:pPr>
            <w:r>
              <w:rPr>
                <w:rFonts w:ascii="Arial" w:cs="Arial" w:eastAsia="Arial" w:hAnsi="Arial"/>
                <w:b/>
                <w:bCs/>
                <w:color w:val="1A1A2E"/>
                <w:sz w:val="20"/>
                <w:szCs w:val="20"/>
              </w:rPr>
              <w:t xml:space="preserve">Available services:</w:t>
            </w:r>
          </w:p>
          <w:p>
            <w:pPr>
              <w:pStyle w:val="ListParagraph"/>
              <w:numPr>
                <w:ilvl w:val="0"/>
                <w:numId w:val="2"/>
              </w:numPr>
              <w:spacing w:after="30" w:before="30"/>
            </w:pPr>
            <w:r>
              <w:rPr>
                <w:rFonts w:ascii="Arial" w:cs="Arial" w:eastAsia="Arial" w:hAnsi="Arial"/>
                <w:color w:val="4A4A6A"/>
                <w:sz w:val="20"/>
                <w:szCs w:val="20"/>
              </w:rPr>
              <w:t xml:space="preserve">Any individual managed security service</w:t>
            </w:r>
          </w:p>
          <w:p>
            <w:pPr>
              <w:pStyle w:val="ListParagraph"/>
              <w:numPr>
                <w:ilvl w:val="0"/>
                <w:numId w:val="2"/>
              </w:numPr>
              <w:spacing w:after="30" w:before="30"/>
            </w:pPr>
            <w:r>
              <w:rPr>
                <w:rFonts w:ascii="Arial" w:cs="Arial" w:eastAsia="Arial" w:hAnsi="Arial"/>
                <w:color w:val="4A4A6A"/>
                <w:sz w:val="20"/>
                <w:szCs w:val="20"/>
              </w:rPr>
              <w:t xml:space="preserve">One-time assessments (Vulnerability, Cyber Risk, HIPAA)</w:t>
            </w:r>
          </w:p>
          <w:p>
            <w:pPr>
              <w:pStyle w:val="ListParagraph"/>
              <w:numPr>
                <w:ilvl w:val="0"/>
                <w:numId w:val="2"/>
              </w:numPr>
              <w:spacing w:after="30" w:before="30"/>
            </w:pPr>
            <w:r>
              <w:rPr>
                <w:rFonts w:ascii="Arial" w:cs="Arial" w:eastAsia="Arial" w:hAnsi="Arial"/>
                <w:color w:val="4A4A6A"/>
                <w:sz w:val="20"/>
                <w:szCs w:val="20"/>
              </w:rPr>
              <w:t xml:space="preserve">Data security services (encryption, key management, HSM)</w:t>
            </w:r>
          </w:p>
          <w:p>
            <w:pPr>
              <w:pStyle w:val="ListParagraph"/>
              <w:numPr>
                <w:ilvl w:val="0"/>
                <w:numId w:val="2"/>
              </w:numPr>
              <w:spacing w:after="30" w:before="30"/>
            </w:pPr>
            <w:r>
              <w:rPr>
                <w:rFonts w:ascii="Arial" w:cs="Arial" w:eastAsia="Arial" w:hAnsi="Arial"/>
                <w:color w:val="4A4A6A"/>
                <w:sz w:val="20"/>
                <w:szCs w:val="20"/>
              </w:rPr>
              <w:t xml:space="preserve">Compliance consulting &amp; audit preparation</w:t>
            </w:r>
          </w:p>
          <w:p>
            <w:pPr>
              <w:pStyle w:val="ListParagraph"/>
              <w:numPr>
                <w:ilvl w:val="0"/>
                <w:numId w:val="2"/>
              </w:numPr>
              <w:spacing w:after="30" w:before="30"/>
            </w:pPr>
            <w:r>
              <w:rPr>
                <w:rFonts w:ascii="Arial" w:cs="Arial" w:eastAsia="Arial" w:hAnsi="Arial"/>
                <w:color w:val="4A4A6A"/>
                <w:sz w:val="20"/>
                <w:szCs w:val="20"/>
              </w:rPr>
              <w:t xml:space="preserve">Incident response planning</w:t>
            </w:r>
          </w:p>
          <w:p>
            <w:pPr>
              <w:pStyle w:val="ListParagraph"/>
              <w:numPr>
                <w:ilvl w:val="0"/>
                <w:numId w:val="2"/>
              </w:numPr>
              <w:spacing w:after="30" w:before="30"/>
            </w:pPr>
            <w:r>
              <w:rPr>
                <w:rFonts w:ascii="Arial" w:cs="Arial" w:eastAsia="Arial" w:hAnsi="Arial"/>
                <w:color w:val="4A4A6A"/>
                <w:sz w:val="20"/>
                <w:szCs w:val="20"/>
              </w:rPr>
              <w:t xml:space="preserve">Security awareness training</w:t>
            </w:r>
          </w:p>
          <w:p>
            <w:pPr>
              <w:spacing w:after="0" w:before="160"/>
            </w:pPr>
            <w:r>
              <w:t xml:space="preserve"/>
            </w:r>
          </w:p>
          <w:p>
            <w:pPr>
              <w:spacing w:after="0" w:before="100"/>
            </w:pPr>
            <w:r>
              <w:rPr>
                <w:rFonts w:ascii="Arial" w:cs="Arial" w:eastAsia="Arial" w:hAnsi="Arial"/>
                <w:b/>
                <w:bCs/>
                <w:color w:val="8B1A2B"/>
                <w:sz w:val="21"/>
                <w:szCs w:val="21"/>
              </w:rPr>
              <w:t xml:space="preserve">[ Contact Sales ]</w:t>
            </w:r>
          </w:p>
        </w:tc>
      </w:tr>
    </w:tbl>
    <w:p>
      <w:pPr>
        <w:spacing w:after="0" w:before="120"/>
      </w:pPr>
      <w:r>
        <w:t xml:space="preserve"/>
      </w:r>
    </w:p>
    <w:p>
      <w:pPr>
        <w:spacing w:after="60" w:before="60"/>
      </w:pPr>
      <w:r>
        <w:rPr>
          <w:rFonts w:ascii="Arial" w:cs="Arial" w:eastAsia="Arial" w:hAnsi="Arial"/>
          <w:i/>
          <w:iCs/>
          <w:color w:val="888888"/>
          <w:sz w:val="18"/>
          <w:szCs w:val="18"/>
        </w:rPr>
        <w:t xml:space="preserve">One-time assessments (Vulnerability Assessment, Cyber Risk Evaluation, HIPAA Cyber Risk Assessment) are available as standalone engagements and are not included in the monthly starter package.</w:t>
      </w:r>
    </w:p>
    <w:p>
      <w:pPr>
        <w:shd w:fill="1A1A2E" w:val="clear"/>
        <w:spacing w:after="120" w:before="400"/>
        <w:ind w:left="100" w:right="100"/>
      </w:pPr>
      <w:r>
        <w:rPr>
          <w:rFonts w:ascii="Arial" w:cs="Arial" w:eastAsia="Arial" w:hAnsi="Arial"/>
          <w:b/>
          <w:bCs/>
          <w:color w:val="FFFFFF"/>
          <w:sz w:val="22"/>
          <w:szCs w:val="22"/>
        </w:rPr>
        <w:t xml:space="preserve">SECTION 8: WHY SIDECHAIN SECURITY — ANCHOR: #ABOUT</w:t>
      </w:r>
    </w:p>
    <w:p>
      <w:pPr>
        <w:shd w:fill="FFFDE7" w:val="clear"/>
        <w:spacing w:after="60" w:before="60"/>
        <w:ind w:left="200"/>
      </w:pPr>
      <w:r>
        <w:rPr>
          <w:rFonts w:ascii="Arial" w:cs="Arial" w:eastAsia="Arial" w:hAnsi="Arial"/>
          <w:i/>
          <w:iCs/>
          <w:color w:val="777700"/>
          <w:sz w:val="19"/>
          <w:szCs w:val="19"/>
        </w:rPr>
        <w:t xml:space="preserve">✏️  Designer Note: 4-point grid layout (2x2 or 4 columns). Each point has an icon, H3, and 2-3 sentences. Keep icons consistent in style.</w:t>
      </w:r>
    </w:p>
    <w:p>
      <w:pPr>
        <w:spacing w:after="0" w:before="120"/>
      </w:pPr>
      <w:r>
        <w:t xml:space="preserve"/>
      </w:r>
    </w:p>
    <w:p>
      <w:pPr>
        <w:spacing w:after="80" w:before="40"/>
      </w:pPr>
      <w:r>
        <w:rPr>
          <w:rFonts w:ascii="Arial" w:cs="Arial" w:eastAsia="Arial" w:hAnsi="Arial"/>
          <w:b/>
          <w:bCs/>
          <w:color w:val="8B1A2B"/>
          <w:sz w:val="18"/>
          <w:szCs w:val="18"/>
        </w:rPr>
        <w:t xml:space="preserve">WHY SIDECHAIN SECURITY</w:t>
      </w:r>
    </w:p>
    <w:p>
      <w:pPr>
        <w:pStyle w:val="Heading2"/>
      </w:pPr>
      <w:r>
        <w:rPr>
          <w:rFonts w:ascii="Arial" w:cs="Arial" w:eastAsia="Arial" w:hAnsi="Arial"/>
          <w:b/>
          <w:bCs/>
          <w:color w:val="1A1A2E"/>
          <w:sz w:val="34"/>
          <w:szCs w:val="34"/>
        </w:rPr>
        <w:t xml:space="preserve">What Sets Us Apart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40"/>
              <w:left w:type="dxa" w:w="100"/>
              <w:bottom w:type="dxa" w:w="140"/>
              <w:right w:type="dxa" w:w="200"/>
            </w:tcMar>
            <w:vAlign w:val="top"/>
          </w:tcPr>
          <w:p>
            <w:pPr>
              <w:spacing w:after="80" w:before="0"/>
            </w:pPr>
            <w:r>
              <w:rPr>
                <w:rFonts w:ascii="Arial" w:cs="Arial" w:eastAsia="Arial" w:hAnsi="Arial"/>
                <w:b/>
                <w:bCs/>
                <w:color w:val="1A1A2E"/>
                <w:sz w:val="22"/>
                <w:szCs w:val="22"/>
              </w:rPr>
              <w:t xml:space="preserve">🧬  Data Security Is Our DNA</w:t>
            </w:r>
          </w:p>
          <w:p>
            <w:pPr>
              <w:spacing w:after="0" w:before="0"/>
            </w:pPr>
            <w:r>
              <w:rPr>
                <w:rFonts w:ascii="Arial" w:cs="Arial" w:eastAsia="Arial" w:hAnsi="Arial"/>
                <w:color w:val="4A4A6A"/>
                <w:sz w:val="20"/>
                <w:szCs w:val="20"/>
              </w:rPr>
              <w:t xml:space="preserve">We didn’t add encryption as a feature. We built our entire business on it. That depth of understanding gives us a different lens when managing your security — one that starts at the data layer.</w:t>
            </w:r>
          </w:p>
        </w:tc>
        <w:tc>
          <w:tcPr>
            <w:tcW w:type="dxa" w:w="4680"/>
            <w:tcBorders>
              <w:top w:val="none" w:color="FFFFFF" w:sz="0"/>
              <w:left w:val="none" w:color="FFFFFF" w:sz="0"/>
              <w:bottom w:val="none" w:color="FFFFFF" w:sz="0"/>
              <w:right w:val="none" w:color="FFFFFF" w:sz="0"/>
            </w:tcBorders>
            <w:tcMar>
              <w:top w:type="dxa" w:w="140"/>
              <w:left w:type="dxa" w:w="200"/>
              <w:bottom w:type="dxa" w:w="140"/>
              <w:right w:type="dxa" w:w="100"/>
            </w:tcMar>
            <w:vAlign w:val="top"/>
          </w:tcPr>
          <w:p>
            <w:pPr>
              <w:spacing w:after="80" w:before="0"/>
            </w:pPr>
            <w:r>
              <w:rPr>
                <w:rFonts w:ascii="Arial" w:cs="Arial" w:eastAsia="Arial" w:hAnsi="Arial"/>
                <w:b/>
                <w:bCs/>
                <w:color w:val="1A1A2E"/>
                <w:sz w:val="22"/>
                <w:szCs w:val="22"/>
              </w:rPr>
              <w:t xml:space="preserve">📋  Compliance Is In Our Vocabulary</w:t>
            </w:r>
          </w:p>
          <w:p>
            <w:pPr>
              <w:spacing w:after="0" w:before="0"/>
            </w:pPr>
            <w:r>
              <w:rPr>
                <w:rFonts w:ascii="Arial" w:cs="Arial" w:eastAsia="Arial" w:hAnsi="Arial"/>
                <w:color w:val="4A4A6A"/>
                <w:sz w:val="20"/>
                <w:szCs w:val="20"/>
              </w:rPr>
              <w:t xml:space="preserve">We work exclusively in regulated industries. HIPAA, PCI-DSS, NY-DFS — we know what auditors look for and build security programs that hold up under scrutiny.</w:t>
            </w:r>
          </w:p>
        </w:tc>
      </w:tr>
      <w:tr>
        <w:tc>
          <w:tcPr>
            <w:tcW w:type="dxa" w:w="4680"/>
            <w:tcBorders>
              <w:top w:val="none" w:color="FFFFFF" w:sz="0"/>
              <w:left w:val="none" w:color="FFFFFF" w:sz="0"/>
              <w:bottom w:val="none" w:color="FFFFFF" w:sz="0"/>
              <w:right w:val="none" w:color="FFFFFF" w:sz="0"/>
            </w:tcBorders>
            <w:tcMar>
              <w:top w:type="dxa" w:w="140"/>
              <w:left w:type="dxa" w:w="100"/>
              <w:bottom w:type="dxa" w:w="140"/>
              <w:right w:type="dxa" w:w="200"/>
            </w:tcMar>
            <w:vAlign w:val="top"/>
          </w:tcPr>
          <w:p>
            <w:pPr>
              <w:spacing w:after="80" w:before="0"/>
            </w:pPr>
            <w:r>
              <w:rPr>
                <w:rFonts w:ascii="Arial" w:cs="Arial" w:eastAsia="Arial" w:hAnsi="Arial"/>
                <w:b/>
                <w:bCs/>
                <w:color w:val="1A1A2E"/>
                <w:sz w:val="22"/>
                <w:szCs w:val="22"/>
              </w:rPr>
              <w:t xml:space="preserve">👤  Named Engineers, Not Help Desk</w:t>
            </w:r>
          </w:p>
          <w:p>
            <w:pPr>
              <w:spacing w:after="0" w:before="0"/>
            </w:pPr>
            <w:r>
              <w:rPr>
                <w:rFonts w:ascii="Arial" w:cs="Arial" w:eastAsia="Arial" w:hAnsi="Arial"/>
                <w:color w:val="4A4A6A"/>
                <w:sz w:val="20"/>
                <w:szCs w:val="20"/>
              </w:rPr>
              <w:t xml:space="preserve">Every client gets a dedicated engineer who knows your environment, your history, and your team. You’ll never explain your setup from scratch on a support call.</w:t>
            </w:r>
          </w:p>
        </w:tc>
        <w:tc>
          <w:tcPr>
            <w:tcW w:type="dxa" w:w="4680"/>
            <w:tcBorders>
              <w:top w:val="none" w:color="FFFFFF" w:sz="0"/>
              <w:left w:val="none" w:color="FFFFFF" w:sz="0"/>
              <w:bottom w:val="none" w:color="FFFFFF" w:sz="0"/>
              <w:right w:val="none" w:color="FFFFFF" w:sz="0"/>
            </w:tcBorders>
            <w:tcMar>
              <w:top w:type="dxa" w:w="140"/>
              <w:left w:type="dxa" w:w="200"/>
              <w:bottom w:type="dxa" w:w="140"/>
              <w:right w:type="dxa" w:w="100"/>
            </w:tcMar>
            <w:vAlign w:val="top"/>
          </w:tcPr>
          <w:p>
            <w:pPr>
              <w:spacing w:after="80" w:before="0"/>
            </w:pPr>
            <w:r>
              <w:rPr>
                <w:rFonts w:ascii="Arial" w:cs="Arial" w:eastAsia="Arial" w:hAnsi="Arial"/>
                <w:b/>
                <w:bCs/>
                <w:color w:val="1A1A2E"/>
                <w:sz w:val="22"/>
                <w:szCs w:val="22"/>
              </w:rPr>
              <w:t xml:space="preserve">🏢  Enterprise Experience, SMB Delivery</w:t>
            </w:r>
          </w:p>
          <w:p>
            <w:pPr>
              <w:spacing w:after="0" w:before="0"/>
            </w:pPr>
            <w:r>
              <w:rPr>
                <w:rFonts w:ascii="Arial" w:cs="Arial" w:eastAsia="Arial" w:hAnsi="Arial"/>
                <w:color w:val="4A4A6A"/>
                <w:sz w:val="20"/>
                <w:szCs w:val="20"/>
              </w:rPr>
              <w:t xml:space="preserve">We’ve managed data security for Fortune 500 companies. We bring that same caliber of expertise to mid-market and SMB clients — at a price point and delivery model that works for your business.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20"/>
              <w:left w:type="dxa" w:w="120"/>
              <w:bottom w:type="dxa" w:w="120"/>
              <w:right w:type="dxa" w:w="120"/>
            </w:tcMar>
          </w:tcPr>
          <w:p>
            <w:pPr>
              <w:spacing w:after="40" w:before="0"/>
              <w:jc w:val="center"/>
            </w:pPr>
            <w:r>
              <w:rPr>
                <w:rFonts w:ascii="Arial" w:cs="Arial" w:eastAsia="Arial" w:hAnsi="Arial"/>
                <w:b/>
                <w:bCs/>
                <w:color w:val="FFFFFF"/>
                <w:sz w:val="52"/>
                <w:szCs w:val="52"/>
              </w:rPr>
              <w:t xml:space="preserve">250+</w:t>
            </w:r>
          </w:p>
          <w:p>
            <w:pPr>
              <w:spacing w:after="0" w:before="0"/>
              <w:jc w:val="center"/>
            </w:pPr>
            <w:r>
              <w:rPr>
                <w:rFonts w:ascii="Arial" w:cs="Arial" w:eastAsia="Arial" w:hAnsi="Arial"/>
                <w:color w:val="AAAAAA"/>
                <w:sz w:val="18"/>
                <w:szCs w:val="18"/>
              </w:rPr>
              <w:t xml:space="preserve">Satisfied Customers</w:t>
            </w:r>
          </w:p>
        </w:tc>
        <w:tc>
          <w:tcPr>
            <w:tcW w:type="dxa" w:w="3120"/>
            <w:tcBorders>
              <w:top w:val="single" w:color="DDDDDD" w:sz="1"/>
              <w:left w:val="single" w:color="DDDDDD" w:sz="1"/>
              <w:bottom w:val="single" w:color="DDDDDD" w:sz="1"/>
              <w:right w:val="single" w:color="DDDDDD" w:sz="1"/>
            </w:tcBorders>
            <w:shd w:fill="1A1A2E" w:val="clear"/>
            <w:tcMar>
              <w:top w:type="dxa" w:w="120"/>
              <w:left w:type="dxa" w:w="120"/>
              <w:bottom w:type="dxa" w:w="120"/>
              <w:right w:type="dxa" w:w="120"/>
            </w:tcMar>
          </w:tcPr>
          <w:p>
            <w:pPr>
              <w:spacing w:after="40" w:before="0"/>
              <w:jc w:val="center"/>
            </w:pPr>
            <w:r>
              <w:rPr>
                <w:rFonts w:ascii="Arial" w:cs="Arial" w:eastAsia="Arial" w:hAnsi="Arial"/>
                <w:b/>
                <w:bCs/>
                <w:color w:val="FFFFFF"/>
                <w:sz w:val="52"/>
                <w:szCs w:val="52"/>
              </w:rPr>
              <w:t xml:space="preserve">10+ Years</w:t>
            </w:r>
          </w:p>
          <w:p>
            <w:pPr>
              <w:spacing w:after="0" w:before="0"/>
              <w:jc w:val="center"/>
            </w:pPr>
            <w:r>
              <w:rPr>
                <w:rFonts w:ascii="Arial" w:cs="Arial" w:eastAsia="Arial" w:hAnsi="Arial"/>
                <w:color w:val="AAAAAA"/>
                <w:sz w:val="18"/>
                <w:szCs w:val="18"/>
              </w:rPr>
              <w:t xml:space="preserve">Data Security Expertise</w:t>
            </w:r>
          </w:p>
        </w:tc>
        <w:tc>
          <w:tcPr>
            <w:tcW w:type="dxa" w:w="3120"/>
            <w:tcBorders>
              <w:top w:val="single" w:color="DDDDDD" w:sz="1"/>
              <w:left w:val="single" w:color="DDDDDD" w:sz="1"/>
              <w:bottom w:val="single" w:color="DDDDDD" w:sz="1"/>
              <w:right w:val="single" w:color="DDDDDD" w:sz="1"/>
            </w:tcBorders>
            <w:shd w:fill="1A1A2E" w:val="clear"/>
            <w:tcMar>
              <w:top w:type="dxa" w:w="120"/>
              <w:left w:type="dxa" w:w="120"/>
              <w:bottom w:type="dxa" w:w="120"/>
              <w:right w:type="dxa" w:w="120"/>
            </w:tcMar>
          </w:tcPr>
          <w:p>
            <w:pPr>
              <w:spacing w:after="40" w:before="0"/>
              <w:jc w:val="center"/>
            </w:pPr>
            <w:r>
              <w:rPr>
                <w:rFonts w:ascii="Arial" w:cs="Arial" w:eastAsia="Arial" w:hAnsi="Arial"/>
                <w:b/>
                <w:bCs/>
                <w:color w:val="FFFFFF"/>
                <w:sz w:val="52"/>
                <w:szCs w:val="52"/>
              </w:rPr>
              <w:t xml:space="preserve">100%</w:t>
            </w:r>
          </w:p>
          <w:p>
            <w:pPr>
              <w:spacing w:after="0" w:before="0"/>
              <w:jc w:val="center"/>
            </w:pPr>
            <w:r>
              <w:rPr>
                <w:rFonts w:ascii="Arial" w:cs="Arial" w:eastAsia="Arial" w:hAnsi="Arial"/>
                <w:color w:val="AAAAAA"/>
                <w:sz w:val="18"/>
                <w:szCs w:val="18"/>
              </w:rPr>
              <w:t xml:space="preserve">Satisfaction Guarantee</w:t>
            </w:r>
          </w:p>
        </w:tc>
      </w:tr>
    </w:tbl>
    <w:p>
      <w:pPr>
        <w:shd w:fill="1A1A2E" w:val="clear"/>
        <w:spacing w:after="120" w:before="400"/>
        <w:ind w:left="100" w:right="100"/>
      </w:pPr>
      <w:r>
        <w:rPr>
          <w:rFonts w:ascii="Arial" w:cs="Arial" w:eastAsia="Arial" w:hAnsi="Arial"/>
          <w:b/>
          <w:bCs/>
          <w:color w:val="FFFFFF"/>
          <w:sz w:val="22"/>
          <w:szCs w:val="22"/>
        </w:rPr>
        <w:t xml:space="preserve">SECTION 9: TESTIMONIALS — ANCHOR: #TESTIMONIALS</w:t>
      </w:r>
    </w:p>
    <w:p>
      <w:pPr>
        <w:shd w:fill="FFFDE7" w:val="clear"/>
        <w:spacing w:after="60" w:before="60"/>
        <w:ind w:left="200"/>
      </w:pPr>
      <w:r>
        <w:rPr>
          <w:rFonts w:ascii="Arial" w:cs="Arial" w:eastAsia="Arial" w:hAnsi="Arial"/>
          <w:i/>
          <w:iCs/>
          <w:color w:val="777700"/>
          <w:sz w:val="19"/>
          <w:szCs w:val="19"/>
        </w:rPr>
        <w:t xml:space="preserve">✏️  Designer Note: Use 3 testimonial cards in a carousel or static 3-column grid. Can repeat / rotate. These testimonials are sourced from existing Sidechain Security clients and may reference the data security work specifically — that’s fine, it reinforces the heritage narrative.</w:t>
      </w:r>
    </w:p>
    <w:p>
      <w:pPr>
        <w:spacing w:after="0" w:before="120"/>
      </w:pPr>
      <w:r>
        <w:t xml:space="preserve"/>
      </w:r>
    </w:p>
    <w:p>
      <w:pPr>
        <w:spacing w:after="80" w:before="40"/>
      </w:pPr>
      <w:r>
        <w:rPr>
          <w:rFonts w:ascii="Arial" w:cs="Arial" w:eastAsia="Arial" w:hAnsi="Arial"/>
          <w:b/>
          <w:bCs/>
          <w:color w:val="8B1A2B"/>
          <w:sz w:val="18"/>
          <w:szCs w:val="18"/>
        </w:rPr>
        <w:t xml:space="preserve">CLIENT TESTIMONIALS</w:t>
      </w:r>
    </w:p>
    <w:p>
      <w:pPr>
        <w:pStyle w:val="Heading2"/>
      </w:pPr>
      <w:r>
        <w:rPr>
          <w:rFonts w:ascii="Arial" w:cs="Arial" w:eastAsia="Arial" w:hAnsi="Arial"/>
          <w:b/>
          <w:bCs/>
          <w:color w:val="1A1A2E"/>
          <w:sz w:val="34"/>
          <w:szCs w:val="34"/>
        </w:rPr>
        <w:t xml:space="preserve">Don’t Take Our Word for It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“Thank you for your superb expertise and service. Your work enables our business to continue to be secure and compliant.”</w:t>
            </w:r>
          </w:p>
          <w:p>
            <w:pPr>
              <w:spacing w:after="20" w:before="0"/>
            </w:pPr>
            <w:r>
              <w:rPr>
                <w:rFonts w:ascii="Arial" w:cs="Arial" w:eastAsia="Arial" w:hAnsi="Arial"/>
                <w:b/>
                <w:bCs/>
                <w:color w:val="1A1A2E"/>
                <w:sz w:val="19"/>
                <w:szCs w:val="19"/>
              </w:rPr>
              <w:t xml:space="preserve">Matthew C.</w:t>
            </w:r>
          </w:p>
          <w:p>
            <w:pPr>
              <w:spacing w:after="0" w:before="0"/>
            </w:pPr>
            <w:r>
              <w:rPr>
                <w:rFonts w:ascii="Arial" w:cs="Arial" w:eastAsia="Arial" w:hAnsi="Arial"/>
                <w:color w:val="888888"/>
                <w:sz w:val="18"/>
                <w:szCs w:val="18"/>
              </w:rPr>
              <w:t xml:space="preserve">Director of IT and Security</w:t>
            </w:r>
          </w:p>
        </w:tc>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“Sidechain brought expertise and innovation to bear in a niche area for sensitive data encryption. Their work is of exceptionally high quality.”</w:t>
            </w:r>
          </w:p>
          <w:p>
            <w:pPr>
              <w:spacing w:after="20" w:before="0"/>
            </w:pPr>
            <w:r>
              <w:rPr>
                <w:rFonts w:ascii="Arial" w:cs="Arial" w:eastAsia="Arial" w:hAnsi="Arial"/>
                <w:b/>
                <w:bCs/>
                <w:color w:val="1A1A2E"/>
                <w:sz w:val="19"/>
                <w:szCs w:val="19"/>
              </w:rPr>
              <w:t xml:space="preserve">James V.</w:t>
            </w:r>
          </w:p>
          <w:p>
            <w:pPr>
              <w:spacing w:after="0" w:before="0"/>
            </w:pPr>
            <w:r>
              <w:rPr>
                <w:rFonts w:ascii="Arial" w:cs="Arial" w:eastAsia="Arial" w:hAnsi="Arial"/>
                <w:color w:val="888888"/>
                <w:sz w:val="18"/>
                <w:szCs w:val="18"/>
              </w:rPr>
              <w:t xml:space="preserve">Executive Software Architect</w:t>
            </w:r>
          </w:p>
        </w:tc>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“Sidechain transformed our encryption nightmare into a seamless solution. Finally, data security that just works.”</w:t>
            </w:r>
          </w:p>
          <w:p>
            <w:pPr>
              <w:spacing w:after="20" w:before="0"/>
            </w:pPr>
            <w:r>
              <w:rPr>
                <w:rFonts w:ascii="Arial" w:cs="Arial" w:eastAsia="Arial" w:hAnsi="Arial"/>
                <w:b/>
                <w:bCs/>
                <w:color w:val="1A1A2E"/>
                <w:sz w:val="19"/>
                <w:szCs w:val="19"/>
              </w:rPr>
              <w:t xml:space="preserve">Sarah C.</w:t>
            </w:r>
          </w:p>
          <w:p>
            <w:pPr>
              <w:spacing w:after="0" w:before="0"/>
            </w:pPr>
            <w:r>
              <w:rPr>
                <w:rFonts w:ascii="Arial" w:cs="Arial" w:eastAsia="Arial" w:hAnsi="Arial"/>
                <w:color w:val="888888"/>
                <w:sz w:val="18"/>
                <w:szCs w:val="18"/>
              </w:rPr>
              <w:t xml:space="preserve">CISO</w:t>
            </w:r>
          </w:p>
        </w:tc>
      </w:tr>
      <w:tr>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“Sidechain’s team are great communicators, they know their products, and they’re knowledgeable. They’re also just nice people, the kind of people you want to work with.”</w:t>
            </w:r>
          </w:p>
          <w:p>
            <w:pPr>
              <w:spacing w:after="20" w:before="0"/>
            </w:pPr>
            <w:r>
              <w:rPr>
                <w:rFonts w:ascii="Arial" w:cs="Arial" w:eastAsia="Arial" w:hAnsi="Arial"/>
                <w:b/>
                <w:bCs/>
                <w:color w:val="1A1A2E"/>
                <w:sz w:val="19"/>
                <w:szCs w:val="19"/>
              </w:rPr>
              <w:t xml:space="preserve">Chris K.</w:t>
            </w:r>
          </w:p>
          <w:p>
            <w:pPr>
              <w:spacing w:after="0" w:before="0"/>
            </w:pPr>
            <w:r>
              <w:rPr>
                <w:rFonts w:ascii="Arial" w:cs="Arial" w:eastAsia="Arial" w:hAnsi="Arial"/>
                <w:color w:val="888888"/>
                <w:sz w:val="18"/>
                <w:szCs w:val="18"/>
              </w:rPr>
              <w:t xml:space="preserve">CIO</w:t>
            </w:r>
          </w:p>
        </w:tc>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“After two years of trying to manage our encryption platform alone, Sidechain operates it smoother than I ever thought possible.”</w:t>
            </w:r>
          </w:p>
          <w:p>
            <w:pPr>
              <w:spacing w:after="20" w:before="0"/>
            </w:pPr>
            <w:r>
              <w:rPr>
                <w:rFonts w:ascii="Arial" w:cs="Arial" w:eastAsia="Arial" w:hAnsi="Arial"/>
                <w:b/>
                <w:bCs/>
                <w:color w:val="1A1A2E"/>
                <w:sz w:val="19"/>
                <w:szCs w:val="19"/>
              </w:rPr>
              <w:t xml:space="preserve">Michael R.</w:t>
            </w:r>
          </w:p>
          <w:p>
            <w:pPr>
              <w:spacing w:after="0" w:before="0"/>
            </w:pPr>
            <w:r>
              <w:rPr>
                <w:rFonts w:ascii="Arial" w:cs="Arial" w:eastAsia="Arial" w:hAnsi="Arial"/>
                <w:color w:val="888888"/>
                <w:sz w:val="18"/>
                <w:szCs w:val="18"/>
              </w:rPr>
              <w:t xml:space="preserve">IT Director</w:t>
            </w:r>
          </w:p>
        </w:tc>
        <w:tc>
          <w:tcPr>
            <w:tcW w:type="dxa" w:w="3080"/>
            <w:tcBorders>
              <w:top w:val="single" w:color="DDDDDD" w:sz="1"/>
              <w:left w:val="single" w:color="DDDDDD" w:sz="1"/>
              <w:bottom w:val="single" w:color="DDDDDD" w:sz="1"/>
              <w:right w:val="single" w:color="DDDDDD" w:sz="1"/>
            </w:tcBorders>
            <w:shd w:fill="F4F4F8" w:val="clear"/>
            <w:tcMar>
              <w:top w:type="dxa" w:w="160"/>
              <w:left w:type="dxa" w:w="160"/>
              <w:bottom w:type="dxa" w:w="160"/>
              <w:right w:type="dxa" w:w="160"/>
            </w:tcMar>
            <w:vAlign w:val="top"/>
          </w:tcPr>
          <w:p>
            <w:pPr>
              <w:spacing w:after="80" w:before="0"/>
            </w:pPr>
            <w:r>
              <w:rPr>
                <w:rFonts w:ascii="Arial" w:cs="Arial" w:eastAsia="Arial" w:hAnsi="Arial"/>
                <w:color w:val="FFB900"/>
                <w:sz w:val="22"/>
                <w:szCs w:val="22"/>
              </w:rPr>
              <w:t xml:space="preserve">★★★★★</w:t>
            </w:r>
          </w:p>
          <w:p>
            <w:pPr>
              <w:spacing w:after="100" w:before="0"/>
            </w:pPr>
            <w:r>
              <w:rPr>
                <w:rFonts w:ascii="Arial" w:cs="Arial" w:eastAsia="Arial" w:hAnsi="Arial"/>
                <w:i/>
                <w:iCs/>
                <w:color w:val="1A1A2E"/>
                <w:sz w:val="20"/>
                <w:szCs w:val="20"/>
              </w:rPr>
              <w:t xml:space="preserve">“Of the countless things on my team’s plate, managing encryption infrastructure isn’t a priority. I’m happy to let Sidechain handle all of that so my engineers can focus on what moves our business forward.”</w:t>
            </w:r>
          </w:p>
          <w:p>
            <w:pPr>
              <w:spacing w:after="20" w:before="0"/>
            </w:pPr>
            <w:r>
              <w:rPr>
                <w:rFonts w:ascii="Arial" w:cs="Arial" w:eastAsia="Arial" w:hAnsi="Arial"/>
                <w:b/>
                <w:bCs/>
                <w:color w:val="1A1A2E"/>
                <w:sz w:val="19"/>
                <w:szCs w:val="19"/>
              </w:rPr>
              <w:t xml:space="preserve">Peter M.</w:t>
            </w:r>
          </w:p>
          <w:p>
            <w:pPr>
              <w:spacing w:after="0" w:before="0"/>
            </w:pPr>
            <w:r>
              <w:rPr>
                <w:rFonts w:ascii="Arial" w:cs="Arial" w:eastAsia="Arial" w:hAnsi="Arial"/>
                <w:color w:val="888888"/>
                <w:sz w:val="18"/>
                <w:szCs w:val="18"/>
              </w:rPr>
              <w:t xml:space="preserve">VP Information Technology</w:t>
            </w:r>
          </w:p>
        </w:tc>
      </w:tr>
    </w:tbl>
    <w:p>
      <w:pPr>
        <w:shd w:fill="1A1A2E" w:val="clear"/>
        <w:spacing w:after="120" w:before="400"/>
        <w:ind w:left="100" w:right="100"/>
      </w:pPr>
      <w:r>
        <w:rPr>
          <w:rFonts w:ascii="Arial" w:cs="Arial" w:eastAsia="Arial" w:hAnsi="Arial"/>
          <w:b/>
          <w:bCs/>
          <w:color w:val="FFFFFF"/>
          <w:sz w:val="22"/>
          <w:szCs w:val="22"/>
        </w:rPr>
        <w:t xml:space="preserve">SECTION 10: CONTACT / FINAL CTA — ANCHOR: #CONTACT</w:t>
      </w:r>
    </w:p>
    <w:p>
      <w:pPr>
        <w:shd w:fill="FFFDE7" w:val="clear"/>
        <w:spacing w:after="60" w:before="60"/>
        <w:ind w:left="200"/>
      </w:pPr>
      <w:r>
        <w:rPr>
          <w:rFonts w:ascii="Arial" w:cs="Arial" w:eastAsia="Arial" w:hAnsi="Arial"/>
          <w:i/>
          <w:iCs/>
          <w:color w:val="777700"/>
          <w:sz w:val="19"/>
          <w:szCs w:val="19"/>
        </w:rPr>
        <w:t xml:space="preserve">✏️  Designer Note: Full-width section, dark background. Two-column layout: left has headline + contact hooks + contact info; right has a contact form. This is the primary conversion section at the bottom of the page.</w:t>
      </w:r>
    </w:p>
    <w:p>
      <w:pPr>
        <w:spacing w:after="0" w:before="120"/>
      </w:pPr>
      <w:r>
        <w:t xml:space="preserve"/>
      </w:r>
    </w:p>
    <w:p>
      <w:pPr>
        <w:spacing w:after="80" w:before="40"/>
      </w:pPr>
      <w:r>
        <w:rPr>
          <w:rFonts w:ascii="Arial" w:cs="Arial" w:eastAsia="Arial" w:hAnsi="Arial"/>
          <w:b/>
          <w:bCs/>
          <w:color w:val="8B1A2B"/>
          <w:sz w:val="18"/>
          <w:szCs w:val="18"/>
        </w:rPr>
        <w:t xml:space="preserve">GET IN TOUCH</w:t>
      </w:r>
    </w:p>
    <w:p>
      <w:pPr>
        <w:pStyle w:val="Heading2"/>
      </w:pPr>
      <w:r>
        <w:rPr>
          <w:rFonts w:ascii="Arial" w:cs="Arial" w:eastAsia="Arial" w:hAnsi="Arial"/>
          <w:b/>
          <w:bCs/>
          <w:color w:val="1A1A2E"/>
          <w:sz w:val="34"/>
          <w:szCs w:val="34"/>
        </w:rPr>
        <w:t xml:space="preserve">Let’s Talk About Your Security Program.</w:t>
      </w:r>
    </w:p>
    <w:p>
      <w:pPr>
        <w:spacing w:after="80" w:before="80"/>
      </w:pPr>
      <w:r>
        <w:rPr>
          <w:rFonts w:ascii="Arial" w:cs="Arial" w:eastAsia="Arial" w:hAnsi="Arial"/>
          <w:color w:val="4A4A6A"/>
          <w:sz w:val="22"/>
          <w:szCs w:val="22"/>
        </w:rPr>
        <w:t xml:space="preserve">Whether you’re starting from scratch, navigating a compliance deadline, or looking to replace a security provider that isn’t delivering — we’d like to hear from you. Our team responds within one business day.</w:t>
      </w:r>
    </w:p>
    <w:p>
      <w:pPr>
        <w:spacing w:after="0" w:before="160"/>
      </w:pPr>
      <w:r>
        <w:t xml:space="preserve"/>
      </w:r>
    </w:p>
    <w:p>
      <w:pPr>
        <w:spacing w:after="40" w:before="40"/>
      </w:pPr>
      <w:r>
        <w:rPr>
          <w:rFonts w:ascii="Arial" w:cs="Arial" w:eastAsia="Arial" w:hAnsi="Arial"/>
          <w:b/>
          <w:bCs/>
          <w:color w:val="1A1A2E"/>
          <w:sz w:val="20"/>
          <w:szCs w:val="20"/>
        </w:rPr>
        <w:t xml:space="preserve">Contact hooks (left column):</w:t>
      </w:r>
    </w:p>
    <w:p>
      <w:pPr>
        <w:pStyle w:val="ListParagraph"/>
        <w:numPr>
          <w:ilvl w:val="0"/>
          <w:numId w:val="2"/>
        </w:numPr>
        <w:spacing w:after="40" w:before="40"/>
      </w:pPr>
      <w:r>
        <w:rPr>
          <w:rFonts w:ascii="Arial" w:cs="Arial" w:eastAsia="Arial" w:hAnsi="Arial"/>
          <w:color w:val="4A4A6A"/>
          <w:sz w:val="21"/>
          <w:szCs w:val="21"/>
        </w:rPr>
        <w:t xml:space="preserve">Schedule a free 30-minute consultation — no sales pressure, just a conversation about your situation.</w:t>
      </w:r>
    </w:p>
    <w:p>
      <w:pPr>
        <w:pStyle w:val="ListParagraph"/>
        <w:numPr>
          <w:ilvl w:val="0"/>
          <w:numId w:val="2"/>
        </w:numPr>
        <w:spacing w:after="40" w:before="40"/>
      </w:pPr>
      <w:r>
        <w:rPr>
          <w:rFonts w:ascii="Arial" w:cs="Arial" w:eastAsia="Arial" w:hAnsi="Arial"/>
          <w:color w:val="4A4A6A"/>
          <w:sz w:val="21"/>
          <w:szCs w:val="21"/>
        </w:rPr>
        <w:t xml:space="preserve">Request a one-time assessment to understand your current risk.</w:t>
      </w:r>
    </w:p>
    <w:p>
      <w:pPr>
        <w:pStyle w:val="ListParagraph"/>
        <w:numPr>
          <w:ilvl w:val="0"/>
          <w:numId w:val="2"/>
        </w:numPr>
        <w:spacing w:after="40" w:before="40"/>
      </w:pPr>
      <w:r>
        <w:rPr>
          <w:rFonts w:ascii="Arial" w:cs="Arial" w:eastAsia="Arial" w:hAnsi="Arial"/>
          <w:color w:val="4A4A6A"/>
          <w:sz w:val="21"/>
          <w:szCs w:val="21"/>
        </w:rPr>
        <w:t xml:space="preserve">Ask us about the $3,000/month Complete Security Management package.</w:t>
      </w:r>
    </w:p>
    <w:p>
      <w:pPr>
        <w:spacing w:after="0" w:before="160"/>
      </w:pPr>
      <w:r>
        <w:t xml:space="preserve"/>
      </w:r>
    </w:p>
    <w:p>
      <w:pPr>
        <w:spacing w:after="40" w:before="40"/>
      </w:pPr>
      <w:r>
        <w:rPr>
          <w:rFonts w:ascii="Arial" w:cs="Arial" w:eastAsia="Arial" w:hAnsi="Arial"/>
          <w:b/>
          <w:bCs/>
          <w:color w:val="1A1A2E"/>
          <w:sz w:val="20"/>
          <w:szCs w:val="20"/>
        </w:rPr>
        <w:t xml:space="preserve">Contact Information:</w:t>
      </w:r>
    </w:p>
    <w:p>
      <w:pPr>
        <w:spacing w:after="40" w:before="40"/>
      </w:pPr>
      <w:r>
        <w:rPr>
          <w:rFonts w:ascii="Arial" w:cs="Arial" w:eastAsia="Arial" w:hAnsi="Arial"/>
          <w:b w:val="false"/>
          <w:bCs w:val="false"/>
          <w:color w:val="1A1A2E"/>
          <w:sz w:val="20"/>
          <w:szCs w:val="20"/>
        </w:rPr>
        <w:t xml:space="preserve">Sidechain Security</w:t>
      </w:r>
    </w:p>
    <w:p>
      <w:pPr>
        <w:spacing w:after="40" w:before="40"/>
      </w:pPr>
      <w:r>
        <w:rPr>
          <w:rFonts w:ascii="Arial" w:cs="Arial" w:eastAsia="Arial" w:hAnsi="Arial"/>
          <w:b w:val="false"/>
          <w:bCs w:val="false"/>
          <w:color w:val="1A1A2E"/>
          <w:sz w:val="20"/>
          <w:szCs w:val="20"/>
        </w:rPr>
        <w:t xml:space="preserve">252 3rd St. Suite 200, Lake Oswego, OR 97035</w:t>
      </w:r>
    </w:p>
    <w:p>
      <w:pPr>
        <w:spacing w:after="40" w:before="40"/>
      </w:pPr>
      <w:r>
        <w:rPr>
          <w:rFonts w:ascii="Arial" w:cs="Arial" w:eastAsia="Arial" w:hAnsi="Arial"/>
          <w:b w:val="false"/>
          <w:bCs w:val="false"/>
          <w:color w:val="1A1A2E"/>
          <w:sz w:val="20"/>
          <w:szCs w:val="20"/>
        </w:rPr>
        <w:t xml:space="preserve">info@sidechainsecurity.com</w:t>
      </w:r>
    </w:p>
    <w:p>
      <w:pPr>
        <w:spacing w:after="40" w:before="40"/>
      </w:pPr>
      <w:r>
        <w:rPr>
          <w:rFonts w:ascii="Arial" w:cs="Arial" w:eastAsia="Arial" w:hAnsi="Arial"/>
          <w:b w:val="false"/>
          <w:bCs w:val="false"/>
          <w:color w:val="1A1A2E"/>
          <w:sz w:val="20"/>
          <w:szCs w:val="20"/>
        </w:rPr>
        <w:t xml:space="preserve">+1 (833) 744-1421</w:t>
      </w:r>
    </w:p>
    <w:p>
      <w:pPr>
        <w:spacing w:after="0" w:before="160"/>
      </w:pPr>
      <w:r>
        <w:t xml:space="preserve"/>
      </w:r>
    </w:p>
    <w:p>
      <w:pPr>
        <w:spacing w:after="40" w:before="40"/>
      </w:pPr>
      <w:r>
        <w:rPr>
          <w:rFonts w:ascii="Arial" w:cs="Arial" w:eastAsia="Arial" w:hAnsi="Arial"/>
          <w:b/>
          <w:bCs/>
          <w:color w:val="1A1A2E"/>
          <w:sz w:val="20"/>
          <w:szCs w:val="20"/>
        </w:rPr>
        <w:t xml:space="preserve">Form Fields (right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F0F8" w:val="clear"/>
            <w:tcMar>
              <w:top w:type="dxa" w:w="80"/>
              <w:left w:type="dxa" w:w="120"/>
              <w:bottom w:type="dxa" w:w="80"/>
              <w:right w:type="dxa" w:w="120"/>
            </w:tcMar>
          </w:tcPr>
          <w:p>
            <w:r>
              <w:rPr>
                <w:rFonts w:ascii="Arial" w:cs="Arial" w:eastAsia="Arial" w:hAnsi="Arial"/>
                <w:color w:val="4A4A6A"/>
                <w:sz w:val="20"/>
                <w:szCs w:val="20"/>
              </w:rPr>
              <w:t xml:space="preserve">Name *</w:t>
            </w:r>
          </w:p>
        </w:tc>
        <w:tc>
          <w:tcPr>
            <w:tcW w:type="dxa" w:w="4680"/>
            <w:tcBorders>
              <w:top w:val="single" w:color="DDDDDD" w:sz="1"/>
              <w:left w:val="single" w:color="DDDDDD" w:sz="1"/>
              <w:bottom w:val="single" w:color="DDDDDD" w:sz="1"/>
              <w:right w:val="single" w:color="DDDDDD" w:sz="1"/>
            </w:tcBorders>
            <w:shd w:fill="EEF0F8" w:val="clear"/>
            <w:tcMar>
              <w:top w:type="dxa" w:w="80"/>
              <w:left w:type="dxa" w:w="120"/>
              <w:bottom w:type="dxa" w:w="80"/>
              <w:right w:type="dxa" w:w="120"/>
            </w:tcMar>
          </w:tcPr>
          <w:p>
            <w:r>
              <w:rPr>
                <w:rFonts w:ascii="Arial" w:cs="Arial" w:eastAsia="Arial" w:hAnsi="Arial"/>
                <w:color w:val="4A4A6A"/>
                <w:sz w:val="20"/>
                <w:szCs w:val="20"/>
              </w:rPr>
              <w:t xml:space="preserve">Company *</w:t>
            </w:r>
          </w:p>
        </w:tc>
      </w:tr>
      <w:tr>
        <w:tc>
          <w:tcPr>
            <w:tcW w:type="dxa" w:w="4680"/>
            <w:tcBorders>
              <w:top w:val="single" w:color="DDDDDD" w:sz="1"/>
              <w:left w:val="single" w:color="DDDDDD" w:sz="1"/>
              <w:bottom w:val="single" w:color="DDDDDD" w:sz="1"/>
              <w:right w:val="single" w:color="DDDDDD" w:sz="1"/>
            </w:tcBorders>
            <w:shd w:fill="EEF0F8" w:val="clear"/>
            <w:tcMar>
              <w:top w:type="dxa" w:w="80"/>
              <w:left w:type="dxa" w:w="120"/>
              <w:bottom w:type="dxa" w:w="80"/>
              <w:right w:type="dxa" w:w="120"/>
            </w:tcMar>
          </w:tcPr>
          <w:p>
            <w:r>
              <w:rPr>
                <w:rFonts w:ascii="Arial" w:cs="Arial" w:eastAsia="Arial" w:hAnsi="Arial"/>
                <w:color w:val="4A4A6A"/>
                <w:sz w:val="20"/>
                <w:szCs w:val="20"/>
              </w:rPr>
              <w:t xml:space="preserve">Email *</w:t>
            </w:r>
          </w:p>
        </w:tc>
        <w:tc>
          <w:tcPr>
            <w:tcW w:type="dxa" w:w="4680"/>
            <w:tcBorders>
              <w:top w:val="single" w:color="DDDDDD" w:sz="1"/>
              <w:left w:val="single" w:color="DDDDDD" w:sz="1"/>
              <w:bottom w:val="single" w:color="DDDDDD" w:sz="1"/>
              <w:right w:val="single" w:color="DDDDDD" w:sz="1"/>
            </w:tcBorders>
            <w:shd w:fill="EEF0F8" w:val="clear"/>
            <w:tcMar>
              <w:top w:type="dxa" w:w="80"/>
              <w:left w:type="dxa" w:w="120"/>
              <w:bottom w:type="dxa" w:w="80"/>
              <w:right w:type="dxa" w:w="120"/>
            </w:tcMar>
          </w:tcPr>
          <w:p>
            <w:r>
              <w:rPr>
                <w:rFonts w:ascii="Arial" w:cs="Arial" w:eastAsia="Arial" w:hAnsi="Arial"/>
                <w:color w:val="4A4A6A"/>
                <w:sz w:val="20"/>
                <w:szCs w:val="20"/>
              </w:rPr>
              <w:t xml:space="preserve">Phone (optional)</w:t>
            </w:r>
          </w:p>
        </w:tc>
      </w:tr>
      <w:tr>
        <w:tc>
          <w:tcPr>
            <w:tcW w:type="dxa" w:w="9360"/>
            <w:tcBorders>
              <w:top w:val="single" w:color="DDDDDD" w:sz="1"/>
              <w:left w:val="single" w:color="DDDDDD" w:sz="1"/>
              <w:bottom w:val="single" w:color="DDDDDD" w:sz="1"/>
              <w:right w:val="single" w:color="DDDDDD" w:sz="1"/>
            </w:tcBorders>
            <w:shd w:fill="EEF0F8" w:val="clear"/>
            <w:tcMar>
              <w:top w:type="dxa" w:w="80"/>
              <w:left w:type="dxa" w:w="120"/>
              <w:bottom w:type="dxa" w:w="80"/>
              <w:right w:type="dxa" w:w="120"/>
            </w:tcMar>
          </w:tcPr>
          <w:p>
            <w:r>
              <w:rPr>
                <w:rFonts w:ascii="Arial" w:cs="Arial" w:eastAsia="Arial" w:hAnsi="Arial"/>
                <w:color w:val="4A4A6A"/>
                <w:sz w:val="20"/>
                <w:szCs w:val="20"/>
              </w:rPr>
              <w:t xml:space="preserve">What can we help with? (text area, full width)</w:t>
            </w:r>
          </w:p>
        </w:tc>
      </w:tr>
      <w:tr>
        <w:tc>
          <w:tcPr>
            <w:tcW w:type="dxa" w:w="93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80"/>
            </w:pPr>
            <w:r>
              <w:rPr>
                <w:rFonts w:ascii="Arial" w:cs="Arial" w:eastAsia="Arial" w:hAnsi="Arial"/>
                <w:b/>
                <w:bCs/>
                <w:color w:val="8B1A2B"/>
                <w:sz w:val="20"/>
                <w:szCs w:val="20"/>
              </w:rPr>
              <w:t xml:space="preserve">[ Schedule a Consultation → ]  (Primary CTA button)</w:t>
            </w:r>
          </w:p>
        </w:tc>
      </w:tr>
    </w:tbl>
    <w:p>
      <w:pPr>
        <w:shd w:fill="1A1A2E" w:val="clear"/>
        <w:spacing w:after="120" w:before="400"/>
        <w:ind w:left="100" w:right="100"/>
      </w:pPr>
      <w:r>
        <w:rPr>
          <w:rFonts w:ascii="Arial" w:cs="Arial" w:eastAsia="Arial" w:hAnsi="Arial"/>
          <w:b/>
          <w:bCs/>
          <w:color w:val="FFFFFF"/>
          <w:sz w:val="22"/>
          <w:szCs w:val="22"/>
        </w:rPr>
        <w:t xml:space="preserve">SECTION FOOTER: FOOTER</w:t>
      </w:r>
    </w:p>
    <w:p>
      <w:pPr>
        <w:shd w:fill="FFFDE7" w:val="clear"/>
        <w:spacing w:after="60" w:before="60"/>
        <w:ind w:left="200"/>
      </w:pPr>
      <w:r>
        <w:rPr>
          <w:rFonts w:ascii="Arial" w:cs="Arial" w:eastAsia="Arial" w:hAnsi="Arial"/>
          <w:i/>
          <w:iCs/>
          <w:color w:val="777700"/>
          <w:sz w:val="19"/>
          <w:szCs w:val="19"/>
        </w:rPr>
        <w:t xml:space="preserve">✏️  Designer Note: 4-column footer. Logo + tagline on the left, then three service/link columns. Bottom bar with copyright.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80"/>
              <w:bottom w:type="dxa" w:w="80"/>
              <w:right w:type="dxa" w:w="80"/>
            </w:tcMar>
            <w:vAlign w:val="top"/>
          </w:tcPr>
          <w:p>
            <w:pPr>
              <w:spacing w:after="60" w:before="0"/>
            </w:pPr>
            <w:r>
              <w:rPr>
                <w:rFonts w:ascii="Arial" w:cs="Arial" w:eastAsia="Arial" w:hAnsi="Arial"/>
                <w:b/>
                <w:bCs/>
                <w:color w:val="1A1A2E"/>
                <w:sz w:val="22"/>
                <w:szCs w:val="22"/>
              </w:rPr>
              <w:t xml:space="preserve">Sidechain Security</w:t>
            </w:r>
          </w:p>
          <w:p>
            <w:pPr>
              <w:spacing w:after="100" w:before="0"/>
            </w:pPr>
            <w:r>
              <w:rPr>
                <w:rFonts w:ascii="Arial" w:cs="Arial" w:eastAsia="Arial" w:hAnsi="Arial"/>
                <w:i/>
                <w:iCs/>
                <w:color w:val="8B1A2B"/>
                <w:sz w:val="19"/>
                <w:szCs w:val="19"/>
              </w:rPr>
              <w:t xml:space="preserve">Security You Can Defend.</w:t>
            </w:r>
          </w:p>
          <w:p>
            <w:pPr>
              <w:spacing w:after="20" w:before="0"/>
            </w:pPr>
            <w:r>
              <w:rPr>
                <w:rFonts w:ascii="Arial" w:cs="Arial" w:eastAsia="Arial" w:hAnsi="Arial"/>
                <w:color w:val="888888"/>
                <w:sz w:val="18"/>
                <w:szCs w:val="18"/>
              </w:rPr>
              <w:t xml:space="preserve">252 3rd St. Suite 200</w:t>
            </w:r>
          </w:p>
          <w:p>
            <w:pPr>
              <w:spacing w:after="20" w:before="0"/>
            </w:pPr>
            <w:r>
              <w:rPr>
                <w:rFonts w:ascii="Arial" w:cs="Arial" w:eastAsia="Arial" w:hAnsi="Arial"/>
                <w:color w:val="888888"/>
                <w:sz w:val="18"/>
                <w:szCs w:val="18"/>
              </w:rPr>
              <w:t xml:space="preserve">Lake Oswego, OR 97035</w:t>
            </w:r>
          </w:p>
          <w:p>
            <w:pPr>
              <w:spacing w:after="20" w:before="0"/>
            </w:pPr>
            <w:r>
              <w:rPr>
                <w:rFonts w:ascii="Arial" w:cs="Arial" w:eastAsia="Arial" w:hAnsi="Arial"/>
                <w:color w:val="888888"/>
                <w:sz w:val="18"/>
                <w:szCs w:val="18"/>
              </w:rPr>
              <w:t xml:space="preserve">info@sidechainsecurity.com</w:t>
            </w:r>
          </w:p>
          <w:p>
            <w:pPr>
              <w:spacing w:after="0" w:before="0"/>
            </w:pPr>
            <w:r>
              <w:rPr>
                <w:rFonts w:ascii="Arial" w:cs="Arial" w:eastAsia="Arial" w:hAnsi="Arial"/>
                <w:color w:val="888888"/>
                <w:sz w:val="18"/>
                <w:szCs w:val="18"/>
              </w:rPr>
              <w:t xml:space="preserve">+1 (833) 744-1421</w:t>
            </w:r>
          </w:p>
        </w:tc>
        <w:tc>
          <w:tcPr>
            <w:tcW w:type="dxa" w:w="2340"/>
            <w:tcBorders>
              <w:top w:val="none" w:color="FFFFFF" w:sz="0"/>
              <w:left w:val="none" w:color="FFFFFF" w:sz="0"/>
              <w:bottom w:val="none" w:color="FFFFFF" w:sz="0"/>
              <w:right w:val="none" w:color="FFFFFF" w:sz="0"/>
            </w:tcBorders>
            <w:tcMar>
              <w:top w:type="dxa" w:w="80"/>
              <w:left w:type="dxa" w:w="80"/>
              <w:bottom w:type="dxa" w:w="80"/>
              <w:right w:type="dxa" w:w="80"/>
            </w:tcMar>
            <w:vAlign w:val="top"/>
          </w:tcPr>
          <w:p>
            <w:pPr>
              <w:spacing w:after="80" w:before="0"/>
            </w:pPr>
            <w:r>
              <w:rPr>
                <w:rFonts w:ascii="Arial" w:cs="Arial" w:eastAsia="Arial" w:hAnsi="Arial"/>
                <w:b/>
                <w:bCs/>
                <w:color w:val="1A1A2E"/>
                <w:sz w:val="18"/>
                <w:szCs w:val="18"/>
              </w:rPr>
              <w:t xml:space="preserve">MANAGED SERVICES</w:t>
            </w:r>
          </w:p>
          <w:p>
            <w:pPr>
              <w:spacing w:after="40" w:before="0"/>
            </w:pPr>
            <w:r>
              <w:rPr>
                <w:rFonts w:ascii="Arial" w:cs="Arial" w:eastAsia="Arial" w:hAnsi="Arial"/>
                <w:color w:val="777777"/>
                <w:sz w:val="18"/>
                <w:szCs w:val="18"/>
              </w:rPr>
              <w:t xml:space="preserve">Endpoint Detection &amp; Response</w:t>
            </w:r>
          </w:p>
          <w:p>
            <w:pPr>
              <w:spacing w:after="40" w:before="0"/>
            </w:pPr>
            <w:r>
              <w:rPr>
                <w:rFonts w:ascii="Arial" w:cs="Arial" w:eastAsia="Arial" w:hAnsi="Arial"/>
                <w:color w:val="777777"/>
                <w:sz w:val="18"/>
                <w:szCs w:val="18"/>
              </w:rPr>
              <w:t xml:space="preserve">Email Security &amp; Phishing</w:t>
            </w:r>
          </w:p>
          <w:p>
            <w:pPr>
              <w:spacing w:after="40" w:before="0"/>
            </w:pPr>
            <w:r>
              <w:rPr>
                <w:rFonts w:ascii="Arial" w:cs="Arial" w:eastAsia="Arial" w:hAnsi="Arial"/>
                <w:color w:val="777777"/>
                <w:sz w:val="18"/>
                <w:szCs w:val="18"/>
              </w:rPr>
              <w:t xml:space="preserve">Patch Management</w:t>
            </w:r>
          </w:p>
          <w:p>
            <w:pPr>
              <w:spacing w:after="40" w:before="0"/>
            </w:pPr>
            <w:r>
              <w:rPr>
                <w:rFonts w:ascii="Arial" w:cs="Arial" w:eastAsia="Arial" w:hAnsi="Arial"/>
                <w:color w:val="777777"/>
                <w:sz w:val="18"/>
                <w:szCs w:val="18"/>
              </w:rPr>
              <w:t xml:space="preserve">SIEM &amp; Threat Monitoring</w:t>
            </w:r>
          </w:p>
          <w:p>
            <w:pPr>
              <w:spacing w:after="40" w:before="0"/>
            </w:pPr>
            <w:r>
              <w:rPr>
                <w:rFonts w:ascii="Arial" w:cs="Arial" w:eastAsia="Arial" w:hAnsi="Arial"/>
                <w:color w:val="777777"/>
                <w:sz w:val="18"/>
                <w:szCs w:val="18"/>
              </w:rPr>
              <w:t xml:space="preserve">Backup &amp; Incident Response</w:t>
            </w:r>
          </w:p>
        </w:tc>
        <w:tc>
          <w:tcPr>
            <w:tcW w:type="dxa" w:w="2340"/>
            <w:tcBorders>
              <w:top w:val="none" w:color="FFFFFF" w:sz="0"/>
              <w:left w:val="none" w:color="FFFFFF" w:sz="0"/>
              <w:bottom w:val="none" w:color="FFFFFF" w:sz="0"/>
              <w:right w:val="none" w:color="FFFFFF" w:sz="0"/>
            </w:tcBorders>
            <w:tcMar>
              <w:top w:type="dxa" w:w="80"/>
              <w:left w:type="dxa" w:w="80"/>
              <w:bottom w:type="dxa" w:w="80"/>
              <w:right w:type="dxa" w:w="80"/>
            </w:tcMar>
            <w:vAlign w:val="top"/>
          </w:tcPr>
          <w:p>
            <w:pPr>
              <w:spacing w:after="80" w:before="0"/>
            </w:pPr>
            <w:r>
              <w:rPr>
                <w:rFonts w:ascii="Arial" w:cs="Arial" w:eastAsia="Arial" w:hAnsi="Arial"/>
                <w:b/>
                <w:bCs/>
                <w:color w:val="1A1A2E"/>
                <w:sz w:val="18"/>
                <w:szCs w:val="18"/>
              </w:rPr>
              <w:t xml:space="preserve">ASSESSMENTS</w:t>
            </w:r>
          </w:p>
          <w:p>
            <w:pPr>
              <w:spacing w:after="40" w:before="0"/>
            </w:pPr>
            <w:r>
              <w:rPr>
                <w:rFonts w:ascii="Arial" w:cs="Arial" w:eastAsia="Arial" w:hAnsi="Arial"/>
                <w:color w:val="777777"/>
                <w:sz w:val="18"/>
                <w:szCs w:val="18"/>
              </w:rPr>
              <w:t xml:space="preserve">Vulnerability Assessment</w:t>
            </w:r>
          </w:p>
          <w:p>
            <w:pPr>
              <w:spacing w:after="40" w:before="0"/>
            </w:pPr>
            <w:r>
              <w:rPr>
                <w:rFonts w:ascii="Arial" w:cs="Arial" w:eastAsia="Arial" w:hAnsi="Arial"/>
                <w:color w:val="777777"/>
                <w:sz w:val="18"/>
                <w:szCs w:val="18"/>
              </w:rPr>
              <w:t xml:space="preserve">Cyber Risk Evaluation</w:t>
            </w:r>
          </w:p>
          <w:p>
            <w:pPr>
              <w:spacing w:after="40" w:before="0"/>
            </w:pPr>
            <w:r>
              <w:rPr>
                <w:rFonts w:ascii="Arial" w:cs="Arial" w:eastAsia="Arial" w:hAnsi="Arial"/>
                <w:color w:val="777777"/>
                <w:sz w:val="18"/>
                <w:szCs w:val="18"/>
              </w:rPr>
              <w:t xml:space="preserve">HIPAA Cyber Risk Assessment</w:t>
            </w:r>
          </w:p>
          <w:p>
            <w:pPr>
              <w:spacing w:after="0" w:before="160"/>
            </w:pPr>
            <w:r>
              <w:t xml:space="preserve"/>
            </w:r>
          </w:p>
          <w:p>
            <w:pPr>
              <w:spacing w:after="80" w:before="0"/>
            </w:pPr>
            <w:r>
              <w:rPr>
                <w:rFonts w:ascii="Arial" w:cs="Arial" w:eastAsia="Arial" w:hAnsi="Arial"/>
                <w:b/>
                <w:bCs/>
                <w:color w:val="1A1A2E"/>
                <w:sz w:val="18"/>
                <w:szCs w:val="18"/>
              </w:rPr>
              <w:t xml:space="preserve">DATA SECURITY</w:t>
            </w:r>
          </w:p>
          <w:p>
            <w:pPr>
              <w:spacing w:after="40" w:before="0"/>
            </w:pPr>
            <w:r>
              <w:rPr>
                <w:rFonts w:ascii="Arial" w:cs="Arial" w:eastAsia="Arial" w:hAnsi="Arial"/>
                <w:color w:val="777777"/>
                <w:sz w:val="18"/>
                <w:szCs w:val="18"/>
              </w:rPr>
              <w:t xml:space="preserve">Data Encryption</w:t>
            </w:r>
          </w:p>
          <w:p>
            <w:pPr>
              <w:spacing w:after="40" w:before="0"/>
            </w:pPr>
            <w:r>
              <w:rPr>
                <w:rFonts w:ascii="Arial" w:cs="Arial" w:eastAsia="Arial" w:hAnsi="Arial"/>
                <w:color w:val="777777"/>
                <w:sz w:val="18"/>
                <w:szCs w:val="18"/>
              </w:rPr>
              <w:t xml:space="preserve">Key Management</w:t>
            </w:r>
          </w:p>
          <w:p>
            <w:pPr>
              <w:spacing w:after="40" w:before="0"/>
            </w:pPr>
            <w:r>
              <w:rPr>
                <w:rFonts w:ascii="Arial" w:cs="Arial" w:eastAsia="Arial" w:hAnsi="Arial"/>
                <w:color w:val="777777"/>
                <w:sz w:val="18"/>
                <w:szCs w:val="18"/>
              </w:rPr>
              <w:t xml:space="preserve">Managed HSM</w:t>
            </w:r>
          </w:p>
          <w:p>
            <w:pPr>
              <w:spacing w:after="40" w:before="0"/>
            </w:pPr>
            <w:r>
              <w:rPr>
                <w:rFonts w:ascii="Arial" w:cs="Arial" w:eastAsia="Arial" w:hAnsi="Arial"/>
                <w:color w:val="777777"/>
                <w:sz w:val="18"/>
                <w:szCs w:val="18"/>
              </w:rPr>
              <w:t xml:space="preserve">Cloud Data Protection</w:t>
            </w:r>
          </w:p>
        </w:tc>
        <w:tc>
          <w:tcPr>
            <w:tcW w:type="dxa" w:w="2340"/>
            <w:tcBorders>
              <w:top w:val="none" w:color="FFFFFF" w:sz="0"/>
              <w:left w:val="none" w:color="FFFFFF" w:sz="0"/>
              <w:bottom w:val="none" w:color="FFFFFF" w:sz="0"/>
              <w:right w:val="none" w:color="FFFFFF" w:sz="0"/>
            </w:tcBorders>
            <w:tcMar>
              <w:top w:type="dxa" w:w="80"/>
              <w:left w:type="dxa" w:w="80"/>
              <w:bottom w:type="dxa" w:w="80"/>
              <w:right w:type="dxa" w:w="80"/>
            </w:tcMar>
            <w:vAlign w:val="top"/>
          </w:tcPr>
          <w:p>
            <w:pPr>
              <w:spacing w:after="80" w:before="0"/>
            </w:pPr>
            <w:r>
              <w:rPr>
                <w:rFonts w:ascii="Arial" w:cs="Arial" w:eastAsia="Arial" w:hAnsi="Arial"/>
                <w:b/>
                <w:bCs/>
                <w:color w:val="1A1A2E"/>
                <w:sz w:val="18"/>
                <w:szCs w:val="18"/>
              </w:rPr>
              <w:t xml:space="preserve">COMPANY</w:t>
            </w:r>
          </w:p>
          <w:p>
            <w:pPr>
              <w:spacing w:after="40" w:before="0"/>
            </w:pPr>
            <w:r>
              <w:rPr>
                <w:rFonts w:ascii="Arial" w:cs="Arial" w:eastAsia="Arial" w:hAnsi="Arial"/>
                <w:color w:val="777777"/>
                <w:sz w:val="18"/>
                <w:szCs w:val="18"/>
              </w:rPr>
              <w:t xml:space="preserve">About</w:t>
            </w:r>
          </w:p>
          <w:p>
            <w:pPr>
              <w:spacing w:after="40" w:before="0"/>
            </w:pPr>
            <w:r>
              <w:rPr>
                <w:rFonts w:ascii="Arial" w:cs="Arial" w:eastAsia="Arial" w:hAnsi="Arial"/>
                <w:color w:val="777777"/>
                <w:sz w:val="18"/>
                <w:szCs w:val="18"/>
              </w:rPr>
              <w:t xml:space="preserve">Services</w:t>
            </w:r>
          </w:p>
          <w:p>
            <w:pPr>
              <w:spacing w:after="40" w:before="0"/>
            </w:pPr>
            <w:r>
              <w:rPr>
                <w:rFonts w:ascii="Arial" w:cs="Arial" w:eastAsia="Arial" w:hAnsi="Arial"/>
                <w:color w:val="777777"/>
                <w:sz w:val="18"/>
                <w:szCs w:val="18"/>
              </w:rPr>
              <w:t xml:space="preserve">Compliance</w:t>
            </w:r>
          </w:p>
          <w:p>
            <w:pPr>
              <w:spacing w:after="40" w:before="0"/>
            </w:pPr>
            <w:r>
              <w:rPr>
                <w:rFonts w:ascii="Arial" w:cs="Arial" w:eastAsia="Arial" w:hAnsi="Arial"/>
                <w:color w:val="777777"/>
                <w:sz w:val="18"/>
                <w:szCs w:val="18"/>
              </w:rPr>
              <w:t xml:space="preserve">Pricing</w:t>
            </w:r>
          </w:p>
          <w:p>
            <w:pPr>
              <w:spacing w:after="40" w:before="0"/>
            </w:pPr>
            <w:r>
              <w:rPr>
                <w:rFonts w:ascii="Arial" w:cs="Arial" w:eastAsia="Arial" w:hAnsi="Arial"/>
                <w:color w:val="777777"/>
                <w:sz w:val="18"/>
                <w:szCs w:val="18"/>
              </w:rPr>
              <w:t xml:space="preserve">Contact Us</w:t>
            </w:r>
          </w:p>
          <w:p>
            <w:pPr>
              <w:spacing w:after="40" w:before="0"/>
            </w:pPr>
            <w:r>
              <w:rPr>
                <w:rFonts w:ascii="Arial" w:cs="Arial" w:eastAsia="Arial" w:hAnsi="Arial"/>
                <w:color w:val="777777"/>
                <w:sz w:val="18"/>
                <w:szCs w:val="18"/>
              </w:rPr>
              <w:t xml:space="preserve">LinkedIn</w:t>
            </w:r>
          </w:p>
        </w:tc>
      </w:tr>
    </w:tbl>
    <w:p>
      <w:pPr>
        <w:spacing w:after="0" w:before="120"/>
      </w:pPr>
      <w:r>
        <w:t xml:space="preserve"/>
      </w:r>
    </w:p>
    <w:p>
      <w:pPr>
        <w:pBdr>
          <w:bottom w:val="single" w:color="CCCCCC" w:sz="4" w:space="1"/>
        </w:pBdr>
        <w:spacing w:after="200" w:before="200"/>
      </w:pPr>
      <w:r>
        <w:t xml:space="preserve"/>
      </w:r>
    </w:p>
    <w:p>
      <w:pPr>
        <w:spacing w:after="80" w:before="80"/>
        <w:jc w:val="center"/>
      </w:pPr>
      <w:r>
        <w:rPr>
          <w:rFonts w:ascii="Arial" w:cs="Arial" w:eastAsia="Arial" w:hAnsi="Arial"/>
          <w:color w:val="999999"/>
          <w:sz w:val="18"/>
          <w:szCs w:val="18"/>
        </w:rPr>
        <w:t xml:space="preserve">© 2026 Sidechain Security. All rights reserved.  |  Privacy Policy  |  Terms of Service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48"/>
      <w:szCs w:val="48"/>
    </w:rPr>
  </w:style>
  <w:style w:type="paragraph" w:styleId="Heading2">
    <w:name w:val="Heading 2"/>
    <w:basedOn w:val="Normal"/>
    <w:next w:val="Normal"/>
    <w:qFormat/>
    <w:pPr>
      <w:spacing w:after="120" w:before="200"/>
      <w:outlineLvl w:val="1"/>
    </w:pPr>
    <w:rPr>
      <w:rFonts w:ascii="Arial" w:cs="Arial" w:eastAsia="Arial" w:hAnsi="Arial"/>
      <w:b/>
      <w:bCs/>
      <w:color w:val="1A1A2E"/>
      <w:sz w:val="34"/>
      <w:szCs w:val="34"/>
    </w:rPr>
  </w:style>
  <w:style w:type="paragraph" w:styleId="Heading3">
    <w:name w:val="Heading 3"/>
    <w:basedOn w:val="Normal"/>
    <w:next w:val="Normal"/>
    <w:qFormat/>
    <w:pPr>
      <w:spacing w:after="80" w:before="16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2026-03-31T23:58:24.258Z</dcterms:created>
  <dcterms:modified xsi:type="dcterms:W3CDTF">2026-03-31T23:58:24.259Z</dcterms:modified>
</cp:coreProperties>
</file>

<file path=docProps/custom.xml><?xml version="1.0" encoding="utf-8"?>
<Properties xmlns="http://schemas.openxmlformats.org/officeDocument/2006/custom-properties" xmlns:vt="http://schemas.openxmlformats.org/officeDocument/2006/docPropsVTypes"/>
</file>