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100"/>
      </w:pPr>
      <w:r>
        <w:t xml:space="preserve"/>
      </w:r>
    </w:p>
    <w:p>
      <w:pPr>
        <w:spacing w:after="100" w:before="0"/>
        <w:jc w:val="center"/>
      </w:pPr>
      <w:r>
        <w:rPr>
          <w:rFonts w:ascii="Arial" w:cs="Arial" w:eastAsia="Arial" w:hAnsi="Arial"/>
          <w:b/>
          <w:bCs/>
          <w:color w:val="1B3A6B"/>
          <w:sz w:val="52"/>
          <w:szCs w:val="52"/>
        </w:rPr>
        <w:t xml:space="preserve">BUSINESS DEVELOPMENT</w:t>
      </w:r>
    </w:p>
    <w:p>
      <w:pPr>
        <w:pBdr>
          <w:bottom w:val="single" w:color="2E75B6" w:sz="8" w:space="6"/>
        </w:pBdr>
        <w:spacing w:after="80" w:before="0"/>
        <w:jc w:val="center"/>
      </w:pPr>
      <w:r>
        <w:rPr>
          <w:rFonts w:ascii="Arial" w:cs="Arial" w:eastAsia="Arial" w:hAnsi="Arial"/>
          <w:color w:val="4A90C4"/>
          <w:sz w:val="32"/>
          <w:szCs w:val="32"/>
        </w:rPr>
        <w:t xml:space="preserve">Go-To-Market Strategy &amp; Sales Playbook</w:t>
      </w:r>
    </w:p>
    <w:p>
      <w:pPr>
        <w:spacing w:after="0" w:before="300"/>
      </w:pPr>
      <w:r>
        <w:t xml:space="preserve"/>
      </w:r>
    </w:p>
    <w:p>
      <w:pPr>
        <w:spacing w:after="60" w:before="0"/>
        <w:jc w:val="center"/>
      </w:pPr>
      <w:r>
        <w:rPr>
          <w:rFonts w:ascii="Arial" w:cs="Arial" w:eastAsia="Arial" w:hAnsi="Arial"/>
          <w:color w:val="444444"/>
          <w:sz w:val="22"/>
          <w:szCs w:val="22"/>
        </w:rPr>
        <w:t xml:space="preserve">Solana Infrastructure Division  |  Version 1.0  |  2025</w:t>
      </w:r>
    </w:p>
    <w:p>
      <w:pPr>
        <w:spacing w:after="0" w:before="0"/>
        <w:jc w:val="center"/>
      </w:pPr>
      <w:r>
        <w:rPr>
          <w:rFonts w:ascii="Arial" w:cs="Arial" w:eastAsia="Arial" w:hAnsi="Arial"/>
          <w:i/>
          <w:iCs/>
          <w:color w:val="444444"/>
          <w:sz w:val="20"/>
          <w:szCs w:val="20"/>
        </w:rPr>
        <w:t xml:space="preserve">Confidential — Not for External Distribution</w:t>
      </w:r>
    </w:p>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1B3A6B" w:val="clear"/>
            <w:tcMar>
              <w:top w:type="dxa" w:w="140"/>
              <w:left w:type="dxa" w:w="180"/>
              <w:bottom w:type="dxa" w:w="140"/>
              <w:right w:type="dxa" w:w="180"/>
            </w:tcMar>
          </w:tcPr>
          <w:p>
            <w:pPr>
              <w:jc w:val="center"/>
            </w:pPr>
            <w:r>
              <w:rPr>
                <w:rFonts w:ascii="Arial" w:cs="Arial" w:eastAsia="Arial" w:hAnsi="Arial"/>
                <w:b/>
                <w:bCs/>
                <w:color w:val="FFFFFF"/>
                <w:sz w:val="22"/>
                <w:szCs w:val="22"/>
              </w:rPr>
              <w:t xml:space="preserve">Target: $1M ARR</w:t>
            </w:r>
          </w:p>
          <w:p>
            <w:pPr>
              <w:jc w:val="center"/>
            </w:pPr>
            <w:r>
              <w:rPr>
                <w:rFonts w:ascii="Arial" w:cs="Arial" w:eastAsia="Arial" w:hAnsi="Arial"/>
                <w:color w:val="AACCEE"/>
                <w:sz w:val="18"/>
                <w:szCs w:val="18"/>
              </w:rPr>
              <w:t xml:space="preserve">by Month 18</w:t>
            </w:r>
          </w:p>
        </w:tc>
        <w:tc>
          <w:tcPr>
            <w:tcW w:type="dxa" w:w="3120"/>
            <w:tcBorders>
              <w:top w:val="none" w:color="FFFFFF" w:sz="0"/>
              <w:left w:val="none" w:color="FFFFFF" w:sz="0"/>
              <w:bottom w:val="none" w:color="FFFFFF" w:sz="0"/>
              <w:right w:val="none" w:color="FFFFFF" w:sz="0"/>
            </w:tcBorders>
            <w:shd w:fill="1A7A4A" w:val="clear"/>
            <w:tcMar>
              <w:top w:type="dxa" w:w="140"/>
              <w:left w:type="dxa" w:w="180"/>
              <w:bottom w:type="dxa" w:w="140"/>
              <w:right w:type="dxa" w:w="180"/>
            </w:tcMar>
          </w:tcPr>
          <w:p>
            <w:pPr>
              <w:jc w:val="center"/>
            </w:pPr>
            <w:r>
              <w:rPr>
                <w:rFonts w:ascii="Arial" w:cs="Arial" w:eastAsia="Arial" w:hAnsi="Arial"/>
                <w:b/>
                <w:bCs/>
                <w:color w:val="FFFFFF"/>
                <w:sz w:val="22"/>
                <w:szCs w:val="22"/>
              </w:rPr>
              <w:t xml:space="preserve">Top-Down Sales</w:t>
            </w:r>
          </w:p>
          <w:p>
            <w:pPr>
              <w:jc w:val="center"/>
            </w:pPr>
            <w:r>
              <w:rPr>
                <w:rFonts w:ascii="Arial" w:cs="Arial" w:eastAsia="Arial" w:hAnsi="Arial"/>
                <w:color w:val="AAEEBB"/>
                <w:sz w:val="18"/>
                <w:szCs w:val="18"/>
              </w:rPr>
              <w:t xml:space="preserve">Enterprise first</w:t>
            </w:r>
          </w:p>
        </w:tc>
        <w:tc>
          <w:tcPr>
            <w:tcW w:type="dxa" w:w="3120"/>
            <w:tcBorders>
              <w:top w:val="none" w:color="FFFFFF" w:sz="0"/>
              <w:left w:val="none" w:color="FFFFFF" w:sz="0"/>
              <w:bottom w:val="none" w:color="FFFFFF" w:sz="0"/>
              <w:right w:val="none" w:color="FFFFFF" w:sz="0"/>
            </w:tcBorders>
            <w:shd w:fill="3D1A6E" w:val="clear"/>
            <w:tcMar>
              <w:top w:type="dxa" w:w="140"/>
              <w:left w:type="dxa" w:w="180"/>
              <w:bottom w:type="dxa" w:w="140"/>
              <w:right w:type="dxa" w:w="180"/>
            </w:tcMar>
          </w:tcPr>
          <w:p>
            <w:pPr>
              <w:jc w:val="center"/>
            </w:pPr>
            <w:r>
              <w:rPr>
                <w:rFonts w:ascii="Arial" w:cs="Arial" w:eastAsia="Arial" w:hAnsi="Arial"/>
                <w:b/>
                <w:bCs/>
                <w:color w:val="FFFFFF"/>
                <w:sz w:val="22"/>
                <w:szCs w:val="22"/>
              </w:rPr>
              <w:t xml:space="preserve">Ledger Network</w:t>
            </w:r>
          </w:p>
          <w:p>
            <w:pPr>
              <w:jc w:val="center"/>
            </w:pPr>
            <w:r>
              <w:rPr>
                <w:rFonts w:ascii="Arial" w:cs="Arial" w:eastAsia="Arial" w:hAnsi="Arial"/>
                <w:color w:val="CCAAEE"/>
                <w:sz w:val="18"/>
                <w:szCs w:val="18"/>
              </w:rPr>
              <w:t xml:space="preserve">Primary unlock</w:t>
            </w:r>
          </w:p>
        </w:tc>
      </w:tr>
    </w:tbl>
    <w:p>
      <w:r>
        <w:br w:type="page"/>
      </w:r>
    </w:p>
    <w:p>
      <w:pPr>
        <w:pStyle w:val="Heading1"/>
        <w:pBdr>
          <w:bottom w:val="single" w:color="2E75B6" w:sz="6" w:space="4"/>
        </w:pBdr>
        <w:spacing w:after="120" w:before="360"/>
      </w:pPr>
      <w:r>
        <w:rPr>
          <w:rFonts w:ascii="Arial" w:cs="Arial" w:eastAsia="Arial" w:hAnsi="Arial"/>
          <w:b/>
          <w:bCs/>
          <w:color w:val="1B3A6B"/>
          <w:sz w:val="32"/>
          <w:szCs w:val="32"/>
        </w:rPr>
        <w:t xml:space="preserve">1. Our Position — Honest Assessment</w:t>
      </w:r>
    </w:p>
    <w:p>
      <w:pPr>
        <w:spacing w:after="80" w:before="60"/>
      </w:pPr>
      <w:r>
        <w:rPr>
          <w:rFonts w:ascii="Arial" w:cs="Arial" w:eastAsia="Arial" w:hAnsi="Arial"/>
          <w:color w:val="222222"/>
          <w:sz w:val="22"/>
          <w:szCs w:val="22"/>
        </w:rPr>
        <w:t xml:space="preserve">Before we can sell anything we have to be clear-eyed about what we are and are not walking into this market with. Our strengths are real but our challenges are equally real. This section is the foundation for every sales and marketing decision that follows.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1A7A4A" w:val="clear"/>
            <w:tcMar>
              <w:top w:type="dxa" w:w="100"/>
              <w:left w:type="dxa" w:w="160"/>
              <w:bottom w:type="dxa" w:w="100"/>
              <w:right w:type="dxa" w:w="160"/>
            </w:tcMar>
          </w:tcPr>
          <w:p>
            <w:r>
              <w:rPr>
                <w:rFonts w:ascii="Arial" w:cs="Arial" w:eastAsia="Arial" w:hAnsi="Arial"/>
                <w:b/>
                <w:bCs/>
                <w:color w:val="FFFFFF"/>
                <w:sz w:val="22"/>
                <w:szCs w:val="22"/>
              </w:rPr>
              <w:t xml:space="preserve">What We Have</w:t>
            </w:r>
          </w:p>
        </w:tc>
        <w:tc>
          <w:tcPr>
            <w:tcW w:type="dxa" w:w="4680"/>
            <w:tcBorders>
              <w:top w:val="none" w:color="FFFFFF" w:sz="0"/>
              <w:left w:val="none" w:color="FFFFFF" w:sz="0"/>
              <w:bottom w:val="none" w:color="FFFFFF" w:sz="0"/>
              <w:right w:val="none" w:color="FFFFFF" w:sz="0"/>
            </w:tcBorders>
            <w:shd w:fill="8B2000" w:val="clear"/>
            <w:tcMar>
              <w:top w:type="dxa" w:w="100"/>
              <w:left w:type="dxa" w:w="160"/>
              <w:bottom w:type="dxa" w:w="100"/>
              <w:right w:type="dxa" w:w="160"/>
            </w:tcMar>
          </w:tcPr>
          <w:p>
            <w:r>
              <w:rPr>
                <w:rFonts w:ascii="Arial" w:cs="Arial" w:eastAsia="Arial" w:hAnsi="Arial"/>
                <w:b/>
                <w:bCs/>
                <w:color w:val="FFFFFF"/>
                <w:sz w:val="22"/>
                <w:szCs w:val="22"/>
              </w:rPr>
              <w:t xml:space="preserve">What We Don't Have</w:t>
            </w:r>
          </w:p>
        </w:tc>
      </w:tr>
      <w:tr>
        <w:tc>
          <w:tcPr>
            <w:tcW w:type="dxa" w:w="4680"/>
            <w:tcBorders>
              <w:top w:val="none" w:color="FFFFFF" w:sz="0"/>
              <w:left w:val="none" w:color="FFFFFF" w:sz="0"/>
              <w:bottom w:val="none" w:color="FFFFFF" w:sz="0"/>
              <w:right w:val="none" w:color="FFFFFF" w:sz="0"/>
            </w:tcBorders>
            <w:shd w:fill="D6F0E0" w:val="clear"/>
            <w:tcMar>
              <w:top w:type="dxa" w:w="120"/>
              <w:left w:type="dxa" w:w="160"/>
              <w:bottom w:type="dxa" w:w="120"/>
              <w:right w:type="dxa" w:w="160"/>
            </w:tcMar>
          </w:tcPr>
          <w:p>
            <w:pPr>
              <w:pStyle w:val="ListParagraph"/>
              <w:numPr>
                <w:ilvl w:val="0"/>
                <w:numId w:val="2"/>
              </w:numPr>
              <w:spacing w:after="40" w:before="0"/>
            </w:pPr>
            <w:r>
              <w:rPr>
                <w:rFonts w:ascii="Arial" w:cs="Arial" w:eastAsia="Arial" w:hAnsi="Arial"/>
                <w:color w:val="1A3A2A"/>
                <w:sz w:val="20"/>
                <w:szCs w:val="20"/>
              </w:rPr>
              <w:t xml:space="preserve">3.6TB unutilized RAM — can launch a 7-node fleet today</w:t>
            </w:r>
          </w:p>
          <w:p>
            <w:pPr>
              <w:pStyle w:val="ListParagraph"/>
              <w:numPr>
                <w:ilvl w:val="0"/>
                <w:numId w:val="2"/>
              </w:numPr>
              <w:spacing w:after="40" w:before="0"/>
            </w:pPr>
            <w:r>
              <w:rPr>
                <w:rFonts w:ascii="Arial" w:cs="Arial" w:eastAsia="Arial" w:hAnsi="Arial"/>
                <w:color w:val="1A3A2A"/>
                <w:sz w:val="20"/>
                <w:szCs w:val="20"/>
              </w:rPr>
              <w:t xml:space="preserve">Existing data center operations — we speak the enterprise infrastructure language</w:t>
            </w:r>
          </w:p>
          <w:p>
            <w:pPr>
              <w:pStyle w:val="ListParagraph"/>
              <w:numPr>
                <w:ilvl w:val="0"/>
                <w:numId w:val="2"/>
              </w:numPr>
              <w:spacing w:after="40" w:before="0"/>
            </w:pPr>
            <w:r>
              <w:rPr>
                <w:rFonts w:ascii="Arial" w:cs="Arial" w:eastAsia="Arial" w:hAnsi="Arial"/>
                <w:color w:val="1A3A2A"/>
                <w:sz w:val="20"/>
                <w:szCs w:val="20"/>
              </w:rPr>
              <w:t xml:space="preserve">Cybersecurity business + SOC 2 posture — answers the compliance question competitors can't</w:t>
            </w:r>
          </w:p>
          <w:p>
            <w:pPr>
              <w:pStyle w:val="ListParagraph"/>
              <w:numPr>
                <w:ilvl w:val="0"/>
                <w:numId w:val="2"/>
              </w:numPr>
              <w:spacing w:after="40" w:before="0"/>
            </w:pPr>
            <w:r>
              <w:rPr>
                <w:rFonts w:ascii="Arial" w:cs="Arial" w:eastAsia="Arial" w:hAnsi="Arial"/>
                <w:color w:val="1A3A2A"/>
                <w:sz w:val="20"/>
                <w:szCs w:val="20"/>
              </w:rPr>
              <w:t xml:space="preserve">Ledger as an existing client — a warm door into the most important network in this market</w:t>
            </w:r>
          </w:p>
          <w:p>
            <w:pPr>
              <w:pStyle w:val="ListParagraph"/>
              <w:numPr>
                <w:ilvl w:val="0"/>
                <w:numId w:val="2"/>
              </w:numPr>
              <w:spacing w:after="0" w:before="0"/>
            </w:pPr>
            <w:r>
              <w:rPr>
                <w:rFonts w:ascii="Arial" w:cs="Arial" w:eastAsia="Arial" w:hAnsi="Arial"/>
                <w:color w:val="1A3A2A"/>
                <w:sz w:val="20"/>
                <w:szCs w:val="20"/>
              </w:rPr>
              <w:t xml:space="preserve">Capital to self-fund — no investor pressure, no forced growth timeline</w:t>
            </w:r>
          </w:p>
        </w:tc>
        <w:tc>
          <w:tcPr>
            <w:tcW w:type="dxa" w:w="4680"/>
            <w:tcBorders>
              <w:top w:val="none" w:color="FFFFFF" w:sz="0"/>
              <w:left w:val="none" w:color="FFFFFF" w:sz="0"/>
              <w:bottom w:val="none" w:color="FFFFFF" w:sz="0"/>
              <w:right w:val="none" w:color="FFFFFF" w:sz="0"/>
            </w:tcBorders>
            <w:shd w:fill="FAE0E0" w:val="clear"/>
            <w:tcMar>
              <w:top w:type="dxa" w:w="120"/>
              <w:left w:type="dxa" w:w="160"/>
              <w:bottom w:type="dxa" w:w="120"/>
              <w:right w:type="dxa" w:w="160"/>
            </w:tcMar>
          </w:tcPr>
          <w:p>
            <w:pPr>
              <w:pStyle w:val="ListParagraph"/>
              <w:numPr>
                <w:ilvl w:val="0"/>
                <w:numId w:val="2"/>
              </w:numPr>
              <w:spacing w:after="40" w:before="0"/>
            </w:pPr>
            <w:r>
              <w:rPr>
                <w:rFonts w:ascii="Arial" w:cs="Arial" w:eastAsia="Arial" w:hAnsi="Arial"/>
                <w:color w:val="4A1A1A"/>
                <w:sz w:val="20"/>
                <w:szCs w:val="20"/>
              </w:rPr>
              <w:t xml:space="preserve">No crypto Twitter presence — we are unknown in the developer community</w:t>
            </w:r>
          </w:p>
          <w:p>
            <w:pPr>
              <w:pStyle w:val="ListParagraph"/>
              <w:numPr>
                <w:ilvl w:val="0"/>
                <w:numId w:val="2"/>
              </w:numPr>
              <w:spacing w:after="40" w:before="0"/>
            </w:pPr>
            <w:r>
              <w:rPr>
                <w:rFonts w:ascii="Arial" w:cs="Arial" w:eastAsia="Arial" w:hAnsi="Arial"/>
                <w:color w:val="4A1A1A"/>
                <w:sz w:val="20"/>
                <w:szCs w:val="20"/>
              </w:rPr>
              <w:t xml:space="preserve">No track record on Solana specifically — must be earned</w:t>
            </w:r>
          </w:p>
          <w:p>
            <w:pPr>
              <w:pStyle w:val="ListParagraph"/>
              <w:numPr>
                <w:ilvl w:val="0"/>
                <w:numId w:val="2"/>
              </w:numPr>
              <w:spacing w:after="40" w:before="0"/>
            </w:pPr>
            <w:r>
              <w:rPr>
                <w:rFonts w:ascii="Arial" w:cs="Arial" w:eastAsia="Arial" w:hAnsi="Arial"/>
                <w:color w:val="4A1A1A"/>
                <w:sz w:val="20"/>
                <w:szCs w:val="20"/>
              </w:rPr>
              <w:t xml:space="preserve">No existing relationships with prop trading firms or DeFi protocols</w:t>
            </w:r>
          </w:p>
          <w:p>
            <w:pPr>
              <w:pStyle w:val="ListParagraph"/>
              <w:numPr>
                <w:ilvl w:val="0"/>
                <w:numId w:val="2"/>
              </w:numPr>
              <w:spacing w:after="40" w:before="0"/>
            </w:pPr>
            <w:r>
              <w:rPr>
                <w:rFonts w:ascii="Arial" w:cs="Arial" w:eastAsia="Arial" w:hAnsi="Arial"/>
                <w:color w:val="4A1A1A"/>
                <w:sz w:val="20"/>
                <w:szCs w:val="20"/>
              </w:rPr>
              <w:t xml:space="preserve">No developer community — can't rely on organic word-of-mouth initially</w:t>
            </w:r>
          </w:p>
          <w:p>
            <w:pPr>
              <w:pStyle w:val="ListParagraph"/>
              <w:numPr>
                <w:ilvl w:val="0"/>
                <w:numId w:val="2"/>
              </w:numPr>
              <w:spacing w:after="0" w:before="0"/>
            </w:pPr>
            <w:r>
              <w:rPr>
                <w:rFonts w:ascii="Arial" w:cs="Arial" w:eastAsia="Arial" w:hAnsi="Arial"/>
                <w:color w:val="4A1A1A"/>
                <w:sz w:val="20"/>
                <w:szCs w:val="20"/>
              </w:rPr>
              <w:t xml:space="preserve">No Solana-specific case studies or proof points — yet</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A6E" w:sz="3"/>
              <w:left w:val="single" w:color="3D1A6E" w:sz="14"/>
              <w:bottom w:val="single" w:color="3D1A6E" w:sz="3"/>
              <w:right w:val="single" w:color="3D1A6E" w:sz="3"/>
            </w:tcBorders>
            <w:shd w:fill="EDE0FA" w:val="clear"/>
            <w:tcMar>
              <w:top w:type="dxa" w:w="120"/>
              <w:left w:type="dxa" w:w="220"/>
              <w:bottom w:type="dxa" w:w="120"/>
              <w:right w:type="dxa" w:w="220"/>
            </w:tcMar>
          </w:tcPr>
          <w:p>
            <w:pPr>
              <w:spacing w:after="60" w:before="0"/>
            </w:pPr>
            <w:r>
              <w:rPr>
                <w:rFonts w:ascii="Arial" w:cs="Arial" w:eastAsia="Arial" w:hAnsi="Arial"/>
                <w:b/>
                <w:bCs/>
                <w:color w:val="3D1A6E"/>
                <w:sz w:val="22"/>
                <w:szCs w:val="22"/>
              </w:rPr>
              <w:t xml:space="preserve">◆  The Strategic Implication</w:t>
            </w:r>
          </w:p>
          <w:p>
            <w:pPr>
              <w:spacing w:after="0" w:before="0"/>
            </w:pPr>
            <w:r>
              <w:rPr>
                <w:rFonts w:ascii="Arial" w:cs="Arial" w:eastAsia="Arial" w:hAnsi="Arial"/>
                <w:color w:val="222222"/>
                <w:sz w:val="20"/>
                <w:szCs w:val="20"/>
              </w:rPr>
              <w:t xml:space="preserve">Our weaknesses are all community and credibility-related — things that take time to build. Our strengths are all infrastructure and relationships. The GTM strategy must therefore lead with our strengths: go where enterprise credibility and security expertise are the deciding factors, not where influencer reach or community presence wins. That means top-down, relationship-driven sales to enterprise and institutional buyers — not bottom-up developer community growth. At least for the first 12 months.</w:t>
            </w:r>
          </w:p>
        </w:tc>
      </w:tr>
    </w:tbl>
    <w:p>
      <w:r>
        <w:br w:type="page"/>
      </w:r>
    </w:p>
    <w:p>
      <w:pPr>
        <w:pStyle w:val="Heading1"/>
        <w:pBdr>
          <w:bottom w:val="single" w:color="2E75B6" w:sz="6" w:space="4"/>
        </w:pBdr>
        <w:spacing w:after="120" w:before="360"/>
      </w:pPr>
      <w:r>
        <w:rPr>
          <w:rFonts w:ascii="Arial" w:cs="Arial" w:eastAsia="Arial" w:hAnsi="Arial"/>
          <w:b/>
          <w:bCs/>
          <w:color w:val="1B3A6B"/>
          <w:sz w:val="32"/>
          <w:szCs w:val="32"/>
        </w:rPr>
        <w:t xml:space="preserve">2. Positioning &amp; Messaging</w:t>
      </w:r>
    </w:p>
    <w:p>
      <w:pPr>
        <w:pStyle w:val="Heading2"/>
        <w:spacing w:after="100" w:before="280"/>
      </w:pPr>
      <w:r>
        <w:rPr>
          <w:rFonts w:ascii="Arial" w:cs="Arial" w:eastAsia="Arial" w:hAnsi="Arial"/>
          <w:b/>
          <w:bCs/>
          <w:color w:val="2E75B6"/>
          <w:sz w:val="26"/>
          <w:szCs w:val="26"/>
        </w:rPr>
        <w:t xml:space="preserve">2.1 — Our Position in One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300"/>
              <w:bottom w:type="dxa" w:w="200"/>
              <w:right w:type="dxa" w:w="300"/>
            </w:tcMar>
          </w:tcPr>
          <w:p>
            <w:pPr>
              <w:jc w:val="center"/>
            </w:pPr>
            <w:r>
              <w:rPr>
                <w:rFonts w:ascii="Arial" w:cs="Arial" w:eastAsia="Arial" w:hAnsi="Arial"/>
                <w:b/>
                <w:bCs/>
                <w:color w:val="FFFFFF"/>
                <w:sz w:val="24"/>
                <w:szCs w:val="24"/>
              </w:rPr>
              <w:t xml:space="preserve">"The first Solana infrastructure provider built by enterprise operators —
not by crypto developers who learned infrastructure along the way."</w:t>
            </w:r>
          </w:p>
        </w:tc>
      </w:tr>
    </w:tbl>
    <w:p>
      <w:pPr>
        <w:spacing w:after="0" w:before="160"/>
      </w:pPr>
      <w:r>
        <w:t xml:space="preserve"/>
      </w:r>
    </w:p>
    <w:p>
      <w:pPr>
        <w:pStyle w:val="Heading2"/>
        <w:spacing w:after="100" w:before="280"/>
      </w:pPr>
      <w:r>
        <w:rPr>
          <w:rFonts w:ascii="Arial" w:cs="Arial" w:eastAsia="Arial" w:hAnsi="Arial"/>
          <w:b/>
          <w:bCs/>
          <w:color w:val="2E75B6"/>
          <w:sz w:val="26"/>
          <w:szCs w:val="26"/>
        </w:rPr>
        <w:t xml:space="preserve">2.2 — What This Means in a Sales Conversation</w:t>
      </w:r>
    </w:p>
    <w:p>
      <w:pPr>
        <w:spacing w:after="80" w:before="60"/>
      </w:pPr>
      <w:r>
        <w:rPr>
          <w:rFonts w:ascii="Arial" w:cs="Arial" w:eastAsia="Arial" w:hAnsi="Arial"/>
          <w:color w:val="222222"/>
          <w:sz w:val="22"/>
          <w:szCs w:val="22"/>
        </w:rPr>
        <w:t xml:space="preserve">When a prospect asks 'why should we use you instead of Helius or QuickNode?', the answer is not about technical features — they are all technically comparable at a surface level. The answer is about what kind of company is running the infrastructure your business depends 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Their Question</w:t>
            </w:r>
          </w:p>
        </w:tc>
        <w:tc>
          <w:tcPr>
            <w:tcW w:type="dxa" w:w="65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Our Answer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Why not Helius?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Helius is a Solana product company that happens to run infrastructure. We are an infrastructure company that serves the Solana ecosystem. If your security team or board asks 'who is this vendor?', we have a 10-year track record answering that question. Helius does not.</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Why not QuickNode?</w:t>
            </w:r>
          </w:p>
        </w:tc>
        <w:tc>
          <w:tcPr>
            <w:tcW w:type="dxa" w:w="6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QuickNode treats Solana as one of 60+ chains. For them, Solana is a line item. For us, it is the core product. You will never be deprioritized because Ethereum is having a busy week.</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Why not Triton?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Triton is the best performance-only option. They are 15 people, no free tier, no onboarding support, no SLA documentation, no compliance posture. If you need a vendor relationship with an actual company behind it, that is us.</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Why should I trust a new entrant?</w:t>
            </w:r>
          </w:p>
        </w:tc>
        <w:tc>
          <w:tcPr>
            <w:tcW w:type="dxa" w:w="6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We are not new to infrastructure — we have been running data centers and security operations for a decade. We are new to Solana specifically. That is why we are offering a risk-free proof of concept to enterprise clients before you commit to anything.</w:t>
            </w:r>
          </w:p>
        </w:tc>
      </w:tr>
    </w:tbl>
    <w:p>
      <w:pPr>
        <w:spacing w:after="0" w:before="160"/>
      </w:pPr>
      <w:r>
        <w:t xml:space="preserve"/>
      </w:r>
    </w:p>
    <w:p>
      <w:pPr>
        <w:pStyle w:val="Heading2"/>
        <w:spacing w:after="100" w:before="280"/>
      </w:pPr>
      <w:r>
        <w:rPr>
          <w:rFonts w:ascii="Arial" w:cs="Arial" w:eastAsia="Arial" w:hAnsi="Arial"/>
          <w:b/>
          <w:bCs/>
          <w:color w:val="2E75B6"/>
          <w:sz w:val="26"/>
          <w:szCs w:val="26"/>
        </w:rPr>
        <w:t xml:space="preserve">2.3 — Messaging by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Audience</w:t>
            </w:r>
          </w:p>
        </w:tc>
        <w:tc>
          <w:tcPr>
            <w:tcW w:type="dxa" w:w="26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Their Primary Fear</w:t>
            </w:r>
          </w:p>
        </w:tc>
        <w:tc>
          <w:tcPr>
            <w:tcW w:type="dxa" w:w="45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Our Message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Security / Compliance teams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Vendor introduces risk we haven't assessed</w:t>
            </w:r>
          </w:p>
        </w:tc>
        <w:tc>
          <w:tcPr>
            <w:tcW w:type="dxa" w:w="4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We are a SOC 2-compliant cybersecurity company. We have more compliance documentation than any other RPC provider. We will answer every security questionnaire.</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Infrastructure / DevOps leads</w:t>
            </w:r>
          </w:p>
        </w:tc>
        <w:tc>
          <w:tcPr>
            <w:tcW w:type="dxa" w:w="2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Provider goes down during a critical event</w:t>
            </w:r>
          </w:p>
        </w:tc>
        <w:tc>
          <w:tcPr>
            <w:tcW w:type="dxa" w:w="4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We run enterprise data centers. We have runbooks, redundancy, and 24/7 monitoring. When Helius had capacity issues during the Trump token launch, we were not affected.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CTOs / Engineering leadership</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Switching costs and lock-in</w:t>
            </w:r>
          </w:p>
        </w:tc>
        <w:tc>
          <w:tcPr>
            <w:tcW w:type="dxa" w:w="4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Our API is drop-in compatible with any existing Solana RPC provider. Migration is a URL swap. We can run in parallel with your current provider for 30 days before you commit.</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CFOs / Finance</w:t>
            </w:r>
          </w:p>
        </w:tc>
        <w:tc>
          <w:tcPr>
            <w:tcW w:type="dxa" w:w="2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Unpredictable usage-based billing</w:t>
            </w:r>
          </w:p>
        </w:tc>
        <w:tc>
          <w:tcPr>
            <w:tcW w:type="dxa" w:w="4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We offer fixed-price dedicated nodes with no per-request charges. You know your infrastructure cost on day one of the month.</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Prop traders / Quant funds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Latency disadvantage vs competitors</w:t>
            </w:r>
          </w:p>
        </w:tc>
        <w:tc>
          <w:tcPr>
            <w:tcW w:type="dxa" w:w="4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Dedicated bare-metal node in our Las Vegas facility with your traffic only. No noisy neighbors. Geographically positioned for US Western market access.</w:t>
            </w:r>
          </w:p>
        </w:tc>
      </w:tr>
    </w:tbl>
    <w:p>
      <w:r>
        <w:br w:type="page"/>
      </w:r>
    </w:p>
    <w:p>
      <w:pPr>
        <w:pStyle w:val="Heading1"/>
        <w:pBdr>
          <w:bottom w:val="single" w:color="2E75B6" w:sz="6" w:space="4"/>
        </w:pBdr>
        <w:spacing w:after="120" w:before="360"/>
      </w:pPr>
      <w:r>
        <w:rPr>
          <w:rFonts w:ascii="Arial" w:cs="Arial" w:eastAsia="Arial" w:hAnsi="Arial"/>
          <w:b/>
          <w:bCs/>
          <w:color w:val="1B3A6B"/>
          <w:sz w:val="32"/>
          <w:szCs w:val="32"/>
        </w:rPr>
        <w:t xml:space="preserve">3. Ideal Customer Profile (ICP)</w:t>
      </w:r>
    </w:p>
    <w:p>
      <w:pPr>
        <w:spacing w:after="80" w:before="60"/>
      </w:pPr>
      <w:r>
        <w:rPr>
          <w:rFonts w:ascii="Arial" w:cs="Arial" w:eastAsia="Arial" w:hAnsi="Arial"/>
          <w:color w:val="222222"/>
          <w:sz w:val="22"/>
          <w:szCs w:val="22"/>
        </w:rPr>
        <w:t xml:space="preserve">We have three distinct ICPs representing different revenue profiles and different sales motions. We prioritize in this order: Tier 1 first (highest ACV, longest retention, most aligned to our strengths), then Tier 2, then Tier 3.</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60"/>
              <w:bottom w:type="dxa" w:w="160"/>
              <w:right w:type="dxa" w:w="260"/>
            </w:tcMar>
          </w:tcPr>
          <w:p>
            <w:pPr>
              <w:spacing w:after="60" w:before="0"/>
            </w:pPr>
            <w:r>
              <w:rPr>
                <w:rFonts w:ascii="Arial" w:cs="Arial" w:eastAsia="Arial" w:hAnsi="Arial"/>
                <w:b/>
                <w:bCs/>
                <w:color w:val="FFFFFF"/>
                <w:sz w:val="30"/>
                <w:szCs w:val="30"/>
              </w:rPr>
              <w:t xml:space="preserve">TIER 1 — ENTERPRISE &amp; INSTITUTIONAL</w:t>
            </w:r>
          </w:p>
          <w:p>
            <w:pPr>
              <w:spacing w:after="0" w:before="0"/>
            </w:pPr>
            <w:r>
              <w:rPr>
                <w:rFonts w:ascii="Arial" w:cs="Arial" w:eastAsia="Arial" w:hAnsi="Arial"/>
                <w:i/>
                <w:iCs/>
                <w:color w:val="BBDDFF"/>
                <w:sz w:val="20"/>
                <w:szCs w:val="20"/>
              </w:rPr>
              <w:t xml:space="preserve">Primary target. Top-down sales. ACV $24K–$240K+</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1B3A6B" w:val="clear"/>
            <w:tcMar>
              <w:top w:type="dxa" w:w="140"/>
              <w:left w:type="dxa" w:w="180"/>
              <w:bottom w:type="dxa" w:w="140"/>
              <w:right w:type="dxa" w:w="180"/>
            </w:tcMar>
          </w:tcPr>
          <w:p>
            <w:pPr>
              <w:spacing w:after="60" w:before="0"/>
            </w:pPr>
            <w:r>
              <w:rPr>
                <w:rFonts w:ascii="Arial" w:cs="Arial" w:eastAsia="Arial" w:hAnsi="Arial"/>
                <w:b/>
                <w:bCs/>
                <w:color w:val="CCDDFF"/>
                <w:sz w:val="18"/>
                <w:szCs w:val="18"/>
              </w:rPr>
              <w:t xml:space="preserve">ICP TIER 1A</w:t>
            </w:r>
          </w:p>
          <w:p>
            <w:pPr>
              <w:spacing w:after="0" w:before="0"/>
            </w:pPr>
            <w:r>
              <w:rPr>
                <w:rFonts w:ascii="Arial" w:cs="Arial" w:eastAsia="Arial" w:hAnsi="Arial"/>
                <w:b/>
                <w:bCs/>
                <w:color w:val="FFFFFF"/>
                <w:sz w:val="24"/>
                <w:szCs w:val="24"/>
              </w:rPr>
              <w:t xml:space="preserve">Crypto Exchanges &amp; Custodians</w:t>
            </w:r>
          </w:p>
        </w:tc>
        <w:tc>
          <w:tcPr>
            <w:tcW w:type="dxa" w:w="6960"/>
            <w:tcBorders>
              <w:top w:val="none" w:color="FFFFFF" w:sz="0"/>
              <w:left w:val="none" w:color="FFFFFF" w:sz="0"/>
              <w:bottom w:val="none" w:color="FFFFFF" w:sz="0"/>
              <w:right w:val="none" w:color="FFFFFF" w:sz="0"/>
            </w:tcBorders>
            <w:shd w:fill="D5E8F0" w:val="clear"/>
            <w:tcMar>
              <w:top w:type="dxa" w:w="140"/>
              <w:left w:type="dxa" w:w="200"/>
              <w:bottom w:type="dxa" w:w="140"/>
              <w:right w:type="dxa" w:w="180"/>
            </w:tcMar>
          </w:tcPr>
          <w:p>
            <w:pPr>
              <w:spacing w:after="0" w:before="0"/>
            </w:pPr>
            <w:r>
              <w:rPr>
                <w:rFonts w:ascii="Arial" w:cs="Arial" w:eastAsia="Arial" w:hAnsi="Arial"/>
                <w:i/>
                <w:iCs/>
                <w:color w:val="1A2A4A"/>
                <w:sz w:val="21"/>
                <w:szCs w:val="21"/>
              </w:rPr>
              <w:t xml:space="preserve">Regulated financial entities offering crypto trading, custody, or settlement services to retail or institutional clients. Require SOC 2, legal contracts, vendor risk assessments.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Firmographics</w:t>
            </w:r>
          </w:p>
        </w:tc>
        <w:tc>
          <w:tcPr>
            <w:tcW w:type="dxa" w:w="312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Buying Signals</w:t>
            </w:r>
          </w:p>
        </w:tc>
        <w:tc>
          <w:tcPr>
            <w:tcW w:type="dxa" w:w="312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Approach</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50–2,000 employees. Series B+. Regulatory presence. Existing traditional financial relationships. Examples: Coinbase, Kraken, Bitget, Bullish, Hidden Road, FalconX, Copper.co, Anchorage Digital.</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Processing millions of Solana transactions. Existing RPC vendor relationship. Security questionnaire processes. Compliance or legal team involvement in vendor decisions.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Warm intro via Ledger network. LinkedIn outreach to VP Engineering or Head of Infrastructure. Lead with compliance posture and SOC 2. Offer 30-day parallel trial.</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1E5A9C" w:val="clear"/>
            <w:tcMar>
              <w:top w:type="dxa" w:w="140"/>
              <w:left w:type="dxa" w:w="180"/>
              <w:bottom w:type="dxa" w:w="140"/>
              <w:right w:type="dxa" w:w="180"/>
            </w:tcMar>
          </w:tcPr>
          <w:p>
            <w:pPr>
              <w:spacing w:after="60" w:before="0"/>
            </w:pPr>
            <w:r>
              <w:rPr>
                <w:rFonts w:ascii="Arial" w:cs="Arial" w:eastAsia="Arial" w:hAnsi="Arial"/>
                <w:b/>
                <w:bCs/>
                <w:color w:val="CCDDFF"/>
                <w:sz w:val="18"/>
                <w:szCs w:val="18"/>
              </w:rPr>
              <w:t xml:space="preserve">ICP TIER 1B</w:t>
            </w:r>
          </w:p>
          <w:p>
            <w:pPr>
              <w:spacing w:after="0" w:before="0"/>
            </w:pPr>
            <w:r>
              <w:rPr>
                <w:rFonts w:ascii="Arial" w:cs="Arial" w:eastAsia="Arial" w:hAnsi="Arial"/>
                <w:b/>
                <w:bCs/>
                <w:color w:val="FFFFFF"/>
                <w:sz w:val="24"/>
                <w:szCs w:val="24"/>
              </w:rPr>
              <w:t xml:space="preserve">Crypto-Enabled Fintech &amp; Payment Co's</w:t>
            </w:r>
          </w:p>
        </w:tc>
        <w:tc>
          <w:tcPr>
            <w:tcW w:type="dxa" w:w="6960"/>
            <w:tcBorders>
              <w:top w:val="none" w:color="FFFFFF" w:sz="0"/>
              <w:left w:val="none" w:color="FFFFFF" w:sz="0"/>
              <w:bottom w:val="none" w:color="FFFFFF" w:sz="0"/>
              <w:right w:val="none" w:color="FFFFFF" w:sz="0"/>
            </w:tcBorders>
            <w:shd w:fill="D5E8F0" w:val="clear"/>
            <w:tcMar>
              <w:top w:type="dxa" w:w="140"/>
              <w:left w:type="dxa" w:w="200"/>
              <w:bottom w:type="dxa" w:w="140"/>
              <w:right w:type="dxa" w:w="180"/>
            </w:tcMar>
          </w:tcPr>
          <w:p>
            <w:pPr>
              <w:spacing w:after="0" w:before="0"/>
            </w:pPr>
            <w:r>
              <w:rPr>
                <w:rFonts w:ascii="Arial" w:cs="Arial" w:eastAsia="Arial" w:hAnsi="Arial"/>
                <w:i/>
                <w:iCs/>
                <w:color w:val="1A2A4A"/>
                <w:sz w:val="21"/>
                <w:szCs w:val="21"/>
              </w:rPr>
              <w:t xml:space="preserve">Fintech companies that have added crypto rails to existing products — payments, remittance, banking-as-a-service. Often have enterprise compliance requirements but are moving fast.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Firmographics</w:t>
            </w:r>
          </w:p>
        </w:tc>
        <w:tc>
          <w:tcPr>
            <w:tcW w:type="dxa" w:w="312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Buying Signals</w:t>
            </w:r>
          </w:p>
        </w:tc>
        <w:tc>
          <w:tcPr>
            <w:tcW w:type="dxa" w:w="312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Approach</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20–500 employees. Well-funded (Series A–C). Have a compliance function. Crypto is a feature, not the whole product. Examples: Stripe (crypto team), Shopify (crypto payments), PayPal (crypto), Brex, Mercury, Lightspark.</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Recently launched or announced Solana support. Engineering blog posts about Solana integration. Job postings for Solana engineers. Attending Solana conferences.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Cold LinkedIn outreach to Head of Crypto or VP Engineering. Lead with 'We already serve [Ledger/relevant reference]. Here is how we handled their SOC 2 review.' Offer white-glove migration support.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0A5A5A" w:val="clear"/>
            <w:tcMar>
              <w:top w:type="dxa" w:w="140"/>
              <w:left w:type="dxa" w:w="180"/>
              <w:bottom w:type="dxa" w:w="140"/>
              <w:right w:type="dxa" w:w="180"/>
            </w:tcMar>
          </w:tcPr>
          <w:p>
            <w:pPr>
              <w:spacing w:after="60" w:before="0"/>
            </w:pPr>
            <w:r>
              <w:rPr>
                <w:rFonts w:ascii="Arial" w:cs="Arial" w:eastAsia="Arial" w:hAnsi="Arial"/>
                <w:b/>
                <w:bCs/>
                <w:color w:val="CCDDFF"/>
                <w:sz w:val="18"/>
                <w:szCs w:val="18"/>
              </w:rPr>
              <w:t xml:space="preserve">ICP TIER 1C</w:t>
            </w:r>
          </w:p>
          <w:p>
            <w:pPr>
              <w:spacing w:after="0" w:before="0"/>
            </w:pPr>
            <w:r>
              <w:rPr>
                <w:rFonts w:ascii="Arial" w:cs="Arial" w:eastAsia="Arial" w:hAnsi="Arial"/>
                <w:b/>
                <w:bCs/>
                <w:color w:val="FFFFFF"/>
                <w:sz w:val="24"/>
                <w:szCs w:val="24"/>
              </w:rPr>
              <w:t xml:space="preserve">Prop Trading &amp; Market Making Firms</w:t>
            </w:r>
          </w:p>
        </w:tc>
        <w:tc>
          <w:tcPr>
            <w:tcW w:type="dxa" w:w="6960"/>
            <w:tcBorders>
              <w:top w:val="none" w:color="FFFFFF" w:sz="0"/>
              <w:left w:val="none" w:color="FFFFFF" w:sz="0"/>
              <w:bottom w:val="none" w:color="FFFFFF" w:sz="0"/>
              <w:right w:val="none" w:color="FFFFFF" w:sz="0"/>
            </w:tcBorders>
            <w:shd w:fill="D5E8F0" w:val="clear"/>
            <w:tcMar>
              <w:top w:type="dxa" w:w="140"/>
              <w:left w:type="dxa" w:w="200"/>
              <w:bottom w:type="dxa" w:w="140"/>
              <w:right w:type="dxa" w:w="180"/>
            </w:tcMar>
          </w:tcPr>
          <w:p>
            <w:pPr>
              <w:spacing w:after="0" w:before="0"/>
            </w:pPr>
            <w:r>
              <w:rPr>
                <w:rFonts w:ascii="Arial" w:cs="Arial" w:eastAsia="Arial" w:hAnsi="Arial"/>
                <w:i/>
                <w:iCs/>
                <w:color w:val="1A2A4A"/>
                <w:sz w:val="21"/>
                <w:szCs w:val="21"/>
              </w:rPr>
              <w:t xml:space="preserve">Firms running quantitative or algorithmic trading strategies on Solana DEXs. Performance is existential — every millisecond costs real money. Infrastructure quality is a competitive edge.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Firmographics</w:t>
            </w:r>
          </w:p>
        </w:tc>
        <w:tc>
          <w:tcPr>
            <w:tcW w:type="dxa" w:w="312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Buying Signals</w:t>
            </w:r>
          </w:p>
        </w:tc>
        <w:tc>
          <w:tcPr>
            <w:tcW w:type="dxa" w:w="312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Approach</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5–100 employees. Profitable (not VC-funded typically). Very technical. Decision maker is often the Head of Quant or CTO directly. Examples: Wintermute, Jump Crypto, DRW Cumberland, Amber Group, GSR Markets, Flowdesk.</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Active on Solana DEXs (Orca, Raydium, Jupiter). Running MEV/arbitrage strategies. Job postings for Solana or Rust developers. Attending Solana events. Using Triton or Jito.</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Performance-first pitch. Offer dedicated node with guaranteed isolation. Provide latency benchmark data from our facility. Start with a hardware specs conversation — they speak that language.</w:t>
            </w:r>
          </w:p>
        </w:tc>
      </w:tr>
    </w:tbl>
    <w:p>
      <w:pPr>
        <w:spacing w:after="0" w:before="16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4A" w:val="clear"/>
            <w:tcMar>
              <w:top w:type="dxa" w:w="160"/>
              <w:left w:type="dxa" w:w="260"/>
              <w:bottom w:type="dxa" w:w="160"/>
              <w:right w:type="dxa" w:w="260"/>
            </w:tcMar>
          </w:tcPr>
          <w:p>
            <w:pPr>
              <w:spacing w:after="60" w:before="0"/>
            </w:pPr>
            <w:r>
              <w:rPr>
                <w:rFonts w:ascii="Arial" w:cs="Arial" w:eastAsia="Arial" w:hAnsi="Arial"/>
                <w:b/>
                <w:bCs/>
                <w:color w:val="FFFFFF"/>
                <w:sz w:val="30"/>
                <w:szCs w:val="30"/>
              </w:rPr>
              <w:t xml:space="preserve">TIER 2 — GROWTH-STAGE PROTOCOLS &amp; APPLICATIONS</w:t>
            </w:r>
          </w:p>
          <w:p>
            <w:pPr>
              <w:spacing w:after="0" w:before="0"/>
            </w:pPr>
            <w:r>
              <w:rPr>
                <w:rFonts w:ascii="Arial" w:cs="Arial" w:eastAsia="Arial" w:hAnsi="Arial"/>
                <w:i/>
                <w:iCs/>
                <w:color w:val="BBDDFF"/>
                <w:sz w:val="20"/>
                <w:szCs w:val="20"/>
              </w:rPr>
              <w:t xml:space="preserve">Mid-market. Product-led + sales-assisted. ACV $2.4K–$24K</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1A7A4A" w:val="clear"/>
            <w:tcMar>
              <w:top w:type="dxa" w:w="140"/>
              <w:left w:type="dxa" w:w="180"/>
              <w:bottom w:type="dxa" w:w="140"/>
              <w:right w:type="dxa" w:w="180"/>
            </w:tcMar>
          </w:tcPr>
          <w:p>
            <w:pPr>
              <w:spacing w:after="60" w:before="0"/>
            </w:pPr>
            <w:r>
              <w:rPr>
                <w:rFonts w:ascii="Arial" w:cs="Arial" w:eastAsia="Arial" w:hAnsi="Arial"/>
                <w:b/>
                <w:bCs/>
                <w:color w:val="CCDDFF"/>
                <w:sz w:val="18"/>
                <w:szCs w:val="18"/>
              </w:rPr>
              <w:t xml:space="preserve">ICP TIER 2A</w:t>
            </w:r>
          </w:p>
          <w:p>
            <w:pPr>
              <w:spacing w:after="0" w:before="0"/>
            </w:pPr>
            <w:r>
              <w:rPr>
                <w:rFonts w:ascii="Arial" w:cs="Arial" w:eastAsia="Arial" w:hAnsi="Arial"/>
                <w:b/>
                <w:bCs/>
                <w:color w:val="FFFFFF"/>
                <w:sz w:val="24"/>
                <w:szCs w:val="24"/>
              </w:rPr>
              <w:t xml:space="preserve">DeFi Protocols &amp; DEX Aggregators</w:t>
            </w:r>
          </w:p>
        </w:tc>
        <w:tc>
          <w:tcPr>
            <w:tcW w:type="dxa" w:w="6960"/>
            <w:tcBorders>
              <w:top w:val="none" w:color="FFFFFF" w:sz="0"/>
              <w:left w:val="none" w:color="FFFFFF" w:sz="0"/>
              <w:bottom w:val="none" w:color="FFFFFF" w:sz="0"/>
              <w:right w:val="none" w:color="FFFFFF" w:sz="0"/>
            </w:tcBorders>
            <w:shd w:fill="D5E8F0" w:val="clear"/>
            <w:tcMar>
              <w:top w:type="dxa" w:w="140"/>
              <w:left w:type="dxa" w:w="200"/>
              <w:bottom w:type="dxa" w:w="140"/>
              <w:right w:type="dxa" w:w="180"/>
            </w:tcMar>
          </w:tcPr>
          <w:p>
            <w:pPr>
              <w:spacing w:after="0" w:before="0"/>
            </w:pPr>
            <w:r>
              <w:rPr>
                <w:rFonts w:ascii="Arial" w:cs="Arial" w:eastAsia="Arial" w:hAnsi="Arial"/>
                <w:i/>
                <w:iCs/>
                <w:color w:val="1A2A4A"/>
                <w:sz w:val="21"/>
                <w:szCs w:val="21"/>
              </w:rPr>
              <w:t xml:space="preserve">Teams building financial primitives on Solana: lending protocols, DEXs, yield aggregators, derivatives platforms. High transaction volume, reliability is mission-critical.</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Firmographics</w:t>
            </w:r>
          </w:p>
        </w:tc>
        <w:tc>
          <w:tcPr>
            <w:tcW w:type="dxa" w:w="312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Buying Signals</w:t>
            </w:r>
          </w:p>
        </w:tc>
        <w:tc>
          <w:tcPr>
            <w:tcW w:type="dxa" w:w="312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Approach</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5–50 person teams. VC-backed. Onchain presence measurable. Examples: Jupiter, Kamino, Drift Protocol, Marginfi, Meteora, Jito (not competitor), Orca.</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TVL growing. High daily transaction volume. Engineering blog posts. Hiring Solana infra engineers. Active on developer Discord and Solana forums.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Developer-first outreach via GitHub and Discord. Sponsor their events. Technical blog post on infrastructure reliability during peak load events. Offer volume discount in exchange for public case study.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1A7A4A" w:val="clear"/>
            <w:tcMar>
              <w:top w:type="dxa" w:w="140"/>
              <w:left w:type="dxa" w:w="180"/>
              <w:bottom w:type="dxa" w:w="140"/>
              <w:right w:type="dxa" w:w="180"/>
            </w:tcMar>
          </w:tcPr>
          <w:p>
            <w:pPr>
              <w:spacing w:after="60" w:before="0"/>
            </w:pPr>
            <w:r>
              <w:rPr>
                <w:rFonts w:ascii="Arial" w:cs="Arial" w:eastAsia="Arial" w:hAnsi="Arial"/>
                <w:b/>
                <w:bCs/>
                <w:color w:val="CCDDFF"/>
                <w:sz w:val="18"/>
                <w:szCs w:val="18"/>
              </w:rPr>
              <w:t xml:space="preserve">ICP TIER 2B</w:t>
            </w:r>
          </w:p>
          <w:p>
            <w:pPr>
              <w:spacing w:after="0" w:before="0"/>
            </w:pPr>
            <w:r>
              <w:rPr>
                <w:rFonts w:ascii="Arial" w:cs="Arial" w:eastAsia="Arial" w:hAnsi="Arial"/>
                <w:b/>
                <w:bCs/>
                <w:color w:val="FFFFFF"/>
                <w:sz w:val="24"/>
                <w:szCs w:val="24"/>
              </w:rPr>
              <w:t xml:space="preserve">Wallet Providers &amp; Portfolio Trackers</w:t>
            </w:r>
          </w:p>
        </w:tc>
        <w:tc>
          <w:tcPr>
            <w:tcW w:type="dxa" w:w="6960"/>
            <w:tcBorders>
              <w:top w:val="none" w:color="FFFFFF" w:sz="0"/>
              <w:left w:val="none" w:color="FFFFFF" w:sz="0"/>
              <w:bottom w:val="none" w:color="FFFFFF" w:sz="0"/>
              <w:right w:val="none" w:color="FFFFFF" w:sz="0"/>
            </w:tcBorders>
            <w:shd w:fill="D5E8F0" w:val="clear"/>
            <w:tcMar>
              <w:top w:type="dxa" w:w="140"/>
              <w:left w:type="dxa" w:w="200"/>
              <w:bottom w:type="dxa" w:w="140"/>
              <w:right w:type="dxa" w:w="180"/>
            </w:tcMar>
          </w:tcPr>
          <w:p>
            <w:pPr>
              <w:spacing w:after="0" w:before="0"/>
            </w:pPr>
            <w:r>
              <w:rPr>
                <w:rFonts w:ascii="Arial" w:cs="Arial" w:eastAsia="Arial" w:hAnsi="Arial"/>
                <w:i/>
                <w:iCs/>
                <w:color w:val="1A2A4A"/>
                <w:sz w:val="21"/>
                <w:szCs w:val="21"/>
              </w:rPr>
              <w:t xml:space="preserve">Consumer and developer wallet applications that query Solana state constantly for millions of users. Need high uptime and low latency on read operations, not necessarily write performance.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Firmographics</w:t>
            </w:r>
          </w:p>
        </w:tc>
        <w:tc>
          <w:tcPr>
            <w:tcW w:type="dxa" w:w="312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Buying Signals</w:t>
            </w:r>
          </w:p>
        </w:tc>
        <w:tc>
          <w:tcPr>
            <w:tcW w:type="dxa" w:w="312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Approach</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5–100 employees. VC-backed. Consumer-facing product. Large user base. Examples: Phantom, Backpack, Solflare, Exodus, Brave Wallet (Solana), Step Finance, Birdeye.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Growing user base (app store reviews, social following). Engineering blog mentions RPC reliability issues. Job postings for backend/infrastructure. Active on Twitter/X.</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Approach via developer community first. Offer enhanced account query APIs (faster than raw RPC). Reliability SLA as differentiator — wallet downtime is very visible to users.</w:t>
            </w:r>
          </w:p>
        </w:tc>
      </w:tr>
    </w:tbl>
    <w:p>
      <w:pPr>
        <w:spacing w:after="0" w:before="16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D1A6E" w:val="clear"/>
            <w:tcMar>
              <w:top w:type="dxa" w:w="160"/>
              <w:left w:type="dxa" w:w="260"/>
              <w:bottom w:type="dxa" w:w="160"/>
              <w:right w:type="dxa" w:w="260"/>
            </w:tcMar>
          </w:tcPr>
          <w:p>
            <w:pPr>
              <w:spacing w:after="60" w:before="0"/>
            </w:pPr>
            <w:r>
              <w:rPr>
                <w:rFonts w:ascii="Arial" w:cs="Arial" w:eastAsia="Arial" w:hAnsi="Arial"/>
                <w:b/>
                <w:bCs/>
                <w:color w:val="FFFFFF"/>
                <w:sz w:val="30"/>
                <w:szCs w:val="30"/>
              </w:rPr>
              <w:t xml:space="preserve">TIER 3 — DEVELOPERS &amp; BOT OPERATORS</w:t>
            </w:r>
          </w:p>
          <w:p>
            <w:pPr>
              <w:spacing w:after="0" w:before="0"/>
            </w:pPr>
            <w:r>
              <w:rPr>
                <w:rFonts w:ascii="Arial" w:cs="Arial" w:eastAsia="Arial" w:hAnsi="Arial"/>
                <w:i/>
                <w:iCs/>
                <w:color w:val="BBDDFF"/>
                <w:sz w:val="20"/>
                <w:szCs w:val="20"/>
              </w:rPr>
              <w:t xml:space="preserve">Volume play. Self-serve. ACV $600–$2,400</w:t>
            </w:r>
          </w:p>
        </w:tc>
      </w:tr>
    </w:tbl>
    <w:p>
      <w:pPr>
        <w:spacing w:after="0" w:before="100"/>
      </w:pPr>
      <w:r>
        <w:t xml:space="preserve"/>
      </w:r>
    </w:p>
    <w:p>
      <w:pPr>
        <w:spacing w:after="80" w:before="60"/>
      </w:pPr>
      <w:r>
        <w:rPr>
          <w:rFonts w:ascii="Arial" w:cs="Arial" w:eastAsia="Arial" w:hAnsi="Arial"/>
          <w:color w:val="222222"/>
          <w:sz w:val="22"/>
          <w:szCs w:val="22"/>
        </w:rPr>
        <w:t xml:space="preserve">Tier 3 customers are retail traders running bots, indie developers building tools, and early-stage projects. They are acquired through community presence and product-led growth rather than direct sales. They are not the priority in Year 1 but they represent long-term volume and word-of-mouth. The free tier and Starter plan ($49/mo) serve this segment. Do not assign sales resources here — let the product and community do the work.</w:t>
      </w:r>
    </w:p>
    <w:p>
      <w:r>
        <w:br w:type="page"/>
      </w:r>
    </w:p>
    <w:p>
      <w:pPr>
        <w:pStyle w:val="Heading1"/>
        <w:pBdr>
          <w:bottom w:val="single" w:color="2E75B6" w:sz="6" w:space="4"/>
        </w:pBdr>
        <w:spacing w:after="120" w:before="360"/>
      </w:pPr>
      <w:r>
        <w:rPr>
          <w:rFonts w:ascii="Arial" w:cs="Arial" w:eastAsia="Arial" w:hAnsi="Arial"/>
          <w:b/>
          <w:bCs/>
          <w:color w:val="1B3A6B"/>
          <w:sz w:val="32"/>
          <w:szCs w:val="32"/>
        </w:rPr>
        <w:t xml:space="preserve">4. Named Target Accounts</w:t>
      </w:r>
    </w:p>
    <w:p>
      <w:pPr>
        <w:spacing w:after="80" w:before="60"/>
      </w:pPr>
      <w:r>
        <w:rPr>
          <w:rFonts w:ascii="Arial" w:cs="Arial" w:eastAsia="Arial" w:hAnsi="Arial"/>
          <w:color w:val="222222"/>
          <w:sz w:val="22"/>
          <w:szCs w:val="22"/>
        </w:rPr>
        <w:t xml:space="preserve">The following are specific companies to target in the first 90 days. These are chosen based on known Solana activity, likely infrastructure needs, and warm or warm-adjacent access paths. This is the initial hit list — not exhaustive.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60"/>
              <w:bottom w:type="dxa" w:w="160"/>
              <w:right w:type="dxa" w:w="260"/>
            </w:tcMar>
          </w:tcPr>
          <w:p>
            <w:pPr>
              <w:spacing w:after="60" w:before="0"/>
            </w:pPr>
            <w:r>
              <w:rPr>
                <w:rFonts w:ascii="Arial" w:cs="Arial" w:eastAsia="Arial" w:hAnsi="Arial"/>
                <w:b/>
                <w:bCs/>
                <w:color w:val="FFFFFF"/>
                <w:sz w:val="30"/>
                <w:szCs w:val="30"/>
              </w:rPr>
              <w:t xml:space="preserve">TIER 1 — ENTERPRISE PRIORITY ACCOUNTS</w:t>
            </w:r>
          </w:p>
          <w:p>
            <w:pPr>
              <w:spacing w:after="0" w:before="0"/>
            </w:pPr>
            <w:r>
              <w:rPr>
                <w:rFonts w:ascii="Arial" w:cs="Arial" w:eastAsia="Arial" w:hAnsi="Arial"/>
                <w:i/>
                <w:iCs/>
                <w:color w:val="BBDDFF"/>
                <w:sz w:val="20"/>
                <w:szCs w:val="20"/>
              </w:rPr>
              <w:t xml:space="preserve">Start here. These are the conversations that fund the business.</w:t>
            </w:r>
          </w:p>
        </w:tc>
      </w:tr>
    </w:tbl>
    <w:p>
      <w:pPr>
        <w:spacing w:after="0" w:before="100"/>
      </w:pPr>
      <w:r>
        <w:t xml:space="preserve"/>
      </w:r>
    </w:p>
    <w:p>
      <w:pPr>
        <w:spacing w:after="80" w:before="220"/>
      </w:pPr>
      <w:r>
        <w:rPr>
          <w:rFonts w:ascii="Arial" w:cs="Arial" w:eastAsia="Arial" w:hAnsi="Arial"/>
          <w:b/>
          <w:bCs/>
          <w:color w:val="444444"/>
          <w:sz w:val="22"/>
          <w:szCs w:val="22"/>
        </w:rPr>
        <w:t xml:space="preserve">Group A — Warm or Warm-Adjacent (Start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560"/>
        <w:gridCol w:w="2800"/>
      </w:tblGrid>
      <w:tr>
        <w:tc>
          <w:tcPr>
            <w:tcW w:type="dxa" w:w="16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Company</w:t>
            </w:r>
          </w:p>
        </w:tc>
        <w:tc>
          <w:tcPr>
            <w:tcW w:type="dxa" w:w="24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Why They Matter</w:t>
            </w:r>
          </w:p>
        </w:tc>
        <w:tc>
          <w:tcPr>
            <w:tcW w:type="dxa" w:w="25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Access Path</w:t>
            </w:r>
          </w:p>
        </w:tc>
        <w:tc>
          <w:tcPr>
            <w:tcW w:type="dxa" w:w="2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First Move</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Ledger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Existing client. Helius has them too — an opportunity to consolidate or add a second vendor relationship.</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Direct — existing relationship. Schedule a call explicitly about Solana infrastructure.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Ask: 'What does your current RPC infrastructure look like for Solana? Are you happy with it?'</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Coinbase</w:t>
            </w:r>
          </w:p>
        </w:tc>
        <w:tc>
          <w:tcPr>
            <w:tcW w:type="dxa" w:w="24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Helius lists them as a client. They are the largest US exchange. A co-vendor or backup provider opportunity.</w:t>
            </w:r>
          </w:p>
        </w:tc>
        <w:tc>
          <w:tcPr>
            <w:tcW w:type="dxa" w:w="2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LinkedIn to Head of Solana Infrastructure or VP Platform Engineering. Ledger intro possible.</w:t>
            </w:r>
          </w:p>
        </w:tc>
        <w:tc>
          <w:tcPr>
            <w:tcW w:type="dxa" w:w="2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Lead with: 'We serve Ledger on infrastructure. I'd like to understand Coinbase's redundancy approach for Solana.'</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Chainalysis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Helius references them as a client. Blockchain analytics requires massive RPC read throughput. Compliance-heavy buyer.</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LinkedIn to Head of Engineering. SOC 2 angle opens doors immediately in this company.</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Security-first intro: 'We are a SOC 2 infrastructure provider serving the crypto ecosystem. I'd like to explore if there's a fit for your Solana data needs.'</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Paxos</w:t>
            </w:r>
          </w:p>
        </w:tc>
        <w:tc>
          <w:tcPr>
            <w:tcW w:type="dxa" w:w="24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Helius client. Regulated stablecoin and settlement infrastructure. Compliance buyer.</w:t>
            </w:r>
          </w:p>
        </w:tc>
        <w:tc>
          <w:tcPr>
            <w:tcW w:type="dxa" w:w="2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LinkedIn to Head of Platform or CTO. Regulatory angle resonates.</w:t>
            </w:r>
          </w:p>
        </w:tc>
        <w:tc>
          <w:tcPr>
            <w:tcW w:type="dxa" w:w="2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Frame as infrastructure redundancy and compliance posture for regulated entities.</w:t>
            </w:r>
          </w:p>
        </w:tc>
      </w:tr>
    </w:tbl>
    <w:p>
      <w:pPr>
        <w:spacing w:after="0" w:before="140"/>
      </w:pPr>
      <w:r>
        <w:t xml:space="preserve"/>
      </w:r>
    </w:p>
    <w:p>
      <w:pPr>
        <w:spacing w:after="80" w:before="220"/>
      </w:pPr>
      <w:r>
        <w:rPr>
          <w:rFonts w:ascii="Arial" w:cs="Arial" w:eastAsia="Arial" w:hAnsi="Arial"/>
          <w:b/>
          <w:bCs/>
          <w:color w:val="444444"/>
          <w:sz w:val="22"/>
          <w:szCs w:val="22"/>
        </w:rPr>
        <w:t xml:space="preserve">Group B — High-Priority Cold Outreach (First 30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360"/>
        <w:gridCol w:w="300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Company</w:t>
            </w:r>
          </w:p>
        </w:tc>
        <w:tc>
          <w:tcPr>
            <w:tcW w:type="dxa" w:w="2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Why Target</w:t>
            </w:r>
          </w:p>
        </w:tc>
        <w:tc>
          <w:tcPr>
            <w:tcW w:type="dxa" w:w="23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Likely Buyer Title</w:t>
            </w:r>
          </w:p>
        </w:tc>
        <w:tc>
          <w:tcPr>
            <w:tcW w:type="dxa" w:w="3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Angle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Shopify</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Helius lists them. Commerce-at-scale meets crypto. Very compliance-driven.</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Head of Crypto / VP Engineering</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We serve other Ledger-connected companies. Compliance posture.</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Stripe</w:t>
            </w:r>
          </w:p>
        </w:tc>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Launched crypto payments including Solana. Scale of Stripe requires enterprise infra.</w:t>
            </w:r>
          </w:p>
        </w:tc>
        <w:tc>
          <w:tcPr>
            <w:tcW w:type="dxa" w:w="23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Head of Crypto Infrastructure</w:t>
            </w:r>
          </w:p>
        </w:tc>
        <w:tc>
          <w:tcPr>
            <w:tcW w:type="dxa" w:w="3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You need enterprise SLAs behind your payments infrastructure.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Jump Crypto</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Leading market maker on Solana. Performance-obsessed. Knows Triton.</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Head of Infrastructure / CTO</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Dedicated bare-metal node. Latency benchmark comparison.</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Wintermute</w:t>
            </w:r>
          </w:p>
        </w:tc>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Top market maker on Solana DEXs. Performance and uptime are revenue.</w:t>
            </w:r>
          </w:p>
        </w:tc>
        <w:tc>
          <w:tcPr>
            <w:tcW w:type="dxa" w:w="23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Head of Technology</w:t>
            </w:r>
          </w:p>
        </w:tc>
        <w:tc>
          <w:tcPr>
            <w:tcW w:type="dxa" w:w="3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We can offer dedicated node with 10Gbps and isolated performance.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Jito Labs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MEV infrastructure for Solana. Deep infra needs. Potential partner, not just customer.</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CTO / Co-founder</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Partnership angle: their clients need our infrastructure.</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Jupiter Exchange</w:t>
            </w:r>
          </w:p>
        </w:tc>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Largest DEX aggregator on Solana. Massive transaction volume.</w:t>
            </w:r>
          </w:p>
        </w:tc>
        <w:tc>
          <w:tcPr>
            <w:tcW w:type="dxa" w:w="23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Head of Infrastructure</w:t>
            </w:r>
          </w:p>
        </w:tc>
        <w:tc>
          <w:tcPr>
            <w:tcW w:type="dxa" w:w="3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Volume pricing. Reliability SLA. Secondary provider angle.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Phantom</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Largest Solana wallet. Millions of users hitting RPC constantly.</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Head of Engineering</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Wallet RPC reliability = user experience. We offer SLA others don't.</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Bitwise</w:t>
            </w:r>
          </w:p>
        </w:tc>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Asset manager launching Solana staking ETF — listed Helius for validator. Infrastructure needs.</w:t>
            </w:r>
          </w:p>
        </w:tc>
        <w:tc>
          <w:tcPr>
            <w:tcW w:type="dxa" w:w="23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Head of Digital Assets / CTO</w:t>
            </w:r>
          </w:p>
        </w:tc>
        <w:tc>
          <w:tcPr>
            <w:tcW w:type="dxa" w:w="3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You're building institutional products. You need institutional infrastructure.</w:t>
            </w:r>
          </w:p>
        </w:tc>
      </w:tr>
    </w:tbl>
    <w:p>
      <w:pPr>
        <w:spacing w:after="0" w:before="140"/>
      </w:pPr>
      <w:r>
        <w:t xml:space="preserve"/>
      </w:r>
    </w:p>
    <w:p>
      <w:pPr>
        <w:spacing w:after="80" w:before="220"/>
      </w:pPr>
      <w:r>
        <w:rPr>
          <w:rFonts w:ascii="Arial" w:cs="Arial" w:eastAsia="Arial" w:hAnsi="Arial"/>
          <w:b/>
          <w:bCs/>
          <w:color w:val="444444"/>
          <w:sz w:val="22"/>
          <w:szCs w:val="22"/>
        </w:rPr>
        <w:t xml:space="preserve">Group C — Conference &amp; Event Targets (60-90 Days)</w:t>
      </w:r>
    </w:p>
    <w:p>
      <w:pPr>
        <w:spacing w:after="80" w:before="60"/>
      </w:pPr>
      <w:r>
        <w:rPr>
          <w:rFonts w:ascii="Arial" w:cs="Arial" w:eastAsia="Arial" w:hAnsi="Arial"/>
          <w:color w:val="222222"/>
          <w:sz w:val="22"/>
          <w:szCs w:val="22"/>
        </w:rPr>
        <w:t xml:space="preserve">These companies are best reached at Solana Breakpoint, Consensus, or Token2049. Research their engineering leadership before attending. Have a one-page leave-behind ready.</w:t>
      </w:r>
    </w:p>
    <w:p>
      <w:pPr>
        <w:spacing w:after="0" w:before="60"/>
      </w:pPr>
      <w:r>
        <w:t xml:space="preserve"/>
      </w:r>
    </w:p>
    <w:p>
      <w:pPr>
        <w:pStyle w:val="ListParagraph"/>
        <w:numPr>
          <w:ilvl w:val="0"/>
          <w:numId w:val="2"/>
        </w:numPr>
        <w:spacing w:after="40" w:before="40"/>
      </w:pPr>
      <w:r>
        <w:rPr>
          <w:rFonts w:ascii="Arial" w:cs="Arial" w:eastAsia="Arial" w:hAnsi="Arial"/>
          <w:color w:val="222222"/>
          <w:sz w:val="22"/>
          <w:szCs w:val="22"/>
        </w:rPr>
        <w:t xml:space="preserve">DRW Cumberland — prop trading firm, heavy Solana presence</w:t>
      </w:r>
    </w:p>
    <w:p>
      <w:pPr>
        <w:pStyle w:val="ListParagraph"/>
        <w:numPr>
          <w:ilvl w:val="0"/>
          <w:numId w:val="2"/>
        </w:numPr>
        <w:spacing w:after="40" w:before="40"/>
      </w:pPr>
      <w:r>
        <w:rPr>
          <w:rFonts w:ascii="Arial" w:cs="Arial" w:eastAsia="Arial" w:hAnsi="Arial"/>
          <w:color w:val="222222"/>
          <w:sz w:val="22"/>
          <w:szCs w:val="22"/>
        </w:rPr>
        <w:t xml:space="preserve">GSR Markets — market maker, infrastructure-sensitive</w:t>
      </w:r>
    </w:p>
    <w:p>
      <w:pPr>
        <w:pStyle w:val="ListParagraph"/>
        <w:numPr>
          <w:ilvl w:val="0"/>
          <w:numId w:val="2"/>
        </w:numPr>
        <w:spacing w:after="40" w:before="40"/>
      </w:pPr>
      <w:r>
        <w:rPr>
          <w:rFonts w:ascii="Arial" w:cs="Arial" w:eastAsia="Arial" w:hAnsi="Arial"/>
          <w:color w:val="222222"/>
          <w:sz w:val="22"/>
          <w:szCs w:val="22"/>
        </w:rPr>
        <w:t xml:space="preserve">Amber Group — crypto financial services, Asia-Pacific focus</w:t>
      </w:r>
    </w:p>
    <w:p>
      <w:pPr>
        <w:pStyle w:val="ListParagraph"/>
        <w:numPr>
          <w:ilvl w:val="0"/>
          <w:numId w:val="2"/>
        </w:numPr>
        <w:spacing w:after="40" w:before="40"/>
      </w:pPr>
      <w:r>
        <w:rPr>
          <w:rFonts w:ascii="Arial" w:cs="Arial" w:eastAsia="Arial" w:hAnsi="Arial"/>
          <w:color w:val="222222"/>
          <w:sz w:val="22"/>
          <w:szCs w:val="22"/>
        </w:rPr>
        <w:t xml:space="preserve">Flowdesk — European market maker expanding to Solana</w:t>
      </w:r>
    </w:p>
    <w:p>
      <w:pPr>
        <w:pStyle w:val="ListParagraph"/>
        <w:numPr>
          <w:ilvl w:val="0"/>
          <w:numId w:val="2"/>
        </w:numPr>
        <w:spacing w:after="40" w:before="40"/>
      </w:pPr>
      <w:r>
        <w:rPr>
          <w:rFonts w:ascii="Arial" w:cs="Arial" w:eastAsia="Arial" w:hAnsi="Arial"/>
          <w:color w:val="222222"/>
          <w:sz w:val="22"/>
          <w:szCs w:val="22"/>
        </w:rPr>
        <w:t xml:space="preserve">Hidden Road — institutional prime brokerage for crypto</w:t>
      </w:r>
    </w:p>
    <w:p>
      <w:pPr>
        <w:pStyle w:val="ListParagraph"/>
        <w:numPr>
          <w:ilvl w:val="0"/>
          <w:numId w:val="2"/>
        </w:numPr>
        <w:spacing w:after="40" w:before="40"/>
      </w:pPr>
      <w:r>
        <w:rPr>
          <w:rFonts w:ascii="Arial" w:cs="Arial" w:eastAsia="Arial" w:hAnsi="Arial"/>
          <w:color w:val="222222"/>
          <w:sz w:val="22"/>
          <w:szCs w:val="22"/>
        </w:rPr>
        <w:t xml:space="preserve">Anchorage Digital — regulated crypto custodian</w:t>
      </w:r>
    </w:p>
    <w:p>
      <w:pPr>
        <w:pStyle w:val="ListParagraph"/>
        <w:numPr>
          <w:ilvl w:val="0"/>
          <w:numId w:val="2"/>
        </w:numPr>
        <w:spacing w:after="40" w:before="40"/>
      </w:pPr>
      <w:r>
        <w:rPr>
          <w:rFonts w:ascii="Arial" w:cs="Arial" w:eastAsia="Arial" w:hAnsi="Arial"/>
          <w:color w:val="222222"/>
          <w:sz w:val="22"/>
          <w:szCs w:val="22"/>
        </w:rPr>
        <w:t xml:space="preserve">Copper.co — institutional custody, compliance-heavy</w:t>
      </w:r>
    </w:p>
    <w:p>
      <w:pPr>
        <w:pStyle w:val="ListParagraph"/>
        <w:numPr>
          <w:ilvl w:val="0"/>
          <w:numId w:val="2"/>
        </w:numPr>
        <w:spacing w:after="40" w:before="40"/>
      </w:pPr>
      <w:r>
        <w:rPr>
          <w:rFonts w:ascii="Arial" w:cs="Arial" w:eastAsia="Arial" w:hAnsi="Arial"/>
          <w:color w:val="222222"/>
          <w:sz w:val="22"/>
          <w:szCs w:val="22"/>
        </w:rPr>
        <w:t xml:space="preserve">FalconX — institutional crypto brokerage</w:t>
      </w:r>
    </w:p>
    <w:p>
      <w:r>
        <w:br w:type="page"/>
      </w:r>
    </w:p>
    <w:p>
      <w:pPr>
        <w:pStyle w:val="Heading1"/>
        <w:pBdr>
          <w:bottom w:val="single" w:color="2E75B6" w:sz="6" w:space="4"/>
        </w:pBdr>
        <w:spacing w:after="120" w:before="360"/>
      </w:pPr>
      <w:r>
        <w:rPr>
          <w:rFonts w:ascii="Arial" w:cs="Arial" w:eastAsia="Arial" w:hAnsi="Arial"/>
          <w:b/>
          <w:bCs/>
          <w:color w:val="1B3A6B"/>
          <w:sz w:val="32"/>
          <w:szCs w:val="32"/>
        </w:rPr>
        <w:t xml:space="preserve">5. How to Find the Right People</w:t>
      </w:r>
    </w:p>
    <w:p>
      <w:pPr>
        <w:spacing w:after="80" w:before="60"/>
      </w:pPr>
      <w:r>
        <w:rPr>
          <w:rFonts w:ascii="Arial" w:cs="Arial" w:eastAsia="Arial" w:hAnsi="Arial"/>
          <w:color w:val="222222"/>
          <w:sz w:val="22"/>
          <w:szCs w:val="22"/>
        </w:rPr>
        <w:t xml:space="preserve">Without an existing network in this space, finding and reaching the right buyers requires a systematic approach. This section gives specific, repeatable methods for each channel.</w:t>
      </w:r>
    </w:p>
    <w:p>
      <w:pPr>
        <w:spacing w:after="0" w:before="80"/>
      </w:pPr>
      <w:r>
        <w:t xml:space="preserve"/>
      </w:r>
    </w:p>
    <w:p>
      <w:pPr>
        <w:pStyle w:val="Heading2"/>
        <w:spacing w:after="100" w:before="280"/>
      </w:pPr>
      <w:r>
        <w:rPr>
          <w:rFonts w:ascii="Arial" w:cs="Arial" w:eastAsia="Arial" w:hAnsi="Arial"/>
          <w:b/>
          <w:bCs/>
          <w:color w:val="2E75B6"/>
          <w:sz w:val="26"/>
          <w:szCs w:val="26"/>
        </w:rPr>
        <w:t xml:space="preserve">5.1 — LinkedIn: The Primary Cold Outreach Channel</w:t>
      </w:r>
    </w:p>
    <w:p>
      <w:pPr>
        <w:spacing w:after="80" w:before="60"/>
      </w:pPr>
      <w:r>
        <w:rPr>
          <w:rFonts w:ascii="Arial" w:cs="Arial" w:eastAsia="Arial" w:hAnsi="Arial"/>
          <w:color w:val="222222"/>
          <w:sz w:val="22"/>
          <w:szCs w:val="22"/>
        </w:rPr>
        <w:t xml:space="preserve">LinkedIn is the most reliable way to reach infrastructure and engineering leaders at enterprise crypto companies. The following search strings and approaches work.</w:t>
      </w:r>
    </w:p>
    <w:p>
      <w:pPr>
        <w:spacing w:after="0" w:before="80"/>
      </w:pPr>
      <w:r>
        <w:t xml:space="preserve"/>
      </w:r>
    </w:p>
    <w:p>
      <w:pPr>
        <w:spacing w:after="80" w:before="220"/>
      </w:pPr>
      <w:r>
        <w:rPr>
          <w:rFonts w:ascii="Arial" w:cs="Arial" w:eastAsia="Arial" w:hAnsi="Arial"/>
          <w:b/>
          <w:bCs/>
          <w:color w:val="444444"/>
          <w:sz w:val="22"/>
          <w:szCs w:val="22"/>
        </w:rPr>
        <w:t xml:space="preserve">Search Strings That Find Your Buyers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Search Query</w:t>
            </w:r>
          </w:p>
        </w:tc>
        <w:tc>
          <w:tcPr>
            <w:tcW w:type="dxa" w:w="53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Who It Finds</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'Head of Infrastructure' + 'crypto' OR 'blockchain'</w:t>
            </w:r>
          </w:p>
        </w:tc>
        <w:tc>
          <w:tcPr>
            <w:tcW w:type="dxa" w:w="5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Direct infrastructure decision makers at crypto companies</w:t>
            </w:r>
          </w:p>
        </w:tc>
      </w:tr>
      <w:tr>
        <w:tc>
          <w:tcPr>
            <w:tcW w:type="dxa" w:w="4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'VP Engineering' + 'Solana' OR 'Solana Foundation'</w:t>
            </w:r>
          </w:p>
        </w:tc>
        <w:tc>
          <w:tcPr>
            <w:tcW w:type="dxa" w:w="53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Engineering leadership with Solana context</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'Platform Engineering' + ('Coinbase' OR 'Kraken' OR 'Bitget')</w:t>
            </w:r>
          </w:p>
        </w:tc>
        <w:tc>
          <w:tcPr>
            <w:tcW w:type="dxa" w:w="5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Infra leads at major exchanges</w:t>
            </w:r>
          </w:p>
        </w:tc>
      </w:tr>
      <w:tr>
        <w:tc>
          <w:tcPr>
            <w:tcW w:type="dxa" w:w="4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'Solana' + 'infrastructure' + 'senior engineer'</w:t>
            </w:r>
          </w:p>
        </w:tc>
        <w:tc>
          <w:tcPr>
            <w:tcW w:type="dxa" w:w="53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Technical decision influencers, not just managers</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'Head of Crypto' + fintech OR payments</w:t>
            </w:r>
          </w:p>
        </w:tc>
        <w:tc>
          <w:tcPr>
            <w:tcW w:type="dxa" w:w="5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Crypto leads at fintech companies</w:t>
            </w:r>
          </w:p>
        </w:tc>
      </w:tr>
      <w:tr>
        <w:tc>
          <w:tcPr>
            <w:tcW w:type="dxa" w:w="4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'quantitative developer' OR 'quant dev' + Solana</w:t>
            </w:r>
          </w:p>
        </w:tc>
        <w:tc>
          <w:tcPr>
            <w:tcW w:type="dxa" w:w="53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Prop trading technical contacts</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'blockchain infrastructure' + 'security' + 'compliance'</w:t>
            </w:r>
          </w:p>
        </w:tc>
        <w:tc>
          <w:tcPr>
            <w:tcW w:type="dxa" w:w="5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Security-angle buyers — our strongest foot in the door</w:t>
            </w:r>
          </w:p>
        </w:tc>
      </w:tr>
    </w:tbl>
    <w:p>
      <w:pPr>
        <w:spacing w:after="0" w:before="120"/>
      </w:pPr>
      <w:r>
        <w:t xml:space="preserve"/>
      </w:r>
    </w:p>
    <w:p>
      <w:pPr>
        <w:spacing w:after="80" w:before="220"/>
      </w:pPr>
      <w:r>
        <w:rPr>
          <w:rFonts w:ascii="Arial" w:cs="Arial" w:eastAsia="Arial" w:hAnsi="Arial"/>
          <w:b/>
          <w:bCs/>
          <w:color w:val="444444"/>
          <w:sz w:val="22"/>
          <w:szCs w:val="22"/>
        </w:rPr>
        <w:t xml:space="preserve">LinkedIn Connection &amp; Outreach Approach</w:t>
      </w:r>
    </w:p>
    <w:p>
      <w:pPr>
        <w:pStyle w:val="ListParagraph"/>
        <w:numPr>
          <w:ilvl w:val="0"/>
          <w:numId w:val="2"/>
        </w:numPr>
        <w:spacing w:after="40" w:before="40"/>
      </w:pPr>
      <w:r>
        <w:rPr>
          <w:rFonts w:ascii="Arial" w:cs="Arial" w:eastAsia="Arial" w:hAnsi="Arial"/>
          <w:color w:val="222222"/>
          <w:sz w:val="22"/>
          <w:szCs w:val="22"/>
        </w:rPr>
        <w:t xml:space="preserve">Connect first without a note — acceptance rate is higher than connecting with a message</w:t>
      </w:r>
    </w:p>
    <w:p>
      <w:pPr>
        <w:pStyle w:val="ListParagraph"/>
        <w:numPr>
          <w:ilvl w:val="0"/>
          <w:numId w:val="2"/>
        </w:numPr>
        <w:spacing w:after="40" w:before="40"/>
      </w:pPr>
      <w:r>
        <w:rPr>
          <w:rFonts w:ascii="Arial" w:cs="Arial" w:eastAsia="Arial" w:hAnsi="Arial"/>
          <w:color w:val="222222"/>
          <w:sz w:val="22"/>
          <w:szCs w:val="22"/>
        </w:rPr>
        <w:t xml:space="preserve">Wait 48-72 hours after connection, then send a short first message — not a pitch</w:t>
      </w:r>
    </w:p>
    <w:p>
      <w:pPr>
        <w:pStyle w:val="ListParagraph"/>
        <w:numPr>
          <w:ilvl w:val="0"/>
          <w:numId w:val="2"/>
        </w:numPr>
        <w:spacing w:after="40" w:before="40"/>
      </w:pPr>
      <w:r>
        <w:rPr>
          <w:rFonts w:ascii="Arial" w:cs="Arial" w:eastAsia="Arial" w:hAnsi="Arial"/>
          <w:color w:val="222222"/>
          <w:sz w:val="22"/>
          <w:szCs w:val="22"/>
        </w:rPr>
        <w:t xml:space="preserve">Aim for 10 new targeted connections per day — takes 15 minutes with this focus</w:t>
      </w:r>
    </w:p>
    <w:p>
      <w:pPr>
        <w:pStyle w:val="ListParagraph"/>
        <w:numPr>
          <w:ilvl w:val="0"/>
          <w:numId w:val="2"/>
        </w:numPr>
        <w:spacing w:after="40" w:before="40"/>
      </w:pPr>
      <w:r>
        <w:rPr>
          <w:rFonts w:ascii="Arial" w:cs="Arial" w:eastAsia="Arial" w:hAnsi="Arial"/>
          <w:color w:val="222222"/>
          <w:sz w:val="22"/>
          <w:szCs w:val="22"/>
        </w:rPr>
        <w:t xml:space="preserve">Track every outreach in a simple CRM (Notion or HubSpot free tier) — follow up is where deals happen</w:t>
      </w:r>
    </w:p>
    <w:p>
      <w:pPr>
        <w:pStyle w:val="ListParagraph"/>
        <w:numPr>
          <w:ilvl w:val="0"/>
          <w:numId w:val="2"/>
        </w:numPr>
        <w:spacing w:after="40" w:before="40"/>
      </w:pPr>
      <w:r>
        <w:rPr>
          <w:rFonts w:ascii="Arial" w:cs="Arial" w:eastAsia="Arial" w:hAnsi="Arial"/>
          <w:color w:val="222222"/>
          <w:sz w:val="22"/>
          <w:szCs w:val="22"/>
        </w:rPr>
        <w:t xml:space="preserve">Voice notes on LinkedIn have 3-5x higher response rates than text messages — use them</w:t>
      </w:r>
    </w:p>
    <w:p>
      <w:pPr>
        <w:spacing w:after="0" w:before="120"/>
      </w:pPr>
      <w:r>
        <w:t xml:space="preserve"/>
      </w:r>
    </w:p>
    <w:p>
      <w:pPr>
        <w:pStyle w:val="Heading2"/>
        <w:spacing w:after="100" w:before="280"/>
      </w:pPr>
      <w:r>
        <w:rPr>
          <w:rFonts w:ascii="Arial" w:cs="Arial" w:eastAsia="Arial" w:hAnsi="Arial"/>
          <w:b/>
          <w:bCs/>
          <w:color w:val="2E75B6"/>
          <w:sz w:val="26"/>
          <w:szCs w:val="26"/>
        </w:rPr>
        <w:t xml:space="preserve">5.2 — GitHub: Finding Technical Decision Makers</w:t>
      </w:r>
    </w:p>
    <w:p>
      <w:pPr>
        <w:spacing w:after="80" w:before="60"/>
      </w:pPr>
      <w:r>
        <w:rPr>
          <w:rFonts w:ascii="Arial" w:cs="Arial" w:eastAsia="Arial" w:hAnsi="Arial"/>
          <w:color w:val="222222"/>
          <w:sz w:val="22"/>
          <w:szCs w:val="22"/>
        </w:rPr>
        <w:t xml:space="preserve">Solana developers building in public on GitHub are findable, identifiable, and often the actual decision-makers for infrastructure. This channel requires a little more effort but produces warmer leads.</w:t>
      </w:r>
    </w:p>
    <w:p>
      <w:pPr>
        <w:spacing w:after="0" w:before="80"/>
      </w:pPr>
      <w:r>
        <w:t xml:space="preserve"/>
      </w:r>
    </w:p>
    <w:p>
      <w:pPr>
        <w:pStyle w:val="ListParagraph"/>
        <w:numPr>
          <w:ilvl w:val="0"/>
          <w:numId w:val="2"/>
        </w:numPr>
        <w:spacing w:after="40" w:before="40"/>
      </w:pPr>
      <w:r>
        <w:rPr>
          <w:rFonts w:ascii="Arial" w:cs="Arial" w:eastAsia="Arial" w:hAnsi="Arial"/>
          <w:color w:val="222222"/>
          <w:sz w:val="22"/>
          <w:szCs w:val="22"/>
        </w:rPr>
        <w:t xml:space="preserve">Search GitHub for repositories using QuickNode, Helius, or Triton endpoints — these are active Solana projects with live infrastructure spend</w:t>
      </w:r>
    </w:p>
    <w:p>
      <w:pPr>
        <w:pStyle w:val="ListParagraph"/>
        <w:numPr>
          <w:ilvl w:val="0"/>
          <w:numId w:val="2"/>
        </w:numPr>
        <w:spacing w:after="40" w:before="40"/>
      </w:pPr>
      <w:r>
        <w:rPr>
          <w:rFonts w:ascii="Arial" w:cs="Arial" w:eastAsia="Arial" w:hAnsi="Arial"/>
          <w:color w:val="222222"/>
          <w:sz w:val="22"/>
          <w:szCs w:val="22"/>
        </w:rPr>
        <w:t xml:space="preserve">Search: 'solana rpc quicknode' in code — finds projects with a competitor endpoint hardcoded</w:t>
      </w:r>
    </w:p>
    <w:p>
      <w:pPr>
        <w:pStyle w:val="ListParagraph"/>
        <w:numPr>
          <w:ilvl w:val="0"/>
          <w:numId w:val="2"/>
        </w:numPr>
        <w:spacing w:after="40" w:before="40"/>
      </w:pPr>
      <w:r>
        <w:rPr>
          <w:rFonts w:ascii="Arial" w:cs="Arial" w:eastAsia="Arial" w:hAnsi="Arial"/>
          <w:color w:val="222222"/>
          <w:sz w:val="22"/>
          <w:szCs w:val="22"/>
        </w:rPr>
        <w:t xml:space="preserve">Search: 'helius.dev' OR 'quiknode.pro' in code — finds active API users</w:t>
      </w:r>
    </w:p>
    <w:p>
      <w:pPr>
        <w:pStyle w:val="ListParagraph"/>
        <w:numPr>
          <w:ilvl w:val="0"/>
          <w:numId w:val="2"/>
        </w:numPr>
        <w:spacing w:after="40" w:before="40"/>
      </w:pPr>
      <w:r>
        <w:rPr>
          <w:rFonts w:ascii="Arial" w:cs="Arial" w:eastAsia="Arial" w:hAnsi="Arial"/>
          <w:color w:val="222222"/>
          <w:sz w:val="22"/>
          <w:szCs w:val="22"/>
        </w:rPr>
        <w:t xml:space="preserve">Identify the maintainer, find them on LinkedIn or Twitter/X, reach out technically</w:t>
      </w:r>
    </w:p>
    <w:p>
      <w:pPr>
        <w:pStyle w:val="ListParagraph"/>
        <w:numPr>
          <w:ilvl w:val="0"/>
          <w:numId w:val="2"/>
        </w:numPr>
        <w:spacing w:after="40" w:before="40"/>
      </w:pPr>
      <w:r>
        <w:rPr>
          <w:rFonts w:ascii="Arial" w:cs="Arial" w:eastAsia="Arial" w:hAnsi="Arial"/>
          <w:color w:val="222222"/>
          <w:sz w:val="22"/>
          <w:szCs w:val="22"/>
        </w:rPr>
        <w:t xml:space="preserve">Your opening: 'I saw your project on GitHub — we are building Solana RPC infrastructure and I wanted to offer you early access in exchange for feedback'</w:t>
      </w:r>
    </w:p>
    <w:p>
      <w:pPr>
        <w:spacing w:after="0" w:before="120"/>
      </w:pPr>
      <w:r>
        <w:t xml:space="preserve"/>
      </w:r>
    </w:p>
    <w:p>
      <w:pPr>
        <w:pStyle w:val="Heading2"/>
        <w:spacing w:after="100" w:before="280"/>
      </w:pPr>
      <w:r>
        <w:rPr>
          <w:rFonts w:ascii="Arial" w:cs="Arial" w:eastAsia="Arial" w:hAnsi="Arial"/>
          <w:b/>
          <w:bCs/>
          <w:color w:val="2E75B6"/>
          <w:sz w:val="26"/>
          <w:szCs w:val="26"/>
        </w:rPr>
        <w:t xml:space="preserve">5.3 — Solana Foundation Ecosystem</w:t>
      </w:r>
    </w:p>
    <w:p>
      <w:pPr>
        <w:spacing w:after="80" w:before="60"/>
      </w:pPr>
      <w:r>
        <w:rPr>
          <w:rFonts w:ascii="Arial" w:cs="Arial" w:eastAsia="Arial" w:hAnsi="Arial"/>
          <w:color w:val="222222"/>
          <w:sz w:val="22"/>
          <w:szCs w:val="22"/>
        </w:rPr>
        <w:t xml:space="preserve">The Solana Foundation maintains public directories of projects building on Solana. These are pre-qualified leads — every project listed has Solana infrastructure needs.</w:t>
      </w:r>
    </w:p>
    <w:p>
      <w:pPr>
        <w:spacing w:after="0" w:before="80"/>
      </w:pPr>
      <w:r>
        <w:t xml:space="preserve"/>
      </w:r>
    </w:p>
    <w:p>
      <w:pPr>
        <w:pStyle w:val="ListParagraph"/>
        <w:numPr>
          <w:ilvl w:val="0"/>
          <w:numId w:val="2"/>
        </w:numPr>
        <w:spacing w:after="40" w:before="40"/>
      </w:pPr>
      <w:r>
        <w:rPr>
          <w:rFonts w:ascii="Arial" w:cs="Arial" w:eastAsia="Arial" w:hAnsi="Arial"/>
          <w:color w:val="222222"/>
          <w:sz w:val="22"/>
          <w:szCs w:val="22"/>
        </w:rPr>
        <w:t xml:space="preserve">solana.com/ecosystem — searchable directory of all Solana projects by category</w:t>
      </w:r>
    </w:p>
    <w:p>
      <w:pPr>
        <w:pStyle w:val="ListParagraph"/>
        <w:numPr>
          <w:ilvl w:val="0"/>
          <w:numId w:val="2"/>
        </w:numPr>
        <w:spacing w:after="40" w:before="40"/>
      </w:pPr>
      <w:r>
        <w:rPr>
          <w:rFonts w:ascii="Arial" w:cs="Arial" w:eastAsia="Arial" w:hAnsi="Arial"/>
          <w:color w:val="222222"/>
          <w:sz w:val="22"/>
          <w:szCs w:val="22"/>
        </w:rPr>
        <w:t xml:space="preserve">solana.com/grants — projects that received Solana Foundation grants are building seriously and have funding</w:t>
      </w:r>
    </w:p>
    <w:p>
      <w:pPr>
        <w:pStyle w:val="ListParagraph"/>
        <w:numPr>
          <w:ilvl w:val="0"/>
          <w:numId w:val="2"/>
        </w:numPr>
        <w:spacing w:after="40" w:before="40"/>
      </w:pPr>
      <w:r>
        <w:rPr>
          <w:rFonts w:ascii="Arial" w:cs="Arial" w:eastAsia="Arial" w:hAnsi="Arial"/>
          <w:color w:val="222222"/>
          <w:sz w:val="22"/>
          <w:szCs w:val="22"/>
        </w:rPr>
        <w:t xml:space="preserve">GitHub.com/solana-labs and GitHub.com/solana-foundation — watch these for emerging projects</w:t>
      </w:r>
    </w:p>
    <w:p>
      <w:pPr>
        <w:pStyle w:val="ListParagraph"/>
        <w:numPr>
          <w:ilvl w:val="0"/>
          <w:numId w:val="2"/>
        </w:numPr>
        <w:spacing w:after="40" w:before="40"/>
      </w:pPr>
      <w:r>
        <w:rPr>
          <w:rFonts w:ascii="Arial" w:cs="Arial" w:eastAsia="Arial" w:hAnsi="Arial"/>
          <w:color w:val="222222"/>
          <w:sz w:val="22"/>
          <w:szCs w:val="22"/>
        </w:rPr>
        <w:t xml:space="preserve">Solana developer Discord (discord.gg/solana) — the #infrastructure and #developers channels are where your buyers hang out. Be helpful before you pitch anything.</w:t>
      </w:r>
    </w:p>
    <w:p>
      <w:pPr>
        <w:spacing w:after="0" w:before="120"/>
      </w:pPr>
      <w:r>
        <w:t xml:space="preserve"/>
      </w:r>
    </w:p>
    <w:p>
      <w:pPr>
        <w:pStyle w:val="Heading2"/>
        <w:spacing w:after="100" w:before="280"/>
      </w:pPr>
      <w:r>
        <w:rPr>
          <w:rFonts w:ascii="Arial" w:cs="Arial" w:eastAsia="Arial" w:hAnsi="Arial"/>
          <w:b/>
          <w:bCs/>
          <w:color w:val="2E75B6"/>
          <w:sz w:val="26"/>
          <w:szCs w:val="26"/>
        </w:rPr>
        <w:t xml:space="preserve">5.4 — DeFi Protocol Analytics</w:t>
      </w:r>
    </w:p>
    <w:p>
      <w:pPr>
        <w:spacing w:after="80" w:before="60"/>
      </w:pPr>
      <w:r>
        <w:rPr>
          <w:rFonts w:ascii="Arial" w:cs="Arial" w:eastAsia="Arial" w:hAnsi="Arial"/>
          <w:color w:val="222222"/>
          <w:sz w:val="22"/>
          <w:szCs w:val="22"/>
        </w:rPr>
        <w:t xml:space="preserve">On-chain data tells you exactly which protocols are generating high transaction volume — and therefore have the highest RPC spend. Use these free tools to build your prospect list.</w:t>
      </w:r>
    </w:p>
    <w:p>
      <w:pPr>
        <w:spacing w:after="0" w:before="80"/>
      </w:pPr>
      <w:r>
        <w:t xml:space="preserve"/>
      </w:r>
    </w:p>
    <w:p>
      <w:pPr>
        <w:pStyle w:val="ListParagraph"/>
        <w:numPr>
          <w:ilvl w:val="0"/>
          <w:numId w:val="2"/>
        </w:numPr>
        <w:spacing w:after="40" w:before="40"/>
      </w:pPr>
      <w:r>
        <w:rPr>
          <w:rFonts w:ascii="Arial" w:cs="Arial" w:eastAsia="Arial" w:hAnsi="Arial"/>
          <w:color w:val="222222"/>
          <w:sz w:val="22"/>
          <w:szCs w:val="22"/>
        </w:rPr>
        <w:t xml:space="preserve">Dune Analytics (dune.com) — search for 'Solana protocol volume' dashboards</w:t>
      </w:r>
    </w:p>
    <w:p>
      <w:pPr>
        <w:pStyle w:val="ListParagraph"/>
        <w:numPr>
          <w:ilvl w:val="0"/>
          <w:numId w:val="2"/>
        </w:numPr>
        <w:spacing w:after="40" w:before="40"/>
      </w:pPr>
      <w:r>
        <w:rPr>
          <w:rFonts w:ascii="Arial" w:cs="Arial" w:eastAsia="Arial" w:hAnsi="Arial"/>
          <w:color w:val="222222"/>
          <w:sz w:val="22"/>
          <w:szCs w:val="22"/>
        </w:rPr>
        <w:t xml:space="preserve">Solscan.io — shows top programs by transaction count. Sort by activity.</w:t>
      </w:r>
    </w:p>
    <w:p>
      <w:pPr>
        <w:pStyle w:val="ListParagraph"/>
        <w:numPr>
          <w:ilvl w:val="0"/>
          <w:numId w:val="2"/>
        </w:numPr>
        <w:spacing w:after="40" w:before="40"/>
      </w:pPr>
      <w:r>
        <w:rPr>
          <w:rFonts w:ascii="Arial" w:cs="Arial" w:eastAsia="Arial" w:hAnsi="Arial"/>
          <w:color w:val="222222"/>
          <w:sz w:val="22"/>
          <w:szCs w:val="22"/>
        </w:rPr>
        <w:t xml:space="preserve">DeFiLlama (defillama.com/chain/Solana) — protocols ranked by TVL. High TVL = high infrastructure spend.</w:t>
      </w:r>
    </w:p>
    <w:p>
      <w:pPr>
        <w:pStyle w:val="ListParagraph"/>
        <w:numPr>
          <w:ilvl w:val="0"/>
          <w:numId w:val="2"/>
        </w:numPr>
        <w:spacing w:after="40" w:before="40"/>
      </w:pPr>
      <w:r>
        <w:rPr>
          <w:rFonts w:ascii="Arial" w:cs="Arial" w:eastAsia="Arial" w:hAnsi="Arial"/>
          <w:color w:val="222222"/>
          <w:sz w:val="22"/>
          <w:szCs w:val="22"/>
        </w:rPr>
        <w:t xml:space="preserve">Any protocol in the top 50 by Solana transaction volume is a qualified prospect</w:t>
      </w:r>
    </w:p>
    <w:p>
      <w:pPr>
        <w:spacing w:after="0" w:before="120"/>
      </w:pPr>
      <w:r>
        <w:t xml:space="preserve"/>
      </w:r>
    </w:p>
    <w:p>
      <w:pPr>
        <w:pStyle w:val="Heading2"/>
        <w:spacing w:after="100" w:before="280"/>
      </w:pPr>
      <w:r>
        <w:rPr>
          <w:rFonts w:ascii="Arial" w:cs="Arial" w:eastAsia="Arial" w:hAnsi="Arial"/>
          <w:b/>
          <w:bCs/>
          <w:color w:val="2E75B6"/>
          <w:sz w:val="26"/>
          <w:szCs w:val="26"/>
        </w:rPr>
        <w:t xml:space="preserve">5.5 — Conferences &amp; Events</w:t>
      </w:r>
    </w:p>
    <w:p>
      <w:pPr>
        <w:spacing w:after="80" w:before="60"/>
      </w:pPr>
      <w:r>
        <w:rPr>
          <w:rFonts w:ascii="Arial" w:cs="Arial" w:eastAsia="Arial" w:hAnsi="Arial"/>
          <w:color w:val="222222"/>
          <w:sz w:val="22"/>
          <w:szCs w:val="22"/>
        </w:rPr>
        <w:t xml:space="preserve">In-person at the right events converts faster than any digital channel. Budget for the following: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560"/>
        <w:gridCol w:w="220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Event</w:t>
            </w:r>
          </w:p>
        </w:tc>
        <w:tc>
          <w:tcPr>
            <w:tcW w:type="dxa" w:w="24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When / Where</w:t>
            </w:r>
          </w:p>
        </w:tc>
        <w:tc>
          <w:tcPr>
            <w:tcW w:type="dxa" w:w="25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Who Attends</w:t>
            </w:r>
          </w:p>
        </w:tc>
        <w:tc>
          <w:tcPr>
            <w:tcW w:type="dxa" w:w="2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Objective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Solana Breakpoint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Annual — typically Q4, Europe</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Entire Solana ecosystem — founders, devs, VCs, protocols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Meet 10 qualified targets. Have leave-behind one-pager.</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Consensus (CoinDesk)</w:t>
            </w:r>
          </w:p>
        </w:tc>
        <w:tc>
          <w:tcPr>
            <w:tcW w:type="dxa" w:w="24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Annual — May, Austin TX</w:t>
            </w:r>
          </w:p>
        </w:tc>
        <w:tc>
          <w:tcPr>
            <w:tcW w:type="dxa" w:w="2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Enterprise, institutional, press, regulators</w:t>
            </w:r>
          </w:p>
        </w:tc>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Best event for Tier 1 enterprise conversations.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Token2049</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Annual — Singapore &amp; Dubai</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Asian institutional money, global exchanges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Strong for Asian exchange and trading firm outreach.</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ETHDenver</w:t>
            </w:r>
          </w:p>
        </w:tc>
        <w:tc>
          <w:tcPr>
            <w:tcW w:type="dxa" w:w="24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Annual — February, Denver CO</w:t>
            </w:r>
          </w:p>
        </w:tc>
        <w:tc>
          <w:tcPr>
            <w:tcW w:type="dxa" w:w="2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Broader developer ecosystem, includes Solana builders</w:t>
            </w:r>
          </w:p>
        </w:tc>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Sponsor a side event or workshop. Developer credibility.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Solana Hacker House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Co-located with major events</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Active developers, emerging projects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Sponsor. Direct access to Tier 2/3 developer prospects.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A00" w:sz="3"/>
              <w:left w:val="single" w:color="7A5A00" w:sz="14"/>
              <w:bottom w:val="single" w:color="7A5A00" w:sz="3"/>
              <w:right w:val="single" w:color="7A5A00" w:sz="3"/>
            </w:tcBorders>
            <w:shd w:fill="FFF8DC" w:val="clear"/>
            <w:tcMar>
              <w:top w:type="dxa" w:w="120"/>
              <w:left w:type="dxa" w:w="220"/>
              <w:bottom w:type="dxa" w:w="120"/>
              <w:right w:type="dxa" w:w="220"/>
            </w:tcMar>
          </w:tcPr>
          <w:p>
            <w:pPr>
              <w:spacing w:after="60" w:before="0"/>
            </w:pPr>
            <w:r>
              <w:rPr>
                <w:rFonts w:ascii="Arial" w:cs="Arial" w:eastAsia="Arial" w:hAnsi="Arial"/>
                <w:b/>
                <w:bCs/>
                <w:color w:val="7A5A00"/>
                <w:sz w:val="22"/>
                <w:szCs w:val="22"/>
              </w:rPr>
              <w:t xml:space="preserve">★  Conference Strategy</w:t>
            </w:r>
          </w:p>
          <w:p>
            <w:pPr>
              <w:spacing w:after="0" w:before="0"/>
            </w:pPr>
            <w:r>
              <w:rPr>
                <w:rFonts w:ascii="Arial" w:cs="Arial" w:eastAsia="Arial" w:hAnsi="Arial"/>
                <w:color w:val="222222"/>
                <w:sz w:val="20"/>
                <w:szCs w:val="20"/>
              </w:rPr>
              <w:t xml:space="preserve">Don't attend as an attendee. Sponsor a side event, host a dinner, or buy a booth. At the $10-20K level you can host a 'Solana Infrastructure' dinner at a major conference that puts you at a table with 15 qualified prospects. One enterprise contract from that dinner pays for the next three years of conference spend.</w:t>
            </w:r>
          </w:p>
        </w:tc>
      </w:tr>
    </w:tbl>
    <w:p>
      <w:r>
        <w:br w:type="page"/>
      </w:r>
    </w:p>
    <w:p>
      <w:pPr>
        <w:pStyle w:val="Heading1"/>
        <w:pBdr>
          <w:bottom w:val="single" w:color="2E75B6" w:sz="6" w:space="4"/>
        </w:pBdr>
        <w:spacing w:after="120" w:before="360"/>
      </w:pPr>
      <w:r>
        <w:rPr>
          <w:rFonts w:ascii="Arial" w:cs="Arial" w:eastAsia="Arial" w:hAnsi="Arial"/>
          <w:b/>
          <w:bCs/>
          <w:color w:val="1B3A6B"/>
          <w:sz w:val="32"/>
          <w:szCs w:val="32"/>
        </w:rPr>
        <w:t xml:space="preserve">6. Outreach Playbook &amp; Templates</w:t>
      </w:r>
    </w:p>
    <w:p>
      <w:pPr>
        <w:spacing w:after="80" w:before="60"/>
      </w:pPr>
      <w:r>
        <w:rPr>
          <w:rFonts w:ascii="Arial" w:cs="Arial" w:eastAsia="Arial" w:hAnsi="Arial"/>
          <w:color w:val="222222"/>
          <w:sz w:val="22"/>
          <w:szCs w:val="22"/>
        </w:rPr>
        <w:t xml:space="preserve">The following templates are starting points — personalize every message with something specific to the recipient or their company. Generic messages get ignored. Specific messages get replies. Keep every initial message under 100 words.</w:t>
      </w:r>
    </w:p>
    <w:p>
      <w:pPr>
        <w:spacing w:after="0" w:before="80"/>
      </w:pPr>
      <w:r>
        <w:t xml:space="preserve"/>
      </w:r>
    </w:p>
    <w:p>
      <w:pPr>
        <w:pStyle w:val="Heading2"/>
        <w:spacing w:after="100" w:before="280"/>
      </w:pPr>
      <w:r>
        <w:rPr>
          <w:rFonts w:ascii="Arial" w:cs="Arial" w:eastAsia="Arial" w:hAnsi="Arial"/>
          <w:b/>
          <w:bCs/>
          <w:color w:val="2E75B6"/>
          <w:sz w:val="26"/>
          <w:szCs w:val="26"/>
        </w:rPr>
        <w:t xml:space="preserve">6.1 — LinkedIn: Cold Outreach to Infrastructure/Engineering Lead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2A3E" w:val="clear"/>
            <w:tcMar>
              <w:top w:type="dxa" w:w="80"/>
              <w:left w:type="dxa" w:w="200"/>
              <w:bottom w:type="dxa" w:w="80"/>
              <w:right w:type="dxa" w:w="200"/>
            </w:tcMar>
          </w:tcPr>
          <w:p>
            <w:r>
              <w:rPr>
                <w:rFonts w:ascii="Arial" w:cs="Arial" w:eastAsia="Arial" w:hAnsi="Arial"/>
                <w:b/>
                <w:bCs/>
                <w:color w:val="A0C8FF"/>
                <w:sz w:val="20"/>
                <w:szCs w:val="20"/>
              </w:rPr>
              <w:t xml:space="preserve">Subject: Solana infrastructure — quick question</w:t>
            </w:r>
          </w:p>
        </w:tc>
      </w:tr>
      <w:tr>
        <w:tc>
          <w:tcPr>
            <w:tcW w:type="dxa" w:w="9360"/>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pPr>
              <w:spacing w:after="20" w:before="20"/>
            </w:pPr>
            <w:r>
              <w:rPr>
                <w:rFonts w:ascii="Arial" w:cs="Arial" w:eastAsia="Arial" w:hAnsi="Arial"/>
                <w:color w:val="E0E0F0"/>
                <w:sz w:val="20"/>
                <w:szCs w:val="20"/>
              </w:rPr>
              <w:t xml:space="preserve">Hi [Name],</w:t>
            </w:r>
          </w:p>
          <w:p>
            <w:pPr>
              <w:spacing w:after="20" w:before="20"/>
            </w:pPr>
            <w:r>
              <w:rPr>
                <w:rFonts w:ascii="Arial" w:cs="Arial" w:eastAsia="Arial" w:hAnsi="Arial"/>
                <w:color w:val="E0E0F0"/>
                <w:sz w:val="20"/>
                <w:szCs w:val="20"/>
              </w:rPr>
              <w:t xml:space="preserve"/>
            </w:r>
          </w:p>
          <w:p>
            <w:pPr>
              <w:spacing w:after="20" w:before="20"/>
            </w:pPr>
            <w:r>
              <w:rPr>
                <w:rFonts w:ascii="Arial" w:cs="Arial" w:eastAsia="Arial" w:hAnsi="Arial"/>
                <w:color w:val="E0E0F0"/>
                <w:sz w:val="20"/>
                <w:szCs w:val="20"/>
              </w:rPr>
              <w:t xml:space="preserve">I run enterprise data centers and recently began building dedicated Solana RPC infrastructure for institutional clients.</w:t>
            </w:r>
          </w:p>
          <w:p>
            <w:pPr>
              <w:spacing w:after="20" w:before="20"/>
            </w:pPr>
            <w:r>
              <w:rPr>
                <w:rFonts w:ascii="Arial" w:cs="Arial" w:eastAsia="Arial" w:hAnsi="Arial"/>
                <w:color w:val="E0E0F0"/>
                <w:sz w:val="20"/>
                <w:szCs w:val="20"/>
              </w:rPr>
              <w:t xml:space="preserve"/>
            </w:r>
          </w:p>
          <w:p>
            <w:pPr>
              <w:spacing w:after="20" w:before="20"/>
            </w:pPr>
            <w:r>
              <w:rPr>
                <w:rFonts w:ascii="Arial" w:cs="Arial" w:eastAsia="Arial" w:hAnsi="Arial"/>
                <w:color w:val="E0E0F0"/>
                <w:sz w:val="20"/>
                <w:szCs w:val="20"/>
              </w:rPr>
              <w:t xml:space="preserve">I noticed [Company] is active on Solana and wanted to ask a simple question: are you happy with your current RPC provider, or is reliability/latency during peak events something you're still solving?</w:t>
            </w:r>
          </w:p>
          <w:p>
            <w:pPr>
              <w:spacing w:after="20" w:before="20"/>
            </w:pPr>
            <w:r>
              <w:rPr>
                <w:rFonts w:ascii="Arial" w:cs="Arial" w:eastAsia="Arial" w:hAnsi="Arial"/>
                <w:color w:val="E0E0F0"/>
                <w:sz w:val="20"/>
                <w:szCs w:val="20"/>
              </w:rPr>
              <w:t xml:space="preserve"/>
            </w:r>
          </w:p>
          <w:p>
            <w:pPr>
              <w:spacing w:after="20" w:before="20"/>
            </w:pPr>
            <w:r>
              <w:rPr>
                <w:rFonts w:ascii="Arial" w:cs="Arial" w:eastAsia="Arial" w:hAnsi="Arial"/>
                <w:color w:val="E0E0F0"/>
                <w:sz w:val="20"/>
                <w:szCs w:val="20"/>
              </w:rPr>
              <w:t xml:space="preserve">We come from a cybersecurity background — SOC 2 compliant, 10-year ops track record. Probably different from most providers you've talked to.</w:t>
            </w:r>
          </w:p>
          <w:p>
            <w:pPr>
              <w:spacing w:after="20" w:before="20"/>
            </w:pPr>
            <w:r>
              <w:rPr>
                <w:rFonts w:ascii="Arial" w:cs="Arial" w:eastAsia="Arial" w:hAnsi="Arial"/>
                <w:color w:val="E0E0F0"/>
                <w:sz w:val="20"/>
                <w:szCs w:val="20"/>
              </w:rPr>
              <w:t xml:space="preserve"/>
            </w:r>
          </w:p>
          <w:p>
            <w:pPr>
              <w:spacing w:after="20" w:before="20"/>
            </w:pPr>
            <w:r>
              <w:rPr>
                <w:rFonts w:ascii="Arial" w:cs="Arial" w:eastAsia="Arial" w:hAnsi="Arial"/>
                <w:color w:val="E0E0F0"/>
                <w:sz w:val="20"/>
                <w:szCs w:val="20"/>
              </w:rPr>
              <w:t xml:space="preserve">Happy to share what we've built if the timing is right.</w:t>
            </w:r>
          </w:p>
          <w:p>
            <w:pPr>
              <w:spacing w:after="20" w:before="20"/>
            </w:pPr>
            <w:r>
              <w:rPr>
                <w:rFonts w:ascii="Arial" w:cs="Arial" w:eastAsia="Arial" w:hAnsi="Arial"/>
                <w:color w:val="E0E0F0"/>
                <w:sz w:val="20"/>
                <w:szCs w:val="20"/>
              </w:rPr>
              <w:t xml:space="preserve"/>
            </w:r>
          </w:p>
          <w:p>
            <w:pPr>
              <w:spacing w:after="20" w:before="20"/>
            </w:pPr>
            <w:r>
              <w:rPr>
                <w:rFonts w:ascii="Arial" w:cs="Arial" w:eastAsia="Arial" w:hAnsi="Arial"/>
                <w:color w:val="E0E0F0"/>
                <w:sz w:val="20"/>
                <w:szCs w:val="20"/>
              </w:rPr>
              <w:t xml:space="preserve">[Your name]</w:t>
            </w:r>
          </w:p>
        </w:tc>
      </w:tr>
    </w:tbl>
    <w:p>
      <w:pPr>
        <w:spacing w:after="0" w:before="160"/>
      </w:pPr>
      <w:r>
        <w:t xml:space="preserve"/>
      </w:r>
    </w:p>
    <w:p>
      <w:pPr>
        <w:pStyle w:val="Heading2"/>
        <w:spacing w:after="100" w:before="280"/>
      </w:pPr>
      <w:r>
        <w:rPr>
          <w:rFonts w:ascii="Arial" w:cs="Arial" w:eastAsia="Arial" w:hAnsi="Arial"/>
          <w:b/>
          <w:bCs/>
          <w:color w:val="2E75B6"/>
          <w:sz w:val="26"/>
          <w:szCs w:val="26"/>
        </w:rPr>
        <w:t xml:space="preserve">6.2 — LinkedIn: Warm Outreach via Ledger Reference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2A3E" w:val="clear"/>
            <w:tcMar>
              <w:top w:type="dxa" w:w="80"/>
              <w:left w:type="dxa" w:w="200"/>
              <w:bottom w:type="dxa" w:w="80"/>
              <w:right w:type="dxa" w:w="200"/>
            </w:tcMar>
          </w:tcPr>
          <w:p>
            <w:r>
              <w:rPr>
                <w:rFonts w:ascii="Arial" w:cs="Arial" w:eastAsia="Arial" w:hAnsi="Arial"/>
                <w:b/>
                <w:bCs/>
                <w:color w:val="A0C8FF"/>
                <w:sz w:val="20"/>
                <w:szCs w:val="20"/>
              </w:rPr>
              <w:t xml:space="preserve">Subject: Intro — Solana infrastructure, Ledger reference</w:t>
            </w:r>
          </w:p>
        </w:tc>
      </w:tr>
      <w:tr>
        <w:tc>
          <w:tcPr>
            <w:tcW w:type="dxa" w:w="9360"/>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pPr>
              <w:spacing w:after="20" w:before="20"/>
            </w:pPr>
            <w:r>
              <w:rPr>
                <w:rFonts w:ascii="Arial" w:cs="Arial" w:eastAsia="Arial" w:hAnsi="Arial"/>
                <w:color w:val="E0E0F0"/>
                <w:sz w:val="20"/>
                <w:szCs w:val="20"/>
              </w:rPr>
              <w:t xml:space="preserve">Hi [Name],</w:t>
            </w:r>
          </w:p>
          <w:p>
            <w:pPr>
              <w:spacing w:after="20" w:before="20"/>
            </w:pPr>
            <w:r>
              <w:rPr>
                <w:rFonts w:ascii="Arial" w:cs="Arial" w:eastAsia="Arial" w:hAnsi="Arial"/>
                <w:color w:val="E0E0F0"/>
                <w:sz w:val="20"/>
                <w:szCs w:val="20"/>
              </w:rPr>
              <w:t xml:space="preserve"/>
            </w:r>
          </w:p>
          <w:p>
            <w:pPr>
              <w:spacing w:after="20" w:before="20"/>
            </w:pPr>
            <w:r>
              <w:rPr>
                <w:rFonts w:ascii="Arial" w:cs="Arial" w:eastAsia="Arial" w:hAnsi="Arial"/>
                <w:color w:val="E0E0F0"/>
                <w:sz w:val="20"/>
                <w:szCs w:val="20"/>
              </w:rPr>
              <w:t xml:space="preserve">I work with Ledger on infrastructure — they suggested I reach out to you.</w:t>
            </w:r>
          </w:p>
          <w:p>
            <w:pPr>
              <w:spacing w:after="20" w:before="20"/>
            </w:pPr>
            <w:r>
              <w:rPr>
                <w:rFonts w:ascii="Arial" w:cs="Arial" w:eastAsia="Arial" w:hAnsi="Arial"/>
                <w:color w:val="E0E0F0"/>
                <w:sz w:val="20"/>
                <w:szCs w:val="20"/>
              </w:rPr>
              <w:t xml:space="preserve"/>
            </w:r>
          </w:p>
          <w:p>
            <w:pPr>
              <w:spacing w:after="20" w:before="20"/>
            </w:pPr>
            <w:r>
              <w:rPr>
                <w:rFonts w:ascii="Arial" w:cs="Arial" w:eastAsia="Arial" w:hAnsi="Arial"/>
                <w:color w:val="E0E0F0"/>
                <w:sz w:val="20"/>
                <w:szCs w:val="20"/>
              </w:rPr>
              <w:t xml:space="preserve">We're building Solana RPC infrastructure specifically for companies like [Company] that need enterprise SLAs and security compliance behind their blockchain access — not just a developer-focused API.</w:t>
            </w:r>
          </w:p>
          <w:p>
            <w:pPr>
              <w:spacing w:after="20" w:before="20"/>
            </w:pPr>
            <w:r>
              <w:rPr>
                <w:rFonts w:ascii="Arial" w:cs="Arial" w:eastAsia="Arial" w:hAnsi="Arial"/>
                <w:color w:val="E0E0F0"/>
                <w:sz w:val="20"/>
                <w:szCs w:val="20"/>
              </w:rPr>
              <w:t xml:space="preserve"/>
            </w:r>
          </w:p>
          <w:p>
            <w:pPr>
              <w:spacing w:after="20" w:before="20"/>
            </w:pPr>
            <w:r>
              <w:rPr>
                <w:rFonts w:ascii="Arial" w:cs="Arial" w:eastAsia="Arial" w:hAnsi="Arial"/>
                <w:color w:val="E0E0F0"/>
                <w:sz w:val="20"/>
                <w:szCs w:val="20"/>
              </w:rPr>
              <w:t xml:space="preserve">Do you have 20 minutes this week? I'd like to understand your current setup and whether there's a fit.</w:t>
            </w:r>
          </w:p>
          <w:p>
            <w:pPr>
              <w:spacing w:after="20" w:before="20"/>
            </w:pPr>
            <w:r>
              <w:rPr>
                <w:rFonts w:ascii="Arial" w:cs="Arial" w:eastAsia="Arial" w:hAnsi="Arial"/>
                <w:color w:val="E0E0F0"/>
                <w:sz w:val="20"/>
                <w:szCs w:val="20"/>
              </w:rPr>
              <w:t xml:space="preserve"/>
            </w:r>
          </w:p>
          <w:p>
            <w:pPr>
              <w:spacing w:after="20" w:before="20"/>
            </w:pPr>
            <w:r>
              <w:rPr>
                <w:rFonts w:ascii="Arial" w:cs="Arial" w:eastAsia="Arial" w:hAnsi="Arial"/>
                <w:color w:val="E0E0F0"/>
                <w:sz w:val="20"/>
                <w:szCs w:val="20"/>
              </w:rPr>
              <w:t xml:space="preserve">[Your name]</w:t>
            </w:r>
          </w:p>
        </w:tc>
      </w:tr>
    </w:tbl>
    <w:p>
      <w:pPr>
        <w:spacing w:after="0" w:before="160"/>
      </w:pPr>
      <w:r>
        <w:t xml:space="preserve"/>
      </w:r>
    </w:p>
    <w:p>
      <w:pPr>
        <w:pStyle w:val="Heading2"/>
        <w:spacing w:after="100" w:before="280"/>
      </w:pPr>
      <w:r>
        <w:rPr>
          <w:rFonts w:ascii="Arial" w:cs="Arial" w:eastAsia="Arial" w:hAnsi="Arial"/>
          <w:b/>
          <w:bCs/>
          <w:color w:val="2E75B6"/>
          <w:sz w:val="26"/>
          <w:szCs w:val="26"/>
        </w:rPr>
        <w:t xml:space="preserve">6.3 — LinkedIn: Outreach to Prop Trading / Quant Firms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2A3E" w:val="clear"/>
            <w:tcMar>
              <w:top w:type="dxa" w:w="80"/>
              <w:left w:type="dxa" w:w="200"/>
              <w:bottom w:type="dxa" w:w="80"/>
              <w:right w:type="dxa" w:w="200"/>
            </w:tcMar>
          </w:tcPr>
          <w:p>
            <w:r>
              <w:rPr>
                <w:rFonts w:ascii="Arial" w:cs="Arial" w:eastAsia="Arial" w:hAnsi="Arial"/>
                <w:b/>
                <w:bCs/>
                <w:color w:val="A0C8FF"/>
                <w:sz w:val="20"/>
                <w:szCs w:val="20"/>
              </w:rPr>
              <w:t xml:space="preserve">Subject: Dedicated Solana node — bare metal, Las Vegas</w:t>
            </w:r>
          </w:p>
        </w:tc>
      </w:tr>
      <w:tr>
        <w:tc>
          <w:tcPr>
            <w:tcW w:type="dxa" w:w="9360"/>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pPr>
              <w:spacing w:after="20" w:before="20"/>
            </w:pPr>
            <w:r>
              <w:rPr>
                <w:rFonts w:ascii="Arial" w:cs="Arial" w:eastAsia="Arial" w:hAnsi="Arial"/>
                <w:color w:val="E0E0F0"/>
                <w:sz w:val="20"/>
                <w:szCs w:val="20"/>
              </w:rPr>
              <w:t xml:space="preserve">Hi [Name],</w:t>
            </w:r>
          </w:p>
          <w:p>
            <w:pPr>
              <w:spacing w:after="20" w:before="20"/>
            </w:pPr>
            <w:r>
              <w:rPr>
                <w:rFonts w:ascii="Arial" w:cs="Arial" w:eastAsia="Arial" w:hAnsi="Arial"/>
                <w:color w:val="E0E0F0"/>
                <w:sz w:val="20"/>
                <w:szCs w:val="20"/>
              </w:rPr>
              <w:t xml:space="preserve"/>
            </w:r>
          </w:p>
          <w:p>
            <w:pPr>
              <w:spacing w:after="20" w:before="20"/>
            </w:pPr>
            <w:r>
              <w:rPr>
                <w:rFonts w:ascii="Arial" w:cs="Arial" w:eastAsia="Arial" w:hAnsi="Arial"/>
                <w:color w:val="E0E0F0"/>
                <w:sz w:val="20"/>
                <w:szCs w:val="20"/>
              </w:rPr>
              <w:t xml:space="preserve">We operate bare-metal data centers and recently deployed dedicated Solana RPC nodes for institutional trading clients.</w:t>
            </w:r>
          </w:p>
          <w:p>
            <w:pPr>
              <w:spacing w:after="20" w:before="20"/>
            </w:pPr>
            <w:r>
              <w:rPr>
                <w:rFonts w:ascii="Arial" w:cs="Arial" w:eastAsia="Arial" w:hAnsi="Arial"/>
                <w:color w:val="E0E0F0"/>
                <w:sz w:val="20"/>
                <w:szCs w:val="20"/>
              </w:rPr>
              <w:t xml:space="preserve"/>
            </w:r>
          </w:p>
          <w:p>
            <w:pPr>
              <w:spacing w:after="20" w:before="20"/>
            </w:pPr>
            <w:r>
              <w:rPr>
                <w:rFonts w:ascii="Arial" w:cs="Arial" w:eastAsia="Arial" w:hAnsi="Arial"/>
                <w:color w:val="E0E0F0"/>
                <w:sz w:val="20"/>
                <w:szCs w:val="20"/>
              </w:rPr>
              <w:t xml:space="preserve">For firms running latency-sensitive strategies on Solana, we offer isolated dedicated nodes — your traffic only, no shared load, NVMe + 10Gbps. Geographically positioned in Las Vegas.</w:t>
            </w:r>
          </w:p>
          <w:p>
            <w:pPr>
              <w:spacing w:after="20" w:before="20"/>
            </w:pPr>
            <w:r>
              <w:rPr>
                <w:rFonts w:ascii="Arial" w:cs="Arial" w:eastAsia="Arial" w:hAnsi="Arial"/>
                <w:color w:val="E0E0F0"/>
                <w:sz w:val="20"/>
                <w:szCs w:val="20"/>
              </w:rPr>
              <w:t xml:space="preserve"/>
            </w:r>
          </w:p>
          <w:p>
            <w:pPr>
              <w:spacing w:after="20" w:before="20"/>
            </w:pPr>
            <w:r>
              <w:rPr>
                <w:rFonts w:ascii="Arial" w:cs="Arial" w:eastAsia="Arial" w:hAnsi="Arial"/>
                <w:color w:val="E0E0F0"/>
                <w:sz w:val="20"/>
                <w:szCs w:val="20"/>
              </w:rPr>
              <w:t xml:space="preserve">If you've ever had performance degrade on shared RPC during a high-volatility event, that is exactly the problem we solve.</w:t>
            </w:r>
          </w:p>
          <w:p>
            <w:pPr>
              <w:spacing w:after="20" w:before="20"/>
            </w:pPr>
            <w:r>
              <w:rPr>
                <w:rFonts w:ascii="Arial" w:cs="Arial" w:eastAsia="Arial" w:hAnsi="Arial"/>
                <w:color w:val="E0E0F0"/>
                <w:sz w:val="20"/>
                <w:szCs w:val="20"/>
              </w:rPr>
              <w:t xml:space="preserve"/>
            </w:r>
          </w:p>
          <w:p>
            <w:pPr>
              <w:spacing w:after="20" w:before="20"/>
            </w:pPr>
            <w:r>
              <w:rPr>
                <w:rFonts w:ascii="Arial" w:cs="Arial" w:eastAsia="Arial" w:hAnsi="Arial"/>
                <w:color w:val="E0E0F0"/>
                <w:sz w:val="20"/>
                <w:szCs w:val="20"/>
              </w:rPr>
              <w:t xml:space="preserve">Worth a quick call?</w:t>
            </w:r>
          </w:p>
          <w:p>
            <w:pPr>
              <w:spacing w:after="20" w:before="20"/>
            </w:pPr>
            <w:r>
              <w:rPr>
                <w:rFonts w:ascii="Arial" w:cs="Arial" w:eastAsia="Arial" w:hAnsi="Arial"/>
                <w:color w:val="E0E0F0"/>
                <w:sz w:val="20"/>
                <w:szCs w:val="20"/>
              </w:rPr>
              <w:t xml:space="preserve"/>
            </w:r>
          </w:p>
          <w:p>
            <w:pPr>
              <w:spacing w:after="20" w:before="20"/>
            </w:pPr>
            <w:r>
              <w:rPr>
                <w:rFonts w:ascii="Arial" w:cs="Arial" w:eastAsia="Arial" w:hAnsi="Arial"/>
                <w:color w:val="E0E0F0"/>
                <w:sz w:val="20"/>
                <w:szCs w:val="20"/>
              </w:rPr>
              <w:t xml:space="preserve">[Your name]</w:t>
            </w:r>
          </w:p>
        </w:tc>
      </w:tr>
    </w:tbl>
    <w:p>
      <w:pPr>
        <w:spacing w:after="0" w:before="160"/>
      </w:pPr>
      <w:r>
        <w:t xml:space="preserve"/>
      </w:r>
    </w:p>
    <w:p>
      <w:pPr>
        <w:pStyle w:val="Heading2"/>
        <w:spacing w:after="100" w:before="280"/>
      </w:pPr>
      <w:r>
        <w:rPr>
          <w:rFonts w:ascii="Arial" w:cs="Arial" w:eastAsia="Arial" w:hAnsi="Arial"/>
          <w:b/>
          <w:bCs/>
          <w:color w:val="2E75B6"/>
          <w:sz w:val="26"/>
          <w:szCs w:val="26"/>
        </w:rPr>
        <w:t xml:space="preserve">6.4 — Email: Cold to VP Engineering / Head of Platform at Exchange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2A3E" w:val="clear"/>
            <w:tcMar>
              <w:top w:type="dxa" w:w="80"/>
              <w:left w:type="dxa" w:w="200"/>
              <w:bottom w:type="dxa" w:w="80"/>
              <w:right w:type="dxa" w:w="200"/>
            </w:tcMar>
          </w:tcPr>
          <w:p>
            <w:r>
              <w:rPr>
                <w:rFonts w:ascii="Arial" w:cs="Arial" w:eastAsia="Arial" w:hAnsi="Arial"/>
                <w:b/>
                <w:bCs/>
                <w:color w:val="A0C8FF"/>
                <w:sz w:val="20"/>
                <w:szCs w:val="20"/>
              </w:rPr>
              <w:t xml:space="preserve">Subject: Solana RPC infrastructure for [Company] — enterprise-grade alternative</w:t>
            </w:r>
          </w:p>
        </w:tc>
      </w:tr>
      <w:tr>
        <w:tc>
          <w:tcPr>
            <w:tcW w:type="dxa" w:w="9360"/>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pPr>
              <w:spacing w:after="20" w:before="20"/>
            </w:pPr>
            <w:r>
              <w:rPr>
                <w:rFonts w:ascii="Arial" w:cs="Arial" w:eastAsia="Arial" w:hAnsi="Arial"/>
                <w:color w:val="E0E0F0"/>
                <w:sz w:val="20"/>
                <w:szCs w:val="20"/>
              </w:rPr>
              <w:t xml:space="preserve">Hi [Name],</w:t>
            </w:r>
          </w:p>
          <w:p>
            <w:pPr>
              <w:spacing w:after="20" w:before="20"/>
            </w:pPr>
            <w:r>
              <w:rPr>
                <w:rFonts w:ascii="Arial" w:cs="Arial" w:eastAsia="Arial" w:hAnsi="Arial"/>
                <w:color w:val="E0E0F0"/>
                <w:sz w:val="20"/>
                <w:szCs w:val="20"/>
              </w:rPr>
              <w:t xml:space="preserve"/>
            </w:r>
          </w:p>
          <w:p>
            <w:pPr>
              <w:spacing w:after="20" w:before="20"/>
            </w:pPr>
            <w:r>
              <w:rPr>
                <w:rFonts w:ascii="Arial" w:cs="Arial" w:eastAsia="Arial" w:hAnsi="Arial"/>
                <w:color w:val="E0E0F0"/>
                <w:sz w:val="20"/>
                <w:szCs w:val="20"/>
              </w:rPr>
              <w:t xml:space="preserve">I'll be direct: we've built Solana RPC infrastructure specifically for companies that have outgrown developer-focused providers.</w:t>
            </w:r>
          </w:p>
          <w:p>
            <w:pPr>
              <w:spacing w:after="20" w:before="20"/>
            </w:pPr>
            <w:r>
              <w:rPr>
                <w:rFonts w:ascii="Arial" w:cs="Arial" w:eastAsia="Arial" w:hAnsi="Arial"/>
                <w:color w:val="E0E0F0"/>
                <w:sz w:val="20"/>
                <w:szCs w:val="20"/>
              </w:rPr>
              <w:t xml:space="preserve"/>
            </w:r>
          </w:p>
          <w:p>
            <w:pPr>
              <w:spacing w:after="20" w:before="20"/>
            </w:pPr>
            <w:r>
              <w:rPr>
                <w:rFonts w:ascii="Arial" w:cs="Arial" w:eastAsia="Arial" w:hAnsi="Arial"/>
                <w:color w:val="E0E0F0"/>
                <w:sz w:val="20"/>
                <w:szCs w:val="20"/>
              </w:rPr>
              <w:t xml:space="preserve">We come from enterprise data centers and cybersecurity — not crypto startups. That means SOC 2 compliance, real SLAs, and a security questionnaire process your legal team will actually be satisfied with.</w:t>
            </w:r>
          </w:p>
          <w:p>
            <w:pPr>
              <w:spacing w:after="20" w:before="20"/>
            </w:pPr>
            <w:r>
              <w:rPr>
                <w:rFonts w:ascii="Arial" w:cs="Arial" w:eastAsia="Arial" w:hAnsi="Arial"/>
                <w:color w:val="E0E0F0"/>
                <w:sz w:val="20"/>
                <w:szCs w:val="20"/>
              </w:rPr>
              <w:t xml:space="preserve"/>
            </w:r>
          </w:p>
          <w:p>
            <w:pPr>
              <w:spacing w:after="20" w:before="20"/>
            </w:pPr>
            <w:r>
              <w:rPr>
                <w:rFonts w:ascii="Arial" w:cs="Arial" w:eastAsia="Arial" w:hAnsi="Arial"/>
                <w:color w:val="E0E0F0"/>
                <w:sz w:val="20"/>
                <w:szCs w:val="20"/>
              </w:rPr>
              <w:t xml:space="preserve">We currently serve [Ledger / reference customer] and are selectively taking on new enterprise clients. I'd like to offer [Company] a 30-day proof of concept alongside your existing provider — no switching required, no risk.</w:t>
            </w:r>
          </w:p>
          <w:p>
            <w:pPr>
              <w:spacing w:after="20" w:before="20"/>
            </w:pPr>
            <w:r>
              <w:rPr>
                <w:rFonts w:ascii="Arial" w:cs="Arial" w:eastAsia="Arial" w:hAnsi="Arial"/>
                <w:color w:val="E0E0F0"/>
                <w:sz w:val="20"/>
                <w:szCs w:val="20"/>
              </w:rPr>
              <w:t xml:space="preserve"/>
            </w:r>
          </w:p>
          <w:p>
            <w:pPr>
              <w:spacing w:after="20" w:before="20"/>
            </w:pPr>
            <w:r>
              <w:rPr>
                <w:rFonts w:ascii="Arial" w:cs="Arial" w:eastAsia="Arial" w:hAnsi="Arial"/>
                <w:color w:val="E0E0F0"/>
                <w:sz w:val="20"/>
                <w:szCs w:val="20"/>
              </w:rPr>
              <w:t xml:space="preserve">If Solana infrastructure reliability, compliance posture, or latency during peak events is on your radar, I'd welcome 20 minutes.</w:t>
            </w:r>
          </w:p>
          <w:p>
            <w:pPr>
              <w:spacing w:after="20" w:before="20"/>
            </w:pPr>
            <w:r>
              <w:rPr>
                <w:rFonts w:ascii="Arial" w:cs="Arial" w:eastAsia="Arial" w:hAnsi="Arial"/>
                <w:color w:val="E0E0F0"/>
                <w:sz w:val="20"/>
                <w:szCs w:val="20"/>
              </w:rPr>
              <w:t xml:space="preserve"/>
            </w:r>
          </w:p>
          <w:p>
            <w:pPr>
              <w:spacing w:after="20" w:before="20"/>
            </w:pPr>
            <w:r>
              <w:rPr>
                <w:rFonts w:ascii="Arial" w:cs="Arial" w:eastAsia="Arial" w:hAnsi="Arial"/>
                <w:color w:val="E0E0F0"/>
                <w:sz w:val="20"/>
                <w:szCs w:val="20"/>
              </w:rPr>
              <w:t xml:space="preserve">Best,</w:t>
            </w:r>
          </w:p>
          <w:p>
            <w:pPr>
              <w:spacing w:after="20" w:before="20"/>
            </w:pPr>
            <w:r>
              <w:rPr>
                <w:rFonts w:ascii="Arial" w:cs="Arial" w:eastAsia="Arial" w:hAnsi="Arial"/>
                <w:color w:val="E0E0F0"/>
                <w:sz w:val="20"/>
                <w:szCs w:val="20"/>
              </w:rPr>
              <w:t xml:space="preserve">[Your name]</w:t>
            </w:r>
          </w:p>
          <w:p>
            <w:pPr>
              <w:spacing w:after="20" w:before="20"/>
            </w:pPr>
            <w:r>
              <w:rPr>
                <w:rFonts w:ascii="Arial" w:cs="Arial" w:eastAsia="Arial" w:hAnsi="Arial"/>
                <w:color w:val="E0E0F0"/>
                <w:sz w:val="20"/>
                <w:szCs w:val="20"/>
              </w:rPr>
              <w:t xml:space="preserve">[Title] | [Company]</w:t>
            </w:r>
          </w:p>
          <w:p>
            <w:pPr>
              <w:spacing w:after="20" w:before="20"/>
            </w:pPr>
            <w:r>
              <w:rPr>
                <w:rFonts w:ascii="Arial" w:cs="Arial" w:eastAsia="Arial" w:hAnsi="Arial"/>
                <w:color w:val="E0E0F0"/>
                <w:sz w:val="20"/>
                <w:szCs w:val="20"/>
              </w:rPr>
              <w:t xml:space="preserve">[Phone]</w:t>
            </w:r>
          </w:p>
        </w:tc>
      </w:tr>
    </w:tbl>
    <w:p>
      <w:pPr>
        <w:spacing w:after="0" w:before="160"/>
      </w:pPr>
      <w:r>
        <w:t xml:space="preserve"/>
      </w:r>
    </w:p>
    <w:p>
      <w:pPr>
        <w:pStyle w:val="Heading2"/>
        <w:spacing w:after="100" w:before="280"/>
      </w:pPr>
      <w:r>
        <w:rPr>
          <w:rFonts w:ascii="Arial" w:cs="Arial" w:eastAsia="Arial" w:hAnsi="Arial"/>
          <w:b/>
          <w:bCs/>
          <w:color w:val="2E75B6"/>
          <w:sz w:val="26"/>
          <w:szCs w:val="26"/>
        </w:rPr>
        <w:t xml:space="preserve">6.5 — Follow-Up Sequence</w:t>
      </w:r>
    </w:p>
    <w:p>
      <w:pPr>
        <w:spacing w:after="80" w:before="60"/>
      </w:pPr>
      <w:r>
        <w:rPr>
          <w:rFonts w:ascii="Arial" w:cs="Arial" w:eastAsia="Arial" w:hAnsi="Arial"/>
          <w:color w:val="222222"/>
          <w:sz w:val="22"/>
          <w:szCs w:val="22"/>
        </w:rPr>
        <w:t xml:space="preserve">80% of deals come from follow-up, not the first message. Use this sequence for every outreach: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60"/>
        <w:gridCol w:w="5100"/>
      </w:tblGrid>
      <w:tr>
        <w:tc>
          <w:tcPr>
            <w:tcW w:type="dxa" w:w="9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Day</w:t>
            </w:r>
          </w:p>
        </w:tc>
        <w:tc>
          <w:tcPr>
            <w:tcW w:type="dxa" w:w="33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Action</w:t>
            </w:r>
          </w:p>
        </w:tc>
        <w:tc>
          <w:tcPr>
            <w:tcW w:type="dxa" w:w="51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Message Type</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Day 1</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Send initial outreach (LinkedIn or email)</w:t>
            </w:r>
          </w:p>
        </w:tc>
        <w:tc>
          <w:tcPr>
            <w:tcW w:type="dxa" w:w="5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Curiosity — not a pitch. Ask one question.</w:t>
            </w:r>
          </w:p>
        </w:tc>
      </w:tr>
      <w:tr>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Day 4</w:t>
            </w:r>
          </w:p>
        </w:tc>
        <w:tc>
          <w:tcPr>
            <w:tcW w:type="dxa" w:w="33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Follow-up if no response</w:t>
            </w:r>
          </w:p>
        </w:tc>
        <w:tc>
          <w:tcPr>
            <w:tcW w:type="dxa" w:w="51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'Just wanted to make sure this reached you. Happy to send a one-pager if easier.'</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Day 10</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Second follow-up with a value add</w:t>
            </w:r>
          </w:p>
        </w:tc>
        <w:tc>
          <w:tcPr>
            <w:tcW w:type="dxa" w:w="5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Share something useful: 'Thought this benchmark comparison might be relevant to your infrastructure decisions.' Link to a piece of content.</w:t>
            </w:r>
          </w:p>
        </w:tc>
      </w:tr>
      <w:tr>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Day 21</w:t>
            </w:r>
          </w:p>
        </w:tc>
        <w:tc>
          <w:tcPr>
            <w:tcW w:type="dxa" w:w="33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Final follow-up</w:t>
            </w:r>
          </w:p>
        </w:tc>
        <w:tc>
          <w:tcPr>
            <w:tcW w:type="dxa" w:w="51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'Last message on this — if timing isn't right, happy to reconnect when it is. No pressure.' Then move to monthly newsletter list.</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Day 60+</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Re-engage if trigger event occurs</w:t>
            </w:r>
          </w:p>
        </w:tc>
        <w:tc>
          <w:tcPr>
            <w:tcW w:type="dxa" w:w="5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New funding round, job posting for infra engineer, public mention of RPC issues — all are re-engagement triggers.</w:t>
            </w:r>
          </w:p>
        </w:tc>
      </w:tr>
    </w:tbl>
    <w:p>
      <w:r>
        <w:br w:type="page"/>
      </w:r>
    </w:p>
    <w:p>
      <w:pPr>
        <w:pStyle w:val="Heading1"/>
        <w:pBdr>
          <w:bottom w:val="single" w:color="2E75B6" w:sz="6" w:space="4"/>
        </w:pBdr>
        <w:spacing w:after="120" w:before="360"/>
      </w:pPr>
      <w:r>
        <w:rPr>
          <w:rFonts w:ascii="Arial" w:cs="Arial" w:eastAsia="Arial" w:hAnsi="Arial"/>
          <w:b/>
          <w:bCs/>
          <w:color w:val="1B3A6B"/>
          <w:sz w:val="32"/>
          <w:szCs w:val="32"/>
        </w:rPr>
        <w:t xml:space="preserve">7. Pricing Strategy</w:t>
      </w:r>
    </w:p>
    <w:p>
      <w:pPr>
        <w:spacing w:after="80" w:before="60"/>
      </w:pPr>
      <w:r>
        <w:rPr>
          <w:rFonts w:ascii="Arial" w:cs="Arial" w:eastAsia="Arial" w:hAnsi="Arial"/>
          <w:color w:val="222222"/>
          <w:sz w:val="22"/>
          <w:szCs w:val="22"/>
        </w:rPr>
        <w:t xml:space="preserve">Our pricing must accomplish three things simultaneously: be simple enough that a prospect can understand it in 30 seconds, be compelling against competitors who charge complexity premiums, and reflect the enterprise-grade quality we are delivering. The following model is designed around these constraints.</w:t>
      </w:r>
    </w:p>
    <w:p>
      <w:pPr>
        <w:spacing w:after="0" w:before="80"/>
      </w:pPr>
      <w:r>
        <w:t xml:space="preserve"/>
      </w:r>
    </w:p>
    <w:p>
      <w:pPr>
        <w:pStyle w:val="Heading2"/>
        <w:spacing w:after="100" w:before="280"/>
      </w:pPr>
      <w:r>
        <w:rPr>
          <w:rFonts w:ascii="Arial" w:cs="Arial" w:eastAsia="Arial" w:hAnsi="Arial"/>
          <w:b/>
          <w:bCs/>
          <w:color w:val="2E75B6"/>
          <w:sz w:val="26"/>
          <w:szCs w:val="26"/>
        </w:rPr>
        <w:t xml:space="preserve">7.1 — Core Pricing Tiers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F5F5F5" w:val="clear"/>
            <w:tcMar>
              <w:top w:type="dxa" w:w="100"/>
              <w:left w:type="dxa" w:w="100"/>
              <w:bottom w:type="dxa" w:w="100"/>
              <w:right w:type="dxa" w:w="100"/>
            </w:tcMar>
          </w:tcPr>
          <w:p>
            <w:r>
              <w:rPr>
                <w:rFonts w:ascii="Arial" w:cs="Arial" w:eastAsia="Arial" w:hAnsi="Arial"/>
                <w:sz w:val="20"/>
                <w:szCs w:val="20"/>
              </w:rPr>
              <w:t xml:space="preserve"/>
            </w:r>
          </w:p>
        </w:tc>
        <w:tc>
          <w:tcPr>
            <w:tcW w:type="dxa" w:w="1560"/>
            <w:tcBorders>
              <w:top w:val="none" w:color="FFFFFF" w:sz="0"/>
              <w:left w:val="none" w:color="FFFFFF" w:sz="0"/>
              <w:bottom w:val="none" w:color="FFFFFF" w:sz="0"/>
              <w:right w:val="none" w:color="FFFFFF" w:sz="0"/>
            </w:tcBorders>
            <w:shd w:fill="F5F5F5" w:val="clear"/>
            <w:tcMar>
              <w:top w:type="dxa" w:w="100"/>
              <w:left w:type="dxa" w:w="100"/>
              <w:bottom w:type="dxa" w:w="100"/>
              <w:right w:type="dxa" w:w="100"/>
            </w:tcMar>
          </w:tcPr>
          <w:p>
            <w:pPr>
              <w:jc w:val="center"/>
            </w:pPr>
            <w:r>
              <w:rPr>
                <w:rFonts w:ascii="Arial" w:cs="Arial" w:eastAsia="Arial" w:hAnsi="Arial"/>
                <w:b/>
                <w:bCs/>
                <w:color w:val="444444"/>
                <w:sz w:val="22"/>
                <w:szCs w:val="22"/>
              </w:rPr>
              <w:t xml:space="preserve">Free</w:t>
            </w:r>
          </w:p>
        </w:tc>
        <w:tc>
          <w:tcPr>
            <w:tcW w:type="dxa" w:w="1560"/>
            <w:tcBorders>
              <w:top w:val="none" w:color="FFFFFF" w:sz="0"/>
              <w:left w:val="none" w:color="FFFFFF" w:sz="0"/>
              <w:bottom w:val="none" w:color="FFFFFF" w:sz="0"/>
              <w:right w:val="none" w:color="FFFFFF" w:sz="0"/>
            </w:tcBorders>
            <w:shd w:fill="1E5A9C" w:val="clear"/>
            <w:tcMar>
              <w:top w:type="dxa" w:w="100"/>
              <w:left w:type="dxa" w:w="100"/>
              <w:bottom w:type="dxa" w:w="100"/>
              <w:right w:type="dxa" w:w="100"/>
            </w:tcMar>
          </w:tcPr>
          <w:p>
            <w:pPr>
              <w:jc w:val="center"/>
            </w:pPr>
            <w:r>
              <w:rPr>
                <w:rFonts w:ascii="Arial" w:cs="Arial" w:eastAsia="Arial" w:hAnsi="Arial"/>
                <w:b/>
                <w:bCs/>
                <w:color w:val="FFFFFF"/>
                <w:sz w:val="22"/>
                <w:szCs w:val="22"/>
              </w:rPr>
              <w:t xml:space="preserve">Starter</w:t>
            </w:r>
          </w:p>
        </w:tc>
        <w:tc>
          <w:tcPr>
            <w:tcW w:type="dxa" w:w="1560"/>
            <w:tcBorders>
              <w:top w:val="none" w:color="FFFFFF" w:sz="0"/>
              <w:left w:val="none" w:color="FFFFFF" w:sz="0"/>
              <w:bottom w:val="none" w:color="FFFFFF" w:sz="0"/>
              <w:right w:val="none" w:color="FFFFFF" w:sz="0"/>
            </w:tcBorders>
            <w:shd w:fill="1A7A4A" w:val="clear"/>
            <w:tcMar>
              <w:top w:type="dxa" w:w="100"/>
              <w:left w:type="dxa" w:w="100"/>
              <w:bottom w:type="dxa" w:w="100"/>
              <w:right w:type="dxa" w:w="100"/>
            </w:tcMar>
          </w:tcPr>
          <w:p>
            <w:pPr>
              <w:jc w:val="center"/>
            </w:pPr>
            <w:r>
              <w:rPr>
                <w:rFonts w:ascii="Arial" w:cs="Arial" w:eastAsia="Arial" w:hAnsi="Arial"/>
                <w:b/>
                <w:bCs/>
                <w:color w:val="FFFFFF"/>
                <w:sz w:val="22"/>
                <w:szCs w:val="22"/>
              </w:rPr>
              <w:t xml:space="preserve">Professional</w:t>
            </w:r>
          </w:p>
        </w:tc>
        <w:tc>
          <w:tcPr>
            <w:tcW w:type="dxa" w:w="1560"/>
            <w:tcBorders>
              <w:top w:val="none" w:color="FFFFFF" w:sz="0"/>
              <w:left w:val="none" w:color="FFFFFF" w:sz="0"/>
              <w:bottom w:val="none" w:color="FFFFFF" w:sz="0"/>
              <w:right w:val="none" w:color="FFFFFF" w:sz="0"/>
            </w:tcBorders>
            <w:shd w:fill="1B3A6B" w:val="clear"/>
            <w:tcMar>
              <w:top w:type="dxa" w:w="100"/>
              <w:left w:type="dxa" w:w="100"/>
              <w:bottom w:type="dxa" w:w="100"/>
              <w:right w:type="dxa" w:w="100"/>
            </w:tcMar>
          </w:tcPr>
          <w:p>
            <w:pPr>
              <w:jc w:val="center"/>
            </w:pPr>
            <w:r>
              <w:rPr>
                <w:rFonts w:ascii="Arial" w:cs="Arial" w:eastAsia="Arial" w:hAnsi="Arial"/>
                <w:b/>
                <w:bCs/>
                <w:color w:val="FFFFFF"/>
                <w:sz w:val="22"/>
                <w:szCs w:val="22"/>
              </w:rPr>
              <w:t xml:space="preserve">Business</w:t>
            </w:r>
          </w:p>
        </w:tc>
        <w:tc>
          <w:tcPr>
            <w:tcW w:type="dxa" w:w="1560"/>
            <w:tcBorders>
              <w:top w:val="none" w:color="FFFFFF" w:sz="0"/>
              <w:left w:val="none" w:color="FFFFFF" w:sz="0"/>
              <w:bottom w:val="none" w:color="FFFFFF" w:sz="0"/>
              <w:right w:val="none" w:color="FFFFFF" w:sz="0"/>
            </w:tcBorders>
            <w:shd w:fill="7A5A00" w:val="clear"/>
            <w:tcMar>
              <w:top w:type="dxa" w:w="100"/>
              <w:left w:type="dxa" w:w="100"/>
              <w:bottom w:type="dxa" w:w="100"/>
              <w:right w:type="dxa" w:w="100"/>
            </w:tcMar>
          </w:tcPr>
          <w:p>
            <w:pPr>
              <w:jc w:val="center"/>
            </w:pPr>
            <w:r>
              <w:rPr>
                <w:rFonts w:ascii="Arial" w:cs="Arial" w:eastAsia="Arial" w:hAnsi="Arial"/>
                <w:b/>
                <w:bCs/>
                <w:color w:val="FFFFFF"/>
                <w:sz w:val="22"/>
                <w:szCs w:val="22"/>
              </w:rPr>
              <w:t xml:space="preserve">Dedicated</w:t>
            </w:r>
          </w:p>
        </w:tc>
      </w:tr>
      <w:tr>
        <w:tc>
          <w:tcPr>
            <w:tcW w:type="dxa" w:w="15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left"/>
            </w:pPr>
            <w:r>
              <w:rPr>
                <w:rFonts w:ascii="Arial" w:cs="Arial" w:eastAsia="Arial" w:hAnsi="Arial"/>
                <w:b/>
                <w:bCs/>
                <w:color w:val="1B3A6B"/>
                <w:sz w:val="19"/>
                <w:szCs w:val="19"/>
              </w:rPr>
              <w:t xml:space="preserve">Price</w:t>
            </w:r>
          </w:p>
        </w:tc>
        <w:tc>
          <w:tcPr>
            <w:tcW w:type="dxa" w:w="15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222222"/>
                <w:sz w:val="19"/>
                <w:szCs w:val="19"/>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222222"/>
                <w:sz w:val="19"/>
                <w:szCs w:val="19"/>
              </w:rPr>
              <w:t xml:space="preserve">$49/mo</w:t>
            </w:r>
          </w:p>
        </w:tc>
        <w:tc>
          <w:tcPr>
            <w:tcW w:type="dxa" w:w="15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222222"/>
                <w:sz w:val="19"/>
                <w:szCs w:val="19"/>
              </w:rPr>
              <w:t xml:space="preserve">$299/mo</w:t>
            </w:r>
          </w:p>
        </w:tc>
        <w:tc>
          <w:tcPr>
            <w:tcW w:type="dxa" w:w="15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222222"/>
                <w:sz w:val="19"/>
                <w:szCs w:val="19"/>
              </w:rPr>
              <w:t xml:space="preserve">$999/mo</w:t>
            </w:r>
          </w:p>
        </w:tc>
        <w:tc>
          <w:tcPr>
            <w:tcW w:type="dxa" w:w="15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222222"/>
                <w:sz w:val="19"/>
                <w:szCs w:val="19"/>
              </w:rPr>
              <w:t xml:space="preserve">From $1,500/mo</w:t>
            </w:r>
          </w:p>
        </w:tc>
      </w:tr>
      <w:tr>
        <w:tc>
          <w:tcPr>
            <w:tcW w:type="dxa" w:w="156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pPr>
              <w:jc w:val="left"/>
            </w:pPr>
            <w:r>
              <w:rPr>
                <w:rFonts w:ascii="Arial" w:cs="Arial" w:eastAsia="Arial" w:hAnsi="Arial"/>
                <w:b/>
                <w:bCs/>
                <w:color w:val="1B3A6B"/>
                <w:sz w:val="19"/>
                <w:szCs w:val="19"/>
              </w:rPr>
              <w:t xml:space="preserve">Requests / day</w:t>
            </w:r>
          </w:p>
        </w:tc>
        <w:tc>
          <w:tcPr>
            <w:tcW w:type="dxa" w:w="156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pPr>
              <w:jc w:val="center"/>
            </w:pPr>
            <w:r>
              <w:rPr>
                <w:rFonts w:ascii="Arial" w:cs="Arial" w:eastAsia="Arial" w:hAnsi="Arial"/>
                <w:b w:val="false"/>
                <w:bCs w:val="false"/>
                <w:color w:val="222222"/>
                <w:sz w:val="19"/>
                <w:szCs w:val="19"/>
              </w:rPr>
              <w:t xml:space="preserve">50K</w:t>
            </w:r>
          </w:p>
        </w:tc>
        <w:tc>
          <w:tcPr>
            <w:tcW w:type="dxa" w:w="156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pPr>
              <w:jc w:val="center"/>
            </w:pPr>
            <w:r>
              <w:rPr>
                <w:rFonts w:ascii="Arial" w:cs="Arial" w:eastAsia="Arial" w:hAnsi="Arial"/>
                <w:b w:val="false"/>
                <w:bCs w:val="false"/>
                <w:color w:val="222222"/>
                <w:sz w:val="19"/>
                <w:szCs w:val="19"/>
              </w:rPr>
              <w:t xml:space="preserve">1M</w:t>
            </w:r>
          </w:p>
        </w:tc>
        <w:tc>
          <w:tcPr>
            <w:tcW w:type="dxa" w:w="156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pPr>
              <w:jc w:val="center"/>
            </w:pPr>
            <w:r>
              <w:rPr>
                <w:rFonts w:ascii="Arial" w:cs="Arial" w:eastAsia="Arial" w:hAnsi="Arial"/>
                <w:b w:val="false"/>
                <w:bCs w:val="false"/>
                <w:color w:val="222222"/>
                <w:sz w:val="19"/>
                <w:szCs w:val="19"/>
              </w:rPr>
              <w:t xml:space="preserve">10M</w:t>
            </w:r>
          </w:p>
        </w:tc>
        <w:tc>
          <w:tcPr>
            <w:tcW w:type="dxa" w:w="156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pPr>
              <w:jc w:val="center"/>
            </w:pPr>
            <w:r>
              <w:rPr>
                <w:rFonts w:ascii="Arial" w:cs="Arial" w:eastAsia="Arial" w:hAnsi="Arial"/>
                <w:b w:val="false"/>
                <w:bCs w:val="false"/>
                <w:color w:val="222222"/>
                <w:sz w:val="19"/>
                <w:szCs w:val="19"/>
              </w:rPr>
              <w:t xml:space="preserve">Unlimited</w:t>
            </w:r>
          </w:p>
        </w:tc>
        <w:tc>
          <w:tcPr>
            <w:tcW w:type="dxa" w:w="156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pPr>
              <w:jc w:val="center"/>
            </w:pPr>
            <w:r>
              <w:rPr>
                <w:rFonts w:ascii="Arial" w:cs="Arial" w:eastAsia="Arial" w:hAnsi="Arial"/>
                <w:b w:val="false"/>
                <w:bCs w:val="false"/>
                <w:color w:val="222222"/>
                <w:sz w:val="19"/>
                <w:szCs w:val="19"/>
              </w:rPr>
              <w:t xml:space="preserve">Unlimited</w:t>
            </w:r>
          </w:p>
        </w:tc>
      </w:tr>
      <w:tr>
        <w:tc>
          <w:tcPr>
            <w:tcW w:type="dxa" w:w="15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left"/>
            </w:pPr>
            <w:r>
              <w:rPr>
                <w:rFonts w:ascii="Arial" w:cs="Arial" w:eastAsia="Arial" w:hAnsi="Arial"/>
                <w:b/>
                <w:bCs/>
                <w:color w:val="1B3A6B"/>
                <w:sz w:val="19"/>
                <w:szCs w:val="19"/>
              </w:rPr>
              <w:t xml:space="preserve">RPS limit</w:t>
            </w:r>
          </w:p>
        </w:tc>
        <w:tc>
          <w:tcPr>
            <w:tcW w:type="dxa" w:w="15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222222"/>
                <w:sz w:val="19"/>
                <w:szCs w:val="19"/>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222222"/>
                <w:sz w:val="19"/>
                <w:szCs w:val="19"/>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222222"/>
                <w:sz w:val="19"/>
                <w:szCs w:val="19"/>
              </w:rPr>
              <w:t xml:space="preserve">20</w:t>
            </w:r>
          </w:p>
        </w:tc>
        <w:tc>
          <w:tcPr>
            <w:tcW w:type="dxa" w:w="15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222222"/>
                <w:sz w:val="19"/>
                <w:szCs w:val="19"/>
              </w:rPr>
              <w:t xml:space="preserve">100</w:t>
            </w:r>
          </w:p>
        </w:tc>
        <w:tc>
          <w:tcPr>
            <w:tcW w:type="dxa" w:w="15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222222"/>
                <w:sz w:val="19"/>
                <w:szCs w:val="19"/>
              </w:rPr>
              <w:t xml:space="preserve">Unlimited</w:t>
            </w:r>
          </w:p>
        </w:tc>
      </w:tr>
      <w:tr>
        <w:tc>
          <w:tcPr>
            <w:tcW w:type="dxa" w:w="156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pPr>
              <w:jc w:val="left"/>
            </w:pPr>
            <w:r>
              <w:rPr>
                <w:rFonts w:ascii="Arial" w:cs="Arial" w:eastAsia="Arial" w:hAnsi="Arial"/>
                <w:b/>
                <w:bCs/>
                <w:color w:val="1B3A6B"/>
                <w:sz w:val="19"/>
                <w:szCs w:val="19"/>
              </w:rPr>
              <w:t xml:space="preserve">Node type</w:t>
            </w:r>
          </w:p>
        </w:tc>
        <w:tc>
          <w:tcPr>
            <w:tcW w:type="dxa" w:w="156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pPr>
              <w:jc w:val="center"/>
            </w:pPr>
            <w:r>
              <w:rPr>
                <w:rFonts w:ascii="Arial" w:cs="Arial" w:eastAsia="Arial" w:hAnsi="Arial"/>
                <w:b w:val="false"/>
                <w:bCs w:val="false"/>
                <w:color w:val="222222"/>
                <w:sz w:val="19"/>
                <w:szCs w:val="19"/>
              </w:rPr>
              <w:t xml:space="preserve">Shared</w:t>
            </w:r>
          </w:p>
        </w:tc>
        <w:tc>
          <w:tcPr>
            <w:tcW w:type="dxa" w:w="156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pPr>
              <w:jc w:val="center"/>
            </w:pPr>
            <w:r>
              <w:rPr>
                <w:rFonts w:ascii="Arial" w:cs="Arial" w:eastAsia="Arial" w:hAnsi="Arial"/>
                <w:b w:val="false"/>
                <w:bCs w:val="false"/>
                <w:color w:val="222222"/>
                <w:sz w:val="19"/>
                <w:szCs w:val="19"/>
              </w:rPr>
              <w:t xml:space="preserve">Shared</w:t>
            </w:r>
          </w:p>
        </w:tc>
        <w:tc>
          <w:tcPr>
            <w:tcW w:type="dxa" w:w="156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pPr>
              <w:jc w:val="center"/>
            </w:pPr>
            <w:r>
              <w:rPr>
                <w:rFonts w:ascii="Arial" w:cs="Arial" w:eastAsia="Arial" w:hAnsi="Arial"/>
                <w:b w:val="false"/>
                <w:bCs w:val="false"/>
                <w:color w:val="222222"/>
                <w:sz w:val="19"/>
                <w:szCs w:val="19"/>
              </w:rPr>
              <w:t xml:space="preserve">Shared</w:t>
            </w:r>
          </w:p>
        </w:tc>
        <w:tc>
          <w:tcPr>
            <w:tcW w:type="dxa" w:w="156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pPr>
              <w:jc w:val="center"/>
            </w:pPr>
            <w:r>
              <w:rPr>
                <w:rFonts w:ascii="Arial" w:cs="Arial" w:eastAsia="Arial" w:hAnsi="Arial"/>
                <w:b w:val="false"/>
                <w:bCs w:val="false"/>
                <w:color w:val="222222"/>
                <w:sz w:val="19"/>
                <w:szCs w:val="19"/>
              </w:rPr>
              <w:t xml:space="preserve">Shared</w:t>
            </w:r>
          </w:p>
        </w:tc>
        <w:tc>
          <w:tcPr>
            <w:tcW w:type="dxa" w:w="156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pPr>
              <w:jc w:val="center"/>
            </w:pPr>
            <w:r>
              <w:rPr>
                <w:rFonts w:ascii="Arial" w:cs="Arial" w:eastAsia="Arial" w:hAnsi="Arial"/>
                <w:b w:val="false"/>
                <w:bCs w:val="false"/>
                <w:color w:val="222222"/>
                <w:sz w:val="19"/>
                <w:szCs w:val="19"/>
              </w:rPr>
              <w:t xml:space="preserve">Dedicated</w:t>
            </w:r>
          </w:p>
        </w:tc>
      </w:tr>
      <w:tr>
        <w:tc>
          <w:tcPr>
            <w:tcW w:type="dxa" w:w="15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left"/>
            </w:pPr>
            <w:r>
              <w:rPr>
                <w:rFonts w:ascii="Arial" w:cs="Arial" w:eastAsia="Arial" w:hAnsi="Arial"/>
                <w:b/>
                <w:bCs/>
                <w:color w:val="1B3A6B"/>
                <w:sz w:val="19"/>
                <w:szCs w:val="19"/>
              </w:rPr>
              <w:t xml:space="preserve">Uptime SLA</w:t>
            </w:r>
          </w:p>
        </w:tc>
        <w:tc>
          <w:tcPr>
            <w:tcW w:type="dxa" w:w="15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222222"/>
                <w:sz w:val="19"/>
                <w:szCs w:val="19"/>
              </w:rPr>
              <w:t xml:space="preserve">None</w:t>
            </w:r>
          </w:p>
        </w:tc>
        <w:tc>
          <w:tcPr>
            <w:tcW w:type="dxa" w:w="15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222222"/>
                <w:sz w:val="19"/>
                <w:szCs w:val="19"/>
              </w:rPr>
              <w:t xml:space="preserve">99.5%</w:t>
            </w:r>
          </w:p>
        </w:tc>
        <w:tc>
          <w:tcPr>
            <w:tcW w:type="dxa" w:w="15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222222"/>
                <w:sz w:val="19"/>
                <w:szCs w:val="19"/>
              </w:rPr>
              <w:t xml:space="preserve">99.9%</w:t>
            </w:r>
          </w:p>
        </w:tc>
        <w:tc>
          <w:tcPr>
            <w:tcW w:type="dxa" w:w="15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222222"/>
                <w:sz w:val="19"/>
                <w:szCs w:val="19"/>
              </w:rPr>
              <w:t xml:space="preserve">99.95%</w:t>
            </w:r>
          </w:p>
        </w:tc>
        <w:tc>
          <w:tcPr>
            <w:tcW w:type="dxa" w:w="15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222222"/>
                <w:sz w:val="19"/>
                <w:szCs w:val="19"/>
              </w:rPr>
              <w:t xml:space="preserve">99.99%</w:t>
            </w:r>
          </w:p>
        </w:tc>
      </w:tr>
      <w:tr>
        <w:tc>
          <w:tcPr>
            <w:tcW w:type="dxa" w:w="156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pPr>
              <w:jc w:val="left"/>
            </w:pPr>
            <w:r>
              <w:rPr>
                <w:rFonts w:ascii="Arial" w:cs="Arial" w:eastAsia="Arial" w:hAnsi="Arial"/>
                <w:b/>
                <w:bCs/>
                <w:color w:val="1B3A6B"/>
                <w:sz w:val="19"/>
                <w:szCs w:val="19"/>
              </w:rPr>
              <w:t xml:space="preserve">Support</w:t>
            </w:r>
          </w:p>
        </w:tc>
        <w:tc>
          <w:tcPr>
            <w:tcW w:type="dxa" w:w="156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pPr>
              <w:jc w:val="center"/>
            </w:pPr>
            <w:r>
              <w:rPr>
                <w:rFonts w:ascii="Arial" w:cs="Arial" w:eastAsia="Arial" w:hAnsi="Arial"/>
                <w:b w:val="false"/>
                <w:bCs w:val="false"/>
                <w:color w:val="222222"/>
                <w:sz w:val="19"/>
                <w:szCs w:val="19"/>
              </w:rPr>
              <w:t xml:space="preserve">Docs only</w:t>
            </w:r>
          </w:p>
        </w:tc>
        <w:tc>
          <w:tcPr>
            <w:tcW w:type="dxa" w:w="156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pPr>
              <w:jc w:val="center"/>
            </w:pPr>
            <w:r>
              <w:rPr>
                <w:rFonts w:ascii="Arial" w:cs="Arial" w:eastAsia="Arial" w:hAnsi="Arial"/>
                <w:b w:val="false"/>
                <w:bCs w:val="false"/>
                <w:color w:val="222222"/>
                <w:sz w:val="19"/>
                <w:szCs w:val="19"/>
              </w:rPr>
              <w:t xml:space="preserve">Email</w:t>
            </w:r>
          </w:p>
        </w:tc>
        <w:tc>
          <w:tcPr>
            <w:tcW w:type="dxa" w:w="156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pPr>
              <w:jc w:val="center"/>
            </w:pPr>
            <w:r>
              <w:rPr>
                <w:rFonts w:ascii="Arial" w:cs="Arial" w:eastAsia="Arial" w:hAnsi="Arial"/>
                <w:b w:val="false"/>
                <w:bCs w:val="false"/>
                <w:color w:val="222222"/>
                <w:sz w:val="19"/>
                <w:szCs w:val="19"/>
              </w:rPr>
              <w:t xml:space="preserve">Email + chat</w:t>
            </w:r>
          </w:p>
        </w:tc>
        <w:tc>
          <w:tcPr>
            <w:tcW w:type="dxa" w:w="156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pPr>
              <w:jc w:val="center"/>
            </w:pPr>
            <w:r>
              <w:rPr>
                <w:rFonts w:ascii="Arial" w:cs="Arial" w:eastAsia="Arial" w:hAnsi="Arial"/>
                <w:b w:val="false"/>
                <w:bCs w:val="false"/>
                <w:color w:val="222222"/>
                <w:sz w:val="19"/>
                <w:szCs w:val="19"/>
              </w:rPr>
              <w:t xml:space="preserve">Priority</w:t>
            </w:r>
          </w:p>
        </w:tc>
        <w:tc>
          <w:tcPr>
            <w:tcW w:type="dxa" w:w="156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pPr>
              <w:jc w:val="center"/>
            </w:pPr>
            <w:r>
              <w:rPr>
                <w:rFonts w:ascii="Arial" w:cs="Arial" w:eastAsia="Arial" w:hAnsi="Arial"/>
                <w:b w:val="false"/>
                <w:bCs w:val="false"/>
                <w:color w:val="222222"/>
                <w:sz w:val="19"/>
                <w:szCs w:val="19"/>
              </w:rPr>
              <w:t xml:space="preserve">Dedicated Slack</w:t>
            </w:r>
          </w:p>
        </w:tc>
      </w:tr>
      <w:tr>
        <w:tc>
          <w:tcPr>
            <w:tcW w:type="dxa" w:w="15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left"/>
            </w:pPr>
            <w:r>
              <w:rPr>
                <w:rFonts w:ascii="Arial" w:cs="Arial" w:eastAsia="Arial" w:hAnsi="Arial"/>
                <w:b/>
                <w:bCs/>
                <w:color w:val="1B3A6B"/>
                <w:sz w:val="19"/>
                <w:szCs w:val="19"/>
              </w:rPr>
              <w:t xml:space="preserve">WebSocket</w:t>
            </w:r>
          </w:p>
        </w:tc>
        <w:tc>
          <w:tcPr>
            <w:tcW w:type="dxa" w:w="15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222222"/>
                <w:sz w:val="19"/>
                <w:szCs w:val="19"/>
              </w:rPr>
              <w:t xml:space="preserve">2 conn</w:t>
            </w:r>
          </w:p>
        </w:tc>
        <w:tc>
          <w:tcPr>
            <w:tcW w:type="dxa" w:w="15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222222"/>
                <w:sz w:val="19"/>
                <w:szCs w:val="19"/>
              </w:rPr>
              <w:t xml:space="preserve">5 conn</w:t>
            </w:r>
          </w:p>
        </w:tc>
        <w:tc>
          <w:tcPr>
            <w:tcW w:type="dxa" w:w="15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222222"/>
                <w:sz w:val="19"/>
                <w:szCs w:val="19"/>
              </w:rPr>
              <w:t xml:space="preserve">20 conn</w:t>
            </w:r>
          </w:p>
        </w:tc>
        <w:tc>
          <w:tcPr>
            <w:tcW w:type="dxa" w:w="15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222222"/>
                <w:sz w:val="19"/>
                <w:szCs w:val="19"/>
              </w:rPr>
              <w:t xml:space="preserve">50 conn</w:t>
            </w:r>
          </w:p>
        </w:tc>
        <w:tc>
          <w:tcPr>
            <w:tcW w:type="dxa" w:w="15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222222"/>
                <w:sz w:val="19"/>
                <w:szCs w:val="19"/>
              </w:rPr>
              <w:t xml:space="preserve">Unlimited</w:t>
            </w:r>
          </w:p>
        </w:tc>
      </w:tr>
      <w:tr>
        <w:tc>
          <w:tcPr>
            <w:tcW w:type="dxa" w:w="156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pPr>
              <w:jc w:val="left"/>
            </w:pPr>
            <w:r>
              <w:rPr>
                <w:rFonts w:ascii="Arial" w:cs="Arial" w:eastAsia="Arial" w:hAnsi="Arial"/>
                <w:b/>
                <w:bCs/>
                <w:color w:val="1B3A6B"/>
                <w:sz w:val="19"/>
                <w:szCs w:val="19"/>
              </w:rPr>
              <w:t xml:space="preserve">Contract</w:t>
            </w:r>
          </w:p>
        </w:tc>
        <w:tc>
          <w:tcPr>
            <w:tcW w:type="dxa" w:w="156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pPr>
              <w:jc w:val="center"/>
            </w:pPr>
            <w:r>
              <w:rPr>
                <w:rFonts w:ascii="Arial" w:cs="Arial" w:eastAsia="Arial" w:hAnsi="Arial"/>
                <w:b w:val="false"/>
                <w:bCs w:val="false"/>
                <w:color w:val="222222"/>
                <w:sz w:val="19"/>
                <w:szCs w:val="19"/>
              </w:rPr>
              <w:t xml:space="preserve">None</w:t>
            </w:r>
          </w:p>
        </w:tc>
        <w:tc>
          <w:tcPr>
            <w:tcW w:type="dxa" w:w="156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pPr>
              <w:jc w:val="center"/>
            </w:pPr>
            <w:r>
              <w:rPr>
                <w:rFonts w:ascii="Arial" w:cs="Arial" w:eastAsia="Arial" w:hAnsi="Arial"/>
                <w:b w:val="false"/>
                <w:bCs w:val="false"/>
                <w:color w:val="222222"/>
                <w:sz w:val="19"/>
                <w:szCs w:val="19"/>
              </w:rPr>
              <w:t xml:space="preserve">Monthly</w:t>
            </w:r>
          </w:p>
        </w:tc>
        <w:tc>
          <w:tcPr>
            <w:tcW w:type="dxa" w:w="156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pPr>
              <w:jc w:val="center"/>
            </w:pPr>
            <w:r>
              <w:rPr>
                <w:rFonts w:ascii="Arial" w:cs="Arial" w:eastAsia="Arial" w:hAnsi="Arial"/>
                <w:b w:val="false"/>
                <w:bCs w:val="false"/>
                <w:color w:val="222222"/>
                <w:sz w:val="19"/>
                <w:szCs w:val="19"/>
              </w:rPr>
              <w:t xml:space="preserve">Monthly/Ann</w:t>
            </w:r>
          </w:p>
        </w:tc>
        <w:tc>
          <w:tcPr>
            <w:tcW w:type="dxa" w:w="156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pPr>
              <w:jc w:val="center"/>
            </w:pPr>
            <w:r>
              <w:rPr>
                <w:rFonts w:ascii="Arial" w:cs="Arial" w:eastAsia="Arial" w:hAnsi="Arial"/>
                <w:b w:val="false"/>
                <w:bCs w:val="false"/>
                <w:color w:val="222222"/>
                <w:sz w:val="19"/>
                <w:szCs w:val="19"/>
              </w:rPr>
              <w:t xml:space="preserve">Monthly/Ann</w:t>
            </w:r>
          </w:p>
        </w:tc>
        <w:tc>
          <w:tcPr>
            <w:tcW w:type="dxa" w:w="156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pPr>
              <w:jc w:val="center"/>
            </w:pPr>
            <w:r>
              <w:rPr>
                <w:rFonts w:ascii="Arial" w:cs="Arial" w:eastAsia="Arial" w:hAnsi="Arial"/>
                <w:b w:val="false"/>
                <w:bCs w:val="false"/>
                <w:color w:val="222222"/>
                <w:sz w:val="19"/>
                <w:szCs w:val="19"/>
              </w:rPr>
              <w:t xml:space="preserve">Annual</w:t>
            </w:r>
          </w:p>
        </w:tc>
      </w:tr>
    </w:tbl>
    <w:p>
      <w:pPr>
        <w:spacing w:after="0" w:before="160"/>
      </w:pPr>
      <w:r>
        <w:t xml:space="preserve"/>
      </w:r>
    </w:p>
    <w:p>
      <w:pPr>
        <w:pStyle w:val="Heading2"/>
        <w:spacing w:after="100" w:before="280"/>
      </w:pPr>
      <w:r>
        <w:rPr>
          <w:rFonts w:ascii="Arial" w:cs="Arial" w:eastAsia="Arial" w:hAnsi="Arial"/>
          <w:b/>
          <w:bCs/>
          <w:color w:val="2E75B6"/>
          <w:sz w:val="26"/>
          <w:szCs w:val="26"/>
        </w:rPr>
        <w:t xml:space="preserve">7.2 — Dedicated Node Pricing</w:t>
      </w:r>
    </w:p>
    <w:p>
      <w:pPr>
        <w:spacing w:after="80" w:before="60"/>
      </w:pPr>
      <w:r>
        <w:rPr>
          <w:rFonts w:ascii="Arial" w:cs="Arial" w:eastAsia="Arial" w:hAnsi="Arial"/>
          <w:color w:val="222222"/>
          <w:sz w:val="22"/>
          <w:szCs w:val="22"/>
        </w:rPr>
        <w:t xml:space="preserve">Dedicated nodes are priced as flat monthly infrastructure, not usage-based. This is a deliberate competitive differentiator — enterprise buyers hate unpredictable cloud-style bills.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160"/>
        <w:gridCol w:w="280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Config</w:t>
            </w:r>
          </w:p>
        </w:tc>
        <w:tc>
          <w:tcPr>
            <w:tcW w:type="dxa" w:w="16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Monthly Price</w:t>
            </w:r>
          </w:p>
        </w:tc>
        <w:tc>
          <w:tcPr>
            <w:tcW w:type="dxa" w:w="21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Annual Price (save 15%)</w:t>
            </w:r>
          </w:p>
        </w:tc>
        <w:tc>
          <w:tcPr>
            <w:tcW w:type="dxa" w:w="2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Best For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Dedicated Standard (256GB RAM, NVMe, 1Gbps)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$1,500/mo</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$15,300/yr</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Mid-market protocols, smaller trading operations</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Dedicated Performance (512GB RAM, NVMe, 10Gbps)</w:t>
            </w:r>
          </w:p>
        </w:tc>
        <w:tc>
          <w:tcPr>
            <w:tcW w:type="dxa" w:w="1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$3,000/mo</w:t>
            </w:r>
          </w:p>
        </w:tc>
        <w:tc>
          <w:tcPr>
            <w:tcW w:type="dxa" w:w="21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$30,600/yr</w:t>
            </w:r>
          </w:p>
        </w:tc>
        <w:tc>
          <w:tcPr>
            <w:tcW w:type="dxa" w:w="2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High-frequency trading, market makers, large protocols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Dedicated Premium (512GB RAM, NVMe, 10Gbps + priority network path)</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$5,000/mo</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$51,000/yr</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Institutional / prop trading requiring lowest latency</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Co-location (customer's hardware, our rack)</w:t>
            </w:r>
          </w:p>
        </w:tc>
        <w:tc>
          <w:tcPr>
            <w:tcW w:type="dxa" w:w="1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Custom</w:t>
            </w:r>
          </w:p>
        </w:tc>
        <w:tc>
          <w:tcPr>
            <w:tcW w:type="dxa" w:w="21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Custom</w:t>
            </w:r>
          </w:p>
        </w:tc>
        <w:tc>
          <w:tcPr>
            <w:tcW w:type="dxa" w:w="2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Enterprises that own their hardware and want our facility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Enterprise (multiple nodes, custom SLA)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Custom</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Custom</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Exchanges, custodians with complex multi-node requirements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A6E" w:sz="3"/>
              <w:left w:val="single" w:color="3D1A6E" w:sz="14"/>
              <w:bottom w:val="single" w:color="3D1A6E" w:sz="3"/>
              <w:right w:val="single" w:color="3D1A6E" w:sz="3"/>
            </w:tcBorders>
            <w:shd w:fill="EDE0FA" w:val="clear"/>
            <w:tcMar>
              <w:top w:type="dxa" w:w="120"/>
              <w:left w:type="dxa" w:w="220"/>
              <w:bottom w:type="dxa" w:w="120"/>
              <w:right w:type="dxa" w:w="220"/>
            </w:tcMar>
          </w:tcPr>
          <w:p>
            <w:pPr>
              <w:spacing w:after="60" w:before="0"/>
            </w:pPr>
            <w:r>
              <w:rPr>
                <w:rFonts w:ascii="Arial" w:cs="Arial" w:eastAsia="Arial" w:hAnsi="Arial"/>
                <w:b/>
                <w:bCs/>
                <w:color w:val="3D1A6E"/>
                <w:sz w:val="22"/>
                <w:szCs w:val="22"/>
              </w:rPr>
              <w:t xml:space="preserve">◆  The Dedicated Node Pitch</w:t>
            </w:r>
          </w:p>
          <w:p>
            <w:pPr>
              <w:spacing w:after="0" w:before="0"/>
            </w:pPr>
            <w:r>
              <w:rPr>
                <w:rFonts w:ascii="Arial" w:cs="Arial" w:eastAsia="Arial" w:hAnsi="Arial"/>
                <w:color w:val="222222"/>
                <w:sz w:val="20"/>
                <w:szCs w:val="20"/>
              </w:rPr>
              <w:t xml:space="preserve">The dedicated node product is our primary enterprise revenue driver. The pitch is simple: 'You are paying per-request rates that become enormous at your volume. A dedicated node costs you $3,000/month with zero variable cost. At your transaction volume you are almost certainly already past this number — and you're sharing the node with everyone else.' Run the math for each prospect before the call.</w:t>
            </w:r>
          </w:p>
        </w:tc>
      </w:tr>
    </w:tbl>
    <w:p>
      <w:pPr>
        <w:spacing w:after="0" w:before="120"/>
      </w:pPr>
      <w:r>
        <w:t xml:space="preserve"/>
      </w:r>
    </w:p>
    <w:p>
      <w:pPr>
        <w:pStyle w:val="Heading2"/>
        <w:spacing w:after="100" w:before="280"/>
      </w:pPr>
      <w:r>
        <w:rPr>
          <w:rFonts w:ascii="Arial" w:cs="Arial" w:eastAsia="Arial" w:hAnsi="Arial"/>
          <w:b/>
          <w:bCs/>
          <w:color w:val="2E75B6"/>
          <w:sz w:val="26"/>
          <w:szCs w:val="26"/>
        </w:rPr>
        <w:t xml:space="preserve">7.3 — Annual Discount Strategy</w:t>
      </w:r>
    </w:p>
    <w:p>
      <w:pPr>
        <w:spacing w:after="80" w:before="60"/>
      </w:pPr>
      <w:r>
        <w:rPr>
          <w:rFonts w:ascii="Arial" w:cs="Arial" w:eastAsia="Arial" w:hAnsi="Arial"/>
          <w:color w:val="222222"/>
          <w:sz w:val="22"/>
          <w:szCs w:val="22"/>
        </w:rPr>
        <w:t xml:space="preserve">Always offer annual pricing. It improves cash flow, reduces churn, and signals commitment on both sides.</w:t>
      </w:r>
    </w:p>
    <w:p>
      <w:pPr>
        <w:pStyle w:val="ListParagraph"/>
        <w:numPr>
          <w:ilvl w:val="0"/>
          <w:numId w:val="2"/>
        </w:numPr>
        <w:spacing w:after="40" w:before="40"/>
      </w:pPr>
      <w:r>
        <w:rPr>
          <w:rFonts w:ascii="Arial" w:cs="Arial" w:eastAsia="Arial" w:hAnsi="Arial"/>
          <w:color w:val="222222"/>
          <w:sz w:val="22"/>
          <w:szCs w:val="22"/>
        </w:rPr>
        <w:t xml:space="preserve">Annual = 2 months free (effectively ~15% off). Market it as '10 months for the price of 12.'</w:t>
      </w:r>
    </w:p>
    <w:p>
      <w:pPr>
        <w:pStyle w:val="ListParagraph"/>
        <w:numPr>
          <w:ilvl w:val="0"/>
          <w:numId w:val="2"/>
        </w:numPr>
        <w:spacing w:after="40" w:before="40"/>
      </w:pPr>
      <w:r>
        <w:rPr>
          <w:rFonts w:ascii="Arial" w:cs="Arial" w:eastAsia="Arial" w:hAnsi="Arial"/>
          <w:color w:val="222222"/>
          <w:sz w:val="22"/>
          <w:szCs w:val="22"/>
        </w:rPr>
        <w:t xml:space="preserve">Dedicated nodes: offer first month free with annual commitment — reduces perceived risk</w:t>
      </w:r>
    </w:p>
    <w:p>
      <w:pPr>
        <w:pStyle w:val="ListParagraph"/>
        <w:numPr>
          <w:ilvl w:val="0"/>
          <w:numId w:val="2"/>
        </w:numPr>
        <w:spacing w:after="40" w:before="40"/>
      </w:pPr>
      <w:r>
        <w:rPr>
          <w:rFonts w:ascii="Arial" w:cs="Arial" w:eastAsia="Arial" w:hAnsi="Arial"/>
          <w:color w:val="222222"/>
          <w:sz w:val="22"/>
          <w:szCs w:val="22"/>
        </w:rPr>
        <w:t xml:space="preserve">Enterprise: custom annual contracts with quarterly invoicing available</w:t>
      </w:r>
    </w:p>
    <w:p>
      <w:pPr>
        <w:spacing w:after="0" w:before="120"/>
      </w:pPr>
      <w:r>
        <w:t xml:space="preserve"/>
      </w:r>
    </w:p>
    <w:p>
      <w:pPr>
        <w:pStyle w:val="Heading2"/>
        <w:spacing w:after="100" w:before="280"/>
      </w:pPr>
      <w:r>
        <w:rPr>
          <w:rFonts w:ascii="Arial" w:cs="Arial" w:eastAsia="Arial" w:hAnsi="Arial"/>
          <w:b/>
          <w:bCs/>
          <w:color w:val="2E75B6"/>
          <w:sz w:val="26"/>
          <w:szCs w:val="26"/>
        </w:rPr>
        <w:t xml:space="preserve">7.4 — Competitive Positioning on Price</w:t>
      </w:r>
    </w:p>
    <w:p>
      <w:pPr>
        <w:spacing w:after="80" w:before="60"/>
      </w:pPr>
      <w:r>
        <w:rPr>
          <w:rFonts w:ascii="Arial" w:cs="Arial" w:eastAsia="Arial" w:hAnsi="Arial"/>
          <w:color w:val="222222"/>
          <w:sz w:val="22"/>
          <w:szCs w:val="22"/>
        </w:rPr>
        <w:t xml:space="preserve">We are not the cheapest option and should never try to be. Our pricing is designed to be in the same range as Helius and QuickNode for shared tiers, and below custom enterprise pricing for dedicated infrastructure.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600"/>
        <w:gridCol w:w="276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Tier</w:t>
            </w:r>
          </w:p>
        </w:tc>
        <w:tc>
          <w:tcPr>
            <w:tcW w:type="dxa" w:w="16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QuickNode</w:t>
            </w:r>
          </w:p>
        </w:tc>
        <w:tc>
          <w:tcPr>
            <w:tcW w:type="dxa" w:w="16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Helius</w:t>
            </w:r>
          </w:p>
        </w:tc>
        <w:tc>
          <w:tcPr>
            <w:tcW w:type="dxa" w:w="16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Us</w:t>
            </w:r>
          </w:p>
        </w:tc>
        <w:tc>
          <w:tcPr>
            <w:tcW w:type="dxa" w:w="27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Our Positioning</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Entry paid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$49/mo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$49/mo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$49/mo</w:t>
            </w:r>
          </w:p>
        </w:tc>
        <w:tc>
          <w:tcPr>
            <w:tcW w:type="dxa" w:w="2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Price parity — compete on quality and trust</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Mid-tier</w:t>
            </w:r>
          </w:p>
        </w:tc>
        <w:tc>
          <w:tcPr>
            <w:tcW w:type="dxa" w:w="1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$299–$499/mo</w:t>
            </w:r>
          </w:p>
        </w:tc>
        <w:tc>
          <w:tcPr>
            <w:tcW w:type="dxa" w:w="1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$299–$499/mo</w:t>
            </w:r>
          </w:p>
        </w:tc>
        <w:tc>
          <w:tcPr>
            <w:tcW w:type="dxa" w:w="1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$299/mo</w:t>
            </w:r>
          </w:p>
        </w:tc>
        <w:tc>
          <w:tcPr>
            <w:tcW w:type="dxa" w:w="27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Slight price advantage at the same tier</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High-volume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$999+/mo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$999+/mo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$999/mo</w:t>
            </w:r>
          </w:p>
        </w:tc>
        <w:tc>
          <w:tcPr>
            <w:tcW w:type="dxa" w:w="2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Price parity — differentiate on dedicated option</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Dedicated node</w:t>
            </w:r>
          </w:p>
        </w:tc>
        <w:tc>
          <w:tcPr>
            <w:tcW w:type="dxa" w:w="1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Not standard</w:t>
            </w:r>
          </w:p>
        </w:tc>
        <w:tc>
          <w:tcPr>
            <w:tcW w:type="dxa" w:w="1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Available</w:t>
            </w:r>
          </w:p>
        </w:tc>
        <w:tc>
          <w:tcPr>
            <w:tcW w:type="dxa" w:w="1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From $1,500</w:t>
            </w:r>
          </w:p>
        </w:tc>
        <w:tc>
          <w:tcPr>
            <w:tcW w:type="dxa" w:w="27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We make this explicit and easy to buy</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Enterprise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Custom</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Custom</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Custom</w:t>
            </w:r>
          </w:p>
        </w:tc>
        <w:tc>
          <w:tcPr>
            <w:tcW w:type="dxa" w:w="2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We lead with SOC 2 and compliance — value-based pricing</w:t>
            </w:r>
          </w:p>
        </w:tc>
      </w:tr>
    </w:tbl>
    <w:p>
      <w:r>
        <w:br w:type="page"/>
      </w:r>
    </w:p>
    <w:p>
      <w:pPr>
        <w:pStyle w:val="Heading1"/>
        <w:pBdr>
          <w:bottom w:val="single" w:color="2E75B6" w:sz="6" w:space="4"/>
        </w:pBdr>
        <w:spacing w:after="120" w:before="360"/>
      </w:pPr>
      <w:r>
        <w:rPr>
          <w:rFonts w:ascii="Arial" w:cs="Arial" w:eastAsia="Arial" w:hAnsi="Arial"/>
          <w:b/>
          <w:bCs/>
          <w:color w:val="1B3A6B"/>
          <w:sz w:val="32"/>
          <w:szCs w:val="32"/>
        </w:rPr>
        <w:t xml:space="preserve">8. Launch Promotions &amp; Unique Incentives</w:t>
      </w:r>
    </w:p>
    <w:p>
      <w:pPr>
        <w:spacing w:after="80" w:before="60"/>
      </w:pPr>
      <w:r>
        <w:rPr>
          <w:rFonts w:ascii="Arial" w:cs="Arial" w:eastAsia="Arial" w:hAnsi="Arial"/>
          <w:color w:val="222222"/>
          <w:sz w:val="22"/>
          <w:szCs w:val="22"/>
        </w:rPr>
        <w:t xml:space="preserve">Getting the first 10 enterprise customers is harder than getting the next 100. The following promotions are designed specifically for the launch period and for overcoming the 'prove it first' objection from enterprise buyers.</w:t>
      </w:r>
    </w:p>
    <w:p>
      <w:pPr>
        <w:spacing w:after="0" w:before="80"/>
      </w:pPr>
      <w:r>
        <w:t xml:space="preserve"/>
      </w:r>
    </w:p>
    <w:p>
      <w:pPr>
        <w:pStyle w:val="Heading2"/>
        <w:spacing w:after="100" w:before="280"/>
      </w:pPr>
      <w:r>
        <w:rPr>
          <w:rFonts w:ascii="Arial" w:cs="Arial" w:eastAsia="Arial" w:hAnsi="Arial"/>
          <w:b/>
          <w:bCs/>
          <w:color w:val="2E75B6"/>
          <w:sz w:val="26"/>
          <w:szCs w:val="26"/>
        </w:rPr>
        <w:t xml:space="preserve">8.1 — The 'Parallel Trial' Program</w:t>
      </w:r>
    </w:p>
    <w:p>
      <w:pPr>
        <w:spacing w:after="80" w:before="60"/>
      </w:pPr>
      <w:r>
        <w:rPr>
          <w:rFonts w:ascii="Arial" w:cs="Arial" w:eastAsia="Arial" w:hAnsi="Arial"/>
          <w:color w:val="222222"/>
          <w:sz w:val="22"/>
          <w:szCs w:val="22"/>
        </w:rPr>
        <w:t xml:space="preserve">This is our single most powerful sales tool. The objection we will hear most is: 'We already have a provider. Switching is risky.' The parallel trial eliminates this objection entirely.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280"/>
              <w:bottom w:type="dxa" w:w="180"/>
              <w:right w:type="dxa" w:w="280"/>
            </w:tcMar>
          </w:tcPr>
          <w:p>
            <w:pPr>
              <w:spacing w:after="80" w:before="0"/>
            </w:pPr>
            <w:r>
              <w:rPr>
                <w:rFonts w:ascii="Arial" w:cs="Arial" w:eastAsia="Arial" w:hAnsi="Arial"/>
                <w:b/>
                <w:bCs/>
                <w:color w:val="FFFFFF"/>
                <w:sz w:val="28"/>
                <w:szCs w:val="28"/>
              </w:rPr>
              <w:t xml:space="preserve">30-Day Parallel Trial — Risk-Free</w:t>
            </w:r>
          </w:p>
          <w:p>
            <w:pPr>
              <w:spacing w:after="60" w:before="0"/>
            </w:pPr>
            <w:r>
              <w:rPr>
                <w:rFonts w:ascii="Arial" w:cs="Arial" w:eastAsia="Arial" w:hAnsi="Arial"/>
                <w:color w:val="BBDDFF"/>
                <w:sz w:val="21"/>
                <w:szCs w:val="21"/>
              </w:rPr>
              <w:t xml:space="preserve">Run our infrastructure in parallel with your existing provider for 30 days. No switching, no disruption. Compare latency, uptime, and support response side by side. If we don't outperform your current provider on at least two of three metrics, you pay nothing.</w:t>
            </w:r>
          </w:p>
          <w:p>
            <w:pPr>
              <w:spacing w:after="0" w:before="0"/>
            </w:pPr>
            <w:r>
              <w:rPr>
                <w:rFonts w:ascii="Arial" w:cs="Arial" w:eastAsia="Arial" w:hAnsi="Arial"/>
                <w:i/>
                <w:iCs/>
                <w:color w:val="88AADD"/>
                <w:sz w:val="20"/>
                <w:szCs w:val="20"/>
              </w:rPr>
              <w:t xml:space="preserve">For Tier 1 enterprise accounts: the trial is free. For dedicated nodes: first month 50% off.</w:t>
            </w:r>
          </w:p>
        </w:tc>
      </w:tr>
    </w:tbl>
    <w:p>
      <w:pPr>
        <w:spacing w:after="0" w:before="120"/>
      </w:pPr>
      <w:r>
        <w:t xml:space="preserve"/>
      </w:r>
    </w:p>
    <w:p>
      <w:pPr>
        <w:spacing w:after="80" w:before="60"/>
      </w:pPr>
      <w:r>
        <w:rPr>
          <w:rFonts w:ascii="Arial" w:cs="Arial" w:eastAsia="Arial" w:hAnsi="Arial"/>
          <w:color w:val="222222"/>
          <w:sz w:val="22"/>
          <w:szCs w:val="22"/>
        </w:rPr>
        <w:t xml:space="preserve">Operationally: give them a Business-tier API key for 30 days. Ask them to point 5-10% of their traffic at our endpoint. They compare. This creates real data and real commitment.</w:t>
      </w:r>
    </w:p>
    <w:p>
      <w:pPr>
        <w:spacing w:after="0" w:before="160"/>
      </w:pPr>
      <w:r>
        <w:t xml:space="preserve"/>
      </w:r>
    </w:p>
    <w:p>
      <w:pPr>
        <w:pStyle w:val="Heading2"/>
        <w:spacing w:after="100" w:before="280"/>
      </w:pPr>
      <w:r>
        <w:rPr>
          <w:rFonts w:ascii="Arial" w:cs="Arial" w:eastAsia="Arial" w:hAnsi="Arial"/>
          <w:b/>
          <w:bCs/>
          <w:color w:val="2E75B6"/>
          <w:sz w:val="26"/>
          <w:szCs w:val="26"/>
        </w:rPr>
        <w:t xml:space="preserve">8.2 — The 'Security Audit' Entry Point</w:t>
      </w:r>
    </w:p>
    <w:p>
      <w:pPr>
        <w:spacing w:after="80" w:before="60"/>
      </w:pPr>
      <w:r>
        <w:rPr>
          <w:rFonts w:ascii="Arial" w:cs="Arial" w:eastAsia="Arial" w:hAnsi="Arial"/>
          <w:color w:val="222222"/>
          <w:sz w:val="22"/>
          <w:szCs w:val="22"/>
        </w:rPr>
        <w:t xml:space="preserve">This is uniquely ours and no other RPC provider can replicate it. Offer a free Solana infrastructure security assessment to enterprise prospects who won't buy cold.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A00" w:sz="3"/>
              <w:left w:val="single" w:color="7A5A00" w:sz="14"/>
              <w:bottom w:val="single" w:color="7A5A00" w:sz="3"/>
              <w:right w:val="single" w:color="7A5A00" w:sz="3"/>
            </w:tcBorders>
            <w:shd w:fill="FFF8DC" w:val="clear"/>
            <w:tcMar>
              <w:top w:type="dxa" w:w="120"/>
              <w:left w:type="dxa" w:w="220"/>
              <w:bottom w:type="dxa" w:w="120"/>
              <w:right w:type="dxa" w:w="220"/>
            </w:tcMar>
          </w:tcPr>
          <w:p>
            <w:pPr>
              <w:spacing w:after="60" w:before="0"/>
            </w:pPr>
            <w:r>
              <w:rPr>
                <w:rFonts w:ascii="Arial" w:cs="Arial" w:eastAsia="Arial" w:hAnsi="Arial"/>
                <w:b/>
                <w:bCs/>
                <w:color w:val="7A5A00"/>
                <w:sz w:val="22"/>
                <w:szCs w:val="22"/>
              </w:rPr>
              <w:t xml:space="preserve">★  The Security Assessment Offer</w:t>
            </w:r>
          </w:p>
          <w:p>
            <w:pPr>
              <w:spacing w:after="0" w:before="0"/>
            </w:pPr>
            <w:r>
              <w:rPr>
                <w:rFonts w:ascii="Arial" w:cs="Arial" w:eastAsia="Arial" w:hAnsi="Arial"/>
                <w:color w:val="222222"/>
                <w:sz w:val="20"/>
                <w:szCs w:val="20"/>
              </w:rPr>
              <w:t xml:space="preserve">We will review your current Solana RPC setup and provide a written report covering: vendor concentration risk, key management practices, rate limit exposure, uptime risk assessment, and compliance gap analysis against SOC 2 requirements. This is a free 2-hour engagement for qualified enterprise prospects. It gets us in the room, demonstrates our expertise, and almost always surfaces problems we can then solve.</w:t>
            </w:r>
          </w:p>
        </w:tc>
      </w:tr>
    </w:tbl>
    <w:p>
      <w:pPr>
        <w:spacing w:after="0" w:before="120"/>
      </w:pPr>
      <w:r>
        <w:t xml:space="preserve"/>
      </w:r>
    </w:p>
    <w:p>
      <w:pPr>
        <w:spacing w:after="80" w:before="60"/>
      </w:pPr>
      <w:r>
        <w:rPr>
          <w:rFonts w:ascii="Arial" w:cs="Arial" w:eastAsia="Arial" w:hAnsi="Arial"/>
          <w:color w:val="222222"/>
          <w:sz w:val="22"/>
          <w:szCs w:val="22"/>
        </w:rPr>
        <w:t xml:space="preserve">This works because:</w:t>
      </w:r>
    </w:p>
    <w:p>
      <w:pPr>
        <w:pStyle w:val="ListParagraph"/>
        <w:numPr>
          <w:ilvl w:val="0"/>
          <w:numId w:val="2"/>
        </w:numPr>
        <w:spacing w:after="40" w:before="40"/>
      </w:pPr>
      <w:r>
        <w:rPr>
          <w:rFonts w:ascii="Arial" w:cs="Arial" w:eastAsia="Arial" w:hAnsi="Arial"/>
          <w:color w:val="222222"/>
          <w:sz w:val="22"/>
          <w:szCs w:val="22"/>
        </w:rPr>
        <w:t xml:space="preserve">It leads with giving, not asking — lowers resistance immediately</w:t>
      </w:r>
    </w:p>
    <w:p>
      <w:pPr>
        <w:pStyle w:val="ListParagraph"/>
        <w:numPr>
          <w:ilvl w:val="0"/>
          <w:numId w:val="2"/>
        </w:numPr>
        <w:spacing w:after="40" w:before="40"/>
      </w:pPr>
      <w:r>
        <w:rPr>
          <w:rFonts w:ascii="Arial" w:cs="Arial" w:eastAsia="Arial" w:hAnsi="Arial"/>
          <w:color w:val="222222"/>
          <w:sz w:val="22"/>
          <w:szCs w:val="22"/>
        </w:rPr>
        <w:t xml:space="preserve">Our cybersecurity background makes this credible — we know what we're looking for</w:t>
      </w:r>
    </w:p>
    <w:p>
      <w:pPr>
        <w:pStyle w:val="ListParagraph"/>
        <w:numPr>
          <w:ilvl w:val="0"/>
          <w:numId w:val="2"/>
        </w:numPr>
        <w:spacing w:after="40" w:before="40"/>
      </w:pPr>
      <w:r>
        <w:rPr>
          <w:rFonts w:ascii="Arial" w:cs="Arial" w:eastAsia="Arial" w:hAnsi="Arial"/>
          <w:color w:val="222222"/>
          <w:sz w:val="22"/>
          <w:szCs w:val="22"/>
        </w:rPr>
        <w:t xml:space="preserve">The assessment almost always finds something — a single vendor dependency, a compliance gap, a key management issue — that creates urgency</w:t>
      </w:r>
    </w:p>
    <w:p>
      <w:pPr>
        <w:pStyle w:val="ListParagraph"/>
        <w:numPr>
          <w:ilvl w:val="0"/>
          <w:numId w:val="2"/>
        </w:numPr>
        <w:spacing w:after="40" w:before="40"/>
      </w:pPr>
      <w:r>
        <w:rPr>
          <w:rFonts w:ascii="Arial" w:cs="Arial" w:eastAsia="Arial" w:hAnsi="Arial"/>
          <w:color w:val="222222"/>
          <w:sz w:val="22"/>
          <w:szCs w:val="22"/>
        </w:rPr>
        <w:t xml:space="preserve">Nobody else in the RPC market offers this. It is a completely differentiated conversation opener.</w:t>
      </w:r>
    </w:p>
    <w:p>
      <w:pPr>
        <w:spacing w:after="0" w:before="160"/>
      </w:pPr>
      <w:r>
        <w:t xml:space="preserve"/>
      </w:r>
    </w:p>
    <w:p>
      <w:pPr>
        <w:pStyle w:val="Heading2"/>
        <w:spacing w:after="100" w:before="280"/>
      </w:pPr>
      <w:r>
        <w:rPr>
          <w:rFonts w:ascii="Arial" w:cs="Arial" w:eastAsia="Arial" w:hAnsi="Arial"/>
          <w:b/>
          <w:bCs/>
          <w:color w:val="2E75B6"/>
          <w:sz w:val="26"/>
          <w:szCs w:val="26"/>
        </w:rPr>
        <w:t xml:space="preserve">8.3 — Founding Client Program</w:t>
      </w:r>
    </w:p>
    <w:p>
      <w:pPr>
        <w:spacing w:after="80" w:before="60"/>
      </w:pPr>
      <w:r>
        <w:rPr>
          <w:rFonts w:ascii="Arial" w:cs="Arial" w:eastAsia="Arial" w:hAnsi="Arial"/>
          <w:color w:val="222222"/>
          <w:sz w:val="22"/>
          <w:szCs w:val="22"/>
        </w:rPr>
        <w:t xml:space="preserve">The first 10 enterprise clients become 'Founding Clients' with permanent benefits. This creates urgency to move quickly and builds early loyalty.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Founding Client Benefit</w:t>
            </w:r>
          </w:p>
        </w:tc>
        <w:tc>
          <w:tcPr>
            <w:tcW w:type="dxa" w:w="63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Locked pricing</w:t>
            </w:r>
          </w:p>
        </w:tc>
        <w:tc>
          <w:tcPr>
            <w:tcW w:type="dxa" w:w="6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Price never increases as long as they remain a customer — even if we raise rates for new customers. Grandfathered forever.</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Priority node allocation</w:t>
            </w:r>
          </w:p>
        </w:tc>
        <w:tc>
          <w:tcPr>
            <w:tcW w:type="dxa" w:w="63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Founding clients get first pick of new dedicated node inventory before it is offered generally.</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Advisory input</w:t>
            </w:r>
          </w:p>
        </w:tc>
        <w:tc>
          <w:tcPr>
            <w:tcW w:type="dxa" w:w="6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Quarterly call with leadership to shape roadmap. Their infrastructure needs directly influence what we build next.</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Reference terms</w:t>
            </w:r>
          </w:p>
        </w:tc>
        <w:tc>
          <w:tcPr>
            <w:tcW w:type="dxa" w:w="63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If they agree to be a reference, they receive an additional 10% annual discount. Public case studies earn a full additional month free.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SLA upgrade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One tier up on SLA — Starter clients get Professional SLA, Professional gets Business SLA, etc.</w:t>
            </w:r>
          </w:p>
        </w:tc>
      </w:tr>
    </w:tbl>
    <w:p>
      <w:pPr>
        <w:spacing w:after="0" w:before="160"/>
      </w:pPr>
      <w:r>
        <w:t xml:space="preserve"/>
      </w:r>
    </w:p>
    <w:p>
      <w:pPr>
        <w:pStyle w:val="Heading2"/>
        <w:spacing w:after="100" w:before="280"/>
      </w:pPr>
      <w:r>
        <w:rPr>
          <w:rFonts w:ascii="Arial" w:cs="Arial" w:eastAsia="Arial" w:hAnsi="Arial"/>
          <w:b/>
          <w:bCs/>
          <w:color w:val="2E75B6"/>
          <w:sz w:val="26"/>
          <w:szCs w:val="26"/>
        </w:rPr>
        <w:t xml:space="preserve">8.4 — Solana Hackathon Sponsorship</w:t>
      </w:r>
    </w:p>
    <w:p>
      <w:pPr>
        <w:spacing w:after="80" w:before="60"/>
      </w:pPr>
      <w:r>
        <w:rPr>
          <w:rFonts w:ascii="Arial" w:cs="Arial" w:eastAsia="Arial" w:hAnsi="Arial"/>
          <w:color w:val="222222"/>
          <w:sz w:val="22"/>
          <w:szCs w:val="22"/>
        </w:rPr>
        <w:t xml:space="preserve">Solana runs regular hackathons (online and in-person) with tens of thousands of participants. Sponsoring at the $5-10K level puts us in front of every developer building on Solana during the event — and these developers become the next generation of Tier 2 customers.</w:t>
      </w:r>
    </w:p>
    <w:p>
      <w:pPr>
        <w:spacing w:after="0" w:before="80"/>
      </w:pPr>
      <w:r>
        <w:t xml:space="preserve"/>
      </w:r>
    </w:p>
    <w:p>
      <w:pPr>
        <w:pStyle w:val="ListParagraph"/>
        <w:numPr>
          <w:ilvl w:val="0"/>
          <w:numId w:val="2"/>
        </w:numPr>
        <w:spacing w:after="40" w:before="40"/>
      </w:pPr>
      <w:r>
        <w:rPr>
          <w:rFonts w:ascii="Arial" w:cs="Arial" w:eastAsia="Arial" w:hAnsi="Arial"/>
          <w:color w:val="222222"/>
          <w:sz w:val="22"/>
          <w:szCs w:val="22"/>
        </w:rPr>
        <w:t xml:space="preserve">Sponsor tier: provide free API access (Professional plan) to all hackathon participants for 60 days</w:t>
      </w:r>
    </w:p>
    <w:p>
      <w:pPr>
        <w:pStyle w:val="ListParagraph"/>
        <w:numPr>
          <w:ilvl w:val="0"/>
          <w:numId w:val="2"/>
        </w:numPr>
        <w:spacing w:after="40" w:before="40"/>
      </w:pPr>
      <w:r>
        <w:rPr>
          <w:rFonts w:ascii="Arial" w:cs="Arial" w:eastAsia="Arial" w:hAnsi="Arial"/>
          <w:color w:val="222222"/>
          <w:sz w:val="22"/>
          <w:szCs w:val="22"/>
        </w:rPr>
        <w:t xml:space="preserve">Offer a $5,000 'Best Solana Infrastructure Use' bounty prize — gets our name in every submission</w:t>
      </w:r>
    </w:p>
    <w:p>
      <w:pPr>
        <w:pStyle w:val="ListParagraph"/>
        <w:numPr>
          <w:ilvl w:val="0"/>
          <w:numId w:val="2"/>
        </w:numPr>
        <w:spacing w:after="40" w:before="40"/>
      </w:pPr>
      <w:r>
        <w:rPr>
          <w:rFonts w:ascii="Arial" w:cs="Arial" w:eastAsia="Arial" w:hAnsi="Arial"/>
          <w:color w:val="222222"/>
          <w:sz w:val="22"/>
          <w:szCs w:val="22"/>
        </w:rPr>
        <w:t xml:space="preserve">Host a technical session: 'How to build production Solana apps that don't fail during market events' — positions us as the reliability experts</w:t>
      </w:r>
    </w:p>
    <w:p>
      <w:pPr>
        <w:pStyle w:val="ListParagraph"/>
        <w:numPr>
          <w:ilvl w:val="0"/>
          <w:numId w:val="2"/>
        </w:numPr>
        <w:spacing w:after="40" w:before="40"/>
      </w:pPr>
      <w:r>
        <w:rPr>
          <w:rFonts w:ascii="Arial" w:cs="Arial" w:eastAsia="Arial" w:hAnsi="Arial"/>
          <w:color w:val="222222"/>
          <w:sz w:val="22"/>
          <w:szCs w:val="22"/>
        </w:rPr>
        <w:t xml:space="preserve">Collect every participant's email for the newsletter. These become warm leads over 6-12 months.</w:t>
      </w:r>
    </w:p>
    <w:p>
      <w:pPr>
        <w:spacing w:after="0" w:before="160"/>
      </w:pPr>
      <w:r>
        <w:t xml:space="preserve"/>
      </w:r>
    </w:p>
    <w:p>
      <w:pPr>
        <w:pStyle w:val="Heading2"/>
        <w:spacing w:after="100" w:before="280"/>
      </w:pPr>
      <w:r>
        <w:rPr>
          <w:rFonts w:ascii="Arial" w:cs="Arial" w:eastAsia="Arial" w:hAnsi="Arial"/>
          <w:b/>
          <w:bCs/>
          <w:color w:val="2E75B6"/>
          <w:sz w:val="26"/>
          <w:szCs w:val="26"/>
        </w:rPr>
        <w:t xml:space="preserve">8.5 — The Data Center Tour</w:t>
      </w:r>
    </w:p>
    <w:p>
      <w:pPr>
        <w:spacing w:after="80" w:before="60"/>
      </w:pPr>
      <w:r>
        <w:rPr>
          <w:rFonts w:ascii="Arial" w:cs="Arial" w:eastAsia="Arial" w:hAnsi="Arial"/>
          <w:color w:val="222222"/>
          <w:sz w:val="22"/>
          <w:szCs w:val="22"/>
        </w:rPr>
        <w:t xml:space="preserve">Enterprise buyers who visit a facility buy. Offer a Las Vegas data center tour to Tier 1 enterprise prospects who are in the evaluation stage. Almost nobody else can do this.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4"/>
              <w:bottom w:val="single" w:color="2E75B6" w:sz="3"/>
              <w:right w:val="single" w:color="2E75B6" w:sz="3"/>
            </w:tcBorders>
            <w:shd w:fill="D5E8F0" w:val="clear"/>
            <w:tcMar>
              <w:top w:type="dxa" w:w="120"/>
              <w:left w:type="dxa" w:w="220"/>
              <w:bottom w:type="dxa" w:w="120"/>
              <w:right w:type="dxa" w:w="220"/>
            </w:tcMar>
          </w:tcPr>
          <w:p>
            <w:pPr>
              <w:spacing w:after="60" w:before="0"/>
            </w:pPr>
            <w:r>
              <w:rPr>
                <w:rFonts w:ascii="Arial" w:cs="Arial" w:eastAsia="Arial" w:hAnsi="Arial"/>
                <w:b/>
                <w:bCs/>
                <w:color w:val="2E75B6"/>
                <w:sz w:val="22"/>
                <w:szCs w:val="22"/>
              </w:rPr>
              <w:t xml:space="preserve">ℹ  Unique Advantage</w:t>
            </w:r>
          </w:p>
          <w:p>
            <w:pPr>
              <w:spacing w:after="0" w:before="0"/>
            </w:pPr>
            <w:r>
              <w:rPr>
                <w:rFonts w:ascii="Arial" w:cs="Arial" w:eastAsia="Arial" w:hAnsi="Arial"/>
                <w:color w:val="222222"/>
                <w:sz w:val="20"/>
                <w:szCs w:val="20"/>
              </w:rPr>
              <w:t xml:space="preserve">When was the last time Helius offered a prospect a tour of their data center? They can't — they don't own one. When you say 'come see the hardware your transactions will run on,' you're doing something no software-native competitor can do. For institutional buyers who are doing vendor risk assessments, a physical visit is enormously reassuring.</w:t>
            </w:r>
          </w:p>
        </w:tc>
      </w:tr>
    </w:tbl>
    <w:p>
      <w:pPr>
        <w:spacing w:after="0" w:before="160"/>
      </w:pPr>
      <w:r>
        <w:t xml:space="preserve"/>
      </w:r>
    </w:p>
    <w:p>
      <w:pPr>
        <w:pStyle w:val="Heading2"/>
        <w:spacing w:after="100" w:before="280"/>
      </w:pPr>
      <w:r>
        <w:rPr>
          <w:rFonts w:ascii="Arial" w:cs="Arial" w:eastAsia="Arial" w:hAnsi="Arial"/>
          <w:b/>
          <w:bCs/>
          <w:color w:val="2E75B6"/>
          <w:sz w:val="26"/>
          <w:szCs w:val="26"/>
        </w:rPr>
        <w:t xml:space="preserve">8.6 — The 'Migration Done For You' Offer</w:t>
      </w:r>
    </w:p>
    <w:p>
      <w:pPr>
        <w:spacing w:after="80" w:before="60"/>
      </w:pPr>
      <w:r>
        <w:rPr>
          <w:rFonts w:ascii="Arial" w:cs="Arial" w:eastAsia="Arial" w:hAnsi="Arial"/>
          <w:color w:val="222222"/>
          <w:sz w:val="22"/>
          <w:szCs w:val="22"/>
        </w:rPr>
        <w:t xml:space="preserve">Make switching costs zero. For any customer migrating from a competitor, offer a white-glove migration:</w:t>
      </w:r>
    </w:p>
    <w:p>
      <w:pPr>
        <w:spacing w:after="0" w:before="80"/>
      </w:pPr>
      <w:r>
        <w:t xml:space="preserve"/>
      </w:r>
    </w:p>
    <w:p>
      <w:pPr>
        <w:pStyle w:val="ListParagraph"/>
        <w:numPr>
          <w:ilvl w:val="0"/>
          <w:numId w:val="2"/>
        </w:numPr>
        <w:spacing w:after="40" w:before="40"/>
      </w:pPr>
      <w:r>
        <w:rPr>
          <w:rFonts w:ascii="Arial" w:cs="Arial" w:eastAsia="Arial" w:hAnsi="Arial"/>
          <w:color w:val="222222"/>
          <w:sz w:val="22"/>
          <w:szCs w:val="22"/>
        </w:rPr>
        <w:t xml:space="preserve">We review their current configuration and map it to our equivalent setup</w:t>
      </w:r>
    </w:p>
    <w:p>
      <w:pPr>
        <w:pStyle w:val="ListParagraph"/>
        <w:numPr>
          <w:ilvl w:val="0"/>
          <w:numId w:val="2"/>
        </w:numPr>
        <w:spacing w:after="40" w:before="40"/>
      </w:pPr>
      <w:r>
        <w:rPr>
          <w:rFonts w:ascii="Arial" w:cs="Arial" w:eastAsia="Arial" w:hAnsi="Arial"/>
          <w:color w:val="222222"/>
          <w:sz w:val="22"/>
          <w:szCs w:val="22"/>
        </w:rPr>
        <w:t xml:space="preserve">We provide a migration guide and test environment</w:t>
      </w:r>
    </w:p>
    <w:p>
      <w:pPr>
        <w:pStyle w:val="ListParagraph"/>
        <w:numPr>
          <w:ilvl w:val="0"/>
          <w:numId w:val="2"/>
        </w:numPr>
        <w:spacing w:after="40" w:before="40"/>
      </w:pPr>
      <w:r>
        <w:rPr>
          <w:rFonts w:ascii="Arial" w:cs="Arial" w:eastAsia="Arial" w:hAnsi="Arial"/>
          <w:color w:val="222222"/>
          <w:sz w:val="22"/>
          <w:szCs w:val="22"/>
        </w:rPr>
        <w:t xml:space="preserve">We run parallel for 2 weeks and validate their application works correctly on our endpoints</w:t>
      </w:r>
    </w:p>
    <w:p>
      <w:pPr>
        <w:pStyle w:val="ListParagraph"/>
        <w:numPr>
          <w:ilvl w:val="0"/>
          <w:numId w:val="2"/>
        </w:numPr>
        <w:spacing w:after="40" w:before="40"/>
      </w:pPr>
      <w:r>
        <w:rPr>
          <w:rFonts w:ascii="Arial" w:cs="Arial" w:eastAsia="Arial" w:hAnsi="Arial"/>
          <w:color w:val="222222"/>
          <w:sz w:val="22"/>
          <w:szCs w:val="22"/>
        </w:rPr>
        <w:t xml:space="preserve">We coordinate with their engineering team on the cutover</w:t>
      </w:r>
    </w:p>
    <w:p>
      <w:pPr>
        <w:pStyle w:val="ListParagraph"/>
        <w:numPr>
          <w:ilvl w:val="0"/>
          <w:numId w:val="2"/>
        </w:numPr>
        <w:spacing w:after="40" w:before="40"/>
      </w:pPr>
      <w:r>
        <w:rPr>
          <w:rFonts w:ascii="Arial" w:cs="Arial" w:eastAsia="Arial" w:hAnsi="Arial"/>
          <w:color w:val="222222"/>
          <w:sz w:val="22"/>
          <w:szCs w:val="22"/>
        </w:rPr>
        <w:t xml:space="preserve">Migration cost: zero. This is part of the onboarding for any annual or dedicated plan.</w:t>
      </w:r>
    </w:p>
    <w:p>
      <w:r>
        <w:br w:type="page"/>
      </w:r>
    </w:p>
    <w:p>
      <w:pPr>
        <w:pStyle w:val="Heading1"/>
        <w:pBdr>
          <w:bottom w:val="single" w:color="2E75B6" w:sz="6" w:space="4"/>
        </w:pBdr>
        <w:spacing w:after="120" w:before="360"/>
      </w:pPr>
      <w:r>
        <w:rPr>
          <w:rFonts w:ascii="Arial" w:cs="Arial" w:eastAsia="Arial" w:hAnsi="Arial"/>
          <w:b/>
          <w:bCs/>
          <w:color w:val="1B3A6B"/>
          <w:sz w:val="32"/>
          <w:szCs w:val="32"/>
        </w:rPr>
        <w:t xml:space="preserve">9. The Ledger Conversation — A Specific Playbook</w:t>
      </w:r>
    </w:p>
    <w:p>
      <w:pPr>
        <w:spacing w:after="80" w:before="60"/>
      </w:pPr>
      <w:r>
        <w:rPr>
          <w:rFonts w:ascii="Arial" w:cs="Arial" w:eastAsia="Arial" w:hAnsi="Arial"/>
          <w:color w:val="222222"/>
          <w:sz w:val="22"/>
          <w:szCs w:val="22"/>
        </w:rPr>
        <w:t xml:space="preserve">The Ledger relationship is the most valuable asset in our go-to-market. This section provides specific guidance for how to use it — what to ask for, what to offer, and how to expand it.</w:t>
      </w:r>
    </w:p>
    <w:p>
      <w:pPr>
        <w:spacing w:after="0" w:before="80"/>
      </w:pPr>
      <w:r>
        <w:t xml:space="preserve"/>
      </w:r>
    </w:p>
    <w:p>
      <w:pPr>
        <w:pStyle w:val="Heading2"/>
        <w:spacing w:after="100" w:before="280"/>
      </w:pPr>
      <w:r>
        <w:rPr>
          <w:rFonts w:ascii="Arial" w:cs="Arial" w:eastAsia="Arial" w:hAnsi="Arial"/>
          <w:b/>
          <w:bCs/>
          <w:color w:val="2E75B6"/>
          <w:sz w:val="26"/>
          <w:szCs w:val="26"/>
        </w:rPr>
        <w:t xml:space="preserve">9.1 — The Initial Conversation Goals</w:t>
      </w:r>
    </w:p>
    <w:p>
      <w:pPr>
        <w:spacing w:after="80" w:before="60"/>
      </w:pPr>
      <w:r>
        <w:rPr>
          <w:rFonts w:ascii="Arial" w:cs="Arial" w:eastAsia="Arial" w:hAnsi="Arial"/>
          <w:color w:val="222222"/>
          <w:sz w:val="22"/>
          <w:szCs w:val="22"/>
        </w:rPr>
        <w:t xml:space="preserve">This is not a sales call. It is an intelligence-gathering and relationship-expanding conversation. Come in curious, not pitching.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Question to Ask</w:t>
            </w:r>
          </w:p>
        </w:tc>
        <w:tc>
          <w:tcPr>
            <w:tcW w:type="dxa" w:w="51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What You're Learning</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What does Ledger's current Solana RPC infrastructure look like — are you running your own nodes, using a provider, or both?</w:t>
            </w:r>
          </w:p>
        </w:tc>
        <w:tc>
          <w:tcPr>
            <w:tcW w:type="dxa" w:w="5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Whether there is a direct commercial opportunity or a partnership angle.</w:t>
            </w:r>
          </w:p>
        </w:tc>
      </w:tr>
      <w:tr>
        <w:tc>
          <w:tcPr>
            <w:tcW w:type="dxa" w:w="4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Which providers are you currently using? Are you happy with them?</w:t>
            </w:r>
          </w:p>
        </w:tc>
        <w:tc>
          <w:tcPr>
            <w:tcW w:type="dxa" w:w="51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Identify who we are potentially displacing or supplementing.</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What's been the biggest frustration or limitation with your current Solana infrastructure setup?</w:t>
            </w:r>
          </w:p>
        </w:tc>
        <w:tc>
          <w:tcPr>
            <w:tcW w:type="dxa" w:w="5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The problem we can solve. This is the most valuable answer.</w:t>
            </w:r>
          </w:p>
        </w:tc>
      </w:tr>
      <w:tr>
        <w:tc>
          <w:tcPr>
            <w:tcW w:type="dxa" w:w="4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As Ledger scales Ledger Live and adds more Solana features, what infrastructure concerns keep you up at night?</w:t>
            </w:r>
          </w:p>
        </w:tc>
        <w:tc>
          <w:tcPr>
            <w:tcW w:type="dxa" w:w="51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Future needs — shapes our product roadmap.</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Who in the Solana ecosystem would you recommend we talk to? Who are the infrastructure decision-makers at the protocols and exchanges you work with?</w:t>
            </w:r>
          </w:p>
        </w:tc>
        <w:tc>
          <w:tcPr>
            <w:tcW w:type="dxa" w:w="5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Referrals. This is the network unlock.</w:t>
            </w:r>
          </w:p>
        </w:tc>
      </w:tr>
    </w:tbl>
    <w:p>
      <w:pPr>
        <w:spacing w:after="0" w:before="120"/>
      </w:pPr>
      <w:r>
        <w:t xml:space="preserve"/>
      </w:r>
    </w:p>
    <w:p>
      <w:pPr>
        <w:pStyle w:val="Heading2"/>
        <w:spacing w:after="100" w:before="280"/>
      </w:pPr>
      <w:r>
        <w:rPr>
          <w:rFonts w:ascii="Arial" w:cs="Arial" w:eastAsia="Arial" w:hAnsi="Arial"/>
          <w:b/>
          <w:bCs/>
          <w:color w:val="2E75B6"/>
          <w:sz w:val="26"/>
          <w:szCs w:val="26"/>
        </w:rPr>
        <w:t xml:space="preserve">9.2 — What to Offer Ledger</w:t>
      </w:r>
    </w:p>
    <w:p>
      <w:pPr>
        <w:pStyle w:val="ListParagraph"/>
        <w:numPr>
          <w:ilvl w:val="0"/>
          <w:numId w:val="2"/>
        </w:numPr>
        <w:spacing w:after="40" w:before="40"/>
      </w:pPr>
      <w:r>
        <w:rPr>
          <w:rFonts w:ascii="Arial" w:cs="Arial" w:eastAsia="Arial" w:hAnsi="Arial"/>
          <w:color w:val="222222"/>
          <w:sz w:val="22"/>
          <w:szCs w:val="22"/>
        </w:rPr>
        <w:t xml:space="preserve">Preferred pricing: as our longest-standing crypto client, offer Ledger Founding Client status (see Section 8.3) — permanent price lock, priority node allocation</w:t>
      </w:r>
    </w:p>
    <w:p>
      <w:pPr>
        <w:pStyle w:val="ListParagraph"/>
        <w:numPr>
          <w:ilvl w:val="0"/>
          <w:numId w:val="2"/>
        </w:numPr>
        <w:spacing w:after="40" w:before="40"/>
      </w:pPr>
      <w:r>
        <w:rPr>
          <w:rFonts w:ascii="Arial" w:cs="Arial" w:eastAsia="Arial" w:hAnsi="Arial"/>
          <w:color w:val="222222"/>
          <w:sz w:val="22"/>
          <w:szCs w:val="22"/>
        </w:rPr>
        <w:t xml:space="preserve">Dedicated Slack channel for real-time support — demonstrate we operate like an enterprise infrastructure vendor, not a SaaS startup</w:t>
      </w:r>
    </w:p>
    <w:p>
      <w:pPr>
        <w:pStyle w:val="ListParagraph"/>
        <w:numPr>
          <w:ilvl w:val="0"/>
          <w:numId w:val="2"/>
        </w:numPr>
        <w:spacing w:after="40" w:before="40"/>
      </w:pPr>
      <w:r>
        <w:rPr>
          <w:rFonts w:ascii="Arial" w:cs="Arial" w:eastAsia="Arial" w:hAnsi="Arial"/>
          <w:color w:val="222222"/>
          <w:sz w:val="22"/>
          <w:szCs w:val="22"/>
        </w:rPr>
        <w:t xml:space="preserve">Monthly infrastructure review call — proactive visibility into their Solana dependency health</w:t>
      </w:r>
    </w:p>
    <w:p>
      <w:pPr>
        <w:pStyle w:val="ListParagraph"/>
        <w:numPr>
          <w:ilvl w:val="0"/>
          <w:numId w:val="2"/>
        </w:numPr>
        <w:spacing w:after="40" w:before="40"/>
      </w:pPr>
      <w:r>
        <w:rPr>
          <w:rFonts w:ascii="Arial" w:cs="Arial" w:eastAsia="Arial" w:hAnsi="Arial"/>
          <w:color w:val="222222"/>
          <w:sz w:val="22"/>
          <w:szCs w:val="22"/>
        </w:rPr>
        <w:t xml:space="preserve">First access to enhanced data feeds when we launch — Ledger Live could benefit enormously from real-time Solana event streams</w:t>
      </w:r>
    </w:p>
    <w:p>
      <w:pPr>
        <w:spacing w:after="0" w:before="120"/>
      </w:pPr>
      <w:r>
        <w:t xml:space="preserve"/>
      </w:r>
    </w:p>
    <w:p>
      <w:pPr>
        <w:pStyle w:val="Heading2"/>
        <w:spacing w:after="100" w:before="280"/>
      </w:pPr>
      <w:r>
        <w:rPr>
          <w:rFonts w:ascii="Arial" w:cs="Arial" w:eastAsia="Arial" w:hAnsi="Arial"/>
          <w:b/>
          <w:bCs/>
          <w:color w:val="2E75B6"/>
          <w:sz w:val="26"/>
          <w:szCs w:val="26"/>
        </w:rPr>
        <w:t xml:space="preserve">9.3 — The Introduction Ask</w:t>
      </w:r>
    </w:p>
    <w:p>
      <w:pPr>
        <w:spacing w:after="80" w:before="60"/>
      </w:pPr>
      <w:r>
        <w:rPr>
          <w:rFonts w:ascii="Arial" w:cs="Arial" w:eastAsia="Arial" w:hAnsi="Arial"/>
          <w:color w:val="222222"/>
          <w:sz w:val="22"/>
          <w:szCs w:val="22"/>
        </w:rPr>
        <w:t xml:space="preserve">This is the most important thing to come out of the Ledger conversation. Ask explicitly for three introductions:</w:t>
      </w:r>
    </w:p>
    <w:p>
      <w:pPr>
        <w:spacing w:after="0" w:before="80"/>
      </w:pPr>
      <w:r>
        <w:t xml:space="preserve"/>
      </w:r>
    </w:p>
    <w:p>
      <w:pPr>
        <w:pStyle w:val="ListParagraph"/>
        <w:numPr>
          <w:ilvl w:val="0"/>
          <w:numId w:val="2"/>
        </w:numPr>
        <w:spacing w:after="40" w:before="40"/>
      </w:pPr>
      <w:r>
        <w:rPr>
          <w:rFonts w:ascii="Arial" w:cs="Arial" w:eastAsia="Arial" w:hAnsi="Arial"/>
          <w:color w:val="222222"/>
          <w:sz w:val="22"/>
          <w:szCs w:val="22"/>
        </w:rPr>
        <w:t xml:space="preserve">One introduction to their infrastructure lead at a major exchange they work with (Coinbase, Kraken, etc.)</w:t>
      </w:r>
    </w:p>
    <w:p>
      <w:pPr>
        <w:pStyle w:val="ListParagraph"/>
        <w:numPr>
          <w:ilvl w:val="0"/>
          <w:numId w:val="2"/>
        </w:numPr>
        <w:spacing w:after="40" w:before="40"/>
      </w:pPr>
      <w:r>
        <w:rPr>
          <w:rFonts w:ascii="Arial" w:cs="Arial" w:eastAsia="Arial" w:hAnsi="Arial"/>
          <w:color w:val="222222"/>
          <w:sz w:val="22"/>
          <w:szCs w:val="22"/>
        </w:rPr>
        <w:t xml:space="preserve">One introduction to a DeFi protocol they are integrated with (Jupiter, Phantom, etc.)</w:t>
      </w:r>
    </w:p>
    <w:p>
      <w:pPr>
        <w:pStyle w:val="ListParagraph"/>
        <w:numPr>
          <w:ilvl w:val="0"/>
          <w:numId w:val="2"/>
        </w:numPr>
        <w:spacing w:after="40" w:before="40"/>
      </w:pPr>
      <w:r>
        <w:rPr>
          <w:rFonts w:ascii="Arial" w:cs="Arial" w:eastAsia="Arial" w:hAnsi="Arial"/>
          <w:color w:val="222222"/>
          <w:sz w:val="22"/>
          <w:szCs w:val="22"/>
        </w:rPr>
        <w:t xml:space="preserve">One introduction to any prop trading firm or market maker in their network</w:t>
      </w:r>
    </w:p>
    <w:p>
      <w:pPr>
        <w:spacing w:after="0" w:before="60"/>
      </w:pPr>
      <w:r>
        <w:t xml:space="preserve"/>
      </w:r>
    </w:p>
    <w:p>
      <w:pPr>
        <w:spacing w:after="80" w:before="60"/>
      </w:pPr>
      <w:r>
        <w:rPr>
          <w:rFonts w:ascii="Arial" w:cs="Arial" w:eastAsia="Arial" w:hAnsi="Arial"/>
          <w:color w:val="222222"/>
          <w:sz w:val="22"/>
          <w:szCs w:val="22"/>
        </w:rPr>
        <w:t xml:space="preserve">How to ask: 'We're selectively onboarding enterprise Solana infrastructure clients and want to make sure we're talking to the right companies. Given who you work with, are there 2-3 companies you'd feel comfortable introducing us to where this kind of infrastructure conversation might be relevant?'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A00" w:sz="3"/>
              <w:left w:val="single" w:color="7A5A00" w:sz="14"/>
              <w:bottom w:val="single" w:color="7A5A00" w:sz="3"/>
              <w:right w:val="single" w:color="7A5A00" w:sz="3"/>
            </w:tcBorders>
            <w:shd w:fill="FFF8DC" w:val="clear"/>
            <w:tcMar>
              <w:top w:type="dxa" w:w="120"/>
              <w:left w:type="dxa" w:w="220"/>
              <w:bottom w:type="dxa" w:w="120"/>
              <w:right w:type="dxa" w:w="220"/>
            </w:tcMar>
          </w:tcPr>
          <w:p>
            <w:pPr>
              <w:spacing w:after="60" w:before="0"/>
            </w:pPr>
            <w:r>
              <w:rPr>
                <w:rFonts w:ascii="Arial" w:cs="Arial" w:eastAsia="Arial" w:hAnsi="Arial"/>
                <w:b/>
                <w:bCs/>
                <w:color w:val="7A5A00"/>
                <w:sz w:val="22"/>
                <w:szCs w:val="22"/>
              </w:rPr>
              <w:t xml:space="preserve">★  The Network Multiplier</w:t>
            </w:r>
          </w:p>
          <w:p>
            <w:pPr>
              <w:spacing w:after="0" w:before="0"/>
            </w:pPr>
            <w:r>
              <w:rPr>
                <w:rFonts w:ascii="Arial" w:cs="Arial" w:eastAsia="Arial" w:hAnsi="Arial"/>
                <w:color w:val="222222"/>
                <w:sz w:val="20"/>
                <w:szCs w:val="20"/>
              </w:rPr>
              <w:t xml:space="preserve">If Ledger gives us 3 introductions, and each of those gives us 2 more, we go from 0 relationships to 9 warm conversations in 60 days. Relationship-driven sales in a small industry like institutional crypto compound extremely fast. One good intro from Ledger is worth 200 cold LinkedIn messages.</w:t>
            </w:r>
          </w:p>
        </w:tc>
      </w:tr>
    </w:tbl>
    <w:p>
      <w:r>
        <w:br w:type="page"/>
      </w:r>
    </w:p>
    <w:p>
      <w:pPr>
        <w:pStyle w:val="Heading1"/>
        <w:pBdr>
          <w:bottom w:val="single" w:color="2E75B6" w:sz="6" w:space="4"/>
        </w:pBdr>
        <w:spacing w:after="120" w:before="360"/>
      </w:pPr>
      <w:r>
        <w:rPr>
          <w:rFonts w:ascii="Arial" w:cs="Arial" w:eastAsia="Arial" w:hAnsi="Arial"/>
          <w:b/>
          <w:bCs/>
          <w:color w:val="1B3A6B"/>
          <w:sz w:val="32"/>
          <w:szCs w:val="32"/>
        </w:rPr>
        <w:t xml:space="preserve">10. The 90-Day Action Plan</w:t>
      </w:r>
    </w:p>
    <w:p>
      <w:pPr>
        <w:spacing w:after="80" w:before="60"/>
      </w:pPr>
      <w:r>
        <w:rPr>
          <w:rFonts w:ascii="Arial" w:cs="Arial" w:eastAsia="Arial" w:hAnsi="Arial"/>
          <w:color w:val="222222"/>
          <w:sz w:val="22"/>
          <w:szCs w:val="22"/>
        </w:rPr>
        <w:t xml:space="preserve">This is not a strategy document — it is a to-do list. Specific actions with specific owners and specific dates. The goal by Day 90 is to have at minimum three paying enterprise customers and a pipeline of ten qualified opportunities.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4A" w:val="clear"/>
            <w:tcMar>
              <w:top w:type="dxa" w:w="160"/>
              <w:left w:type="dxa" w:w="260"/>
              <w:bottom w:type="dxa" w:w="160"/>
              <w:right w:type="dxa" w:w="260"/>
            </w:tcMar>
          </w:tcPr>
          <w:p>
            <w:pPr>
              <w:spacing w:after="60" w:before="0"/>
            </w:pPr>
            <w:r>
              <w:rPr>
                <w:rFonts w:ascii="Arial" w:cs="Arial" w:eastAsia="Arial" w:hAnsi="Arial"/>
                <w:b/>
                <w:bCs/>
                <w:color w:val="FFFFFF"/>
                <w:sz w:val="30"/>
                <w:szCs w:val="30"/>
              </w:rPr>
              <w:t xml:space="preserve">DAYS 1–30: FOUNDATION &amp; FIRST CONVERSATIONS</w:t>
            </w:r>
          </w:p>
          <w:p>
            <w:pPr>
              <w:spacing w:after="0" w:before="0"/>
            </w:pPr>
            <w:r>
              <w:rPr>
                <w:rFonts w:ascii="Arial" w:cs="Arial" w:eastAsia="Arial" w:hAnsi="Arial"/>
                <w:i/>
                <w:iCs/>
                <w:color w:val="BBDDFF"/>
                <w:sz w:val="20"/>
                <w:szCs w:val="20"/>
              </w:rPr>
              <w:t xml:space="preserve">Infrastructure live. First conversations started. No revenue yet.</w:t>
            </w:r>
          </w:p>
        </w:tc>
      </w:tr>
    </w:tbl>
    <w:p>
      <w:pPr>
        <w:spacing w:after="0" w:before="100"/>
      </w:pPr>
      <w:r>
        <w:t xml:space="preserve"/>
      </w:r>
    </w:p>
    <w:p>
      <w:pPr>
        <w:spacing w:after="80" w:before="220"/>
      </w:pPr>
      <w:r>
        <w:rPr>
          <w:rFonts w:ascii="Arial" w:cs="Arial" w:eastAsia="Arial" w:hAnsi="Arial"/>
          <w:b/>
          <w:bCs/>
          <w:color w:val="444444"/>
          <w:sz w:val="22"/>
          <w:szCs w:val="22"/>
        </w:rPr>
        <w:t xml:space="preserve">Week 1 — The Ledger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c>
          <w:tcPr>
            <w:tcW w:type="dxa" w:w="3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Action</w:t>
            </w:r>
          </w:p>
        </w:tc>
        <w:tc>
          <w:tcPr>
            <w:tcW w:type="dxa" w:w="1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Owner</w:t>
            </w:r>
          </w:p>
        </w:tc>
        <w:tc>
          <w:tcPr>
            <w:tcW w:type="dxa" w:w="37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Output</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Schedule and conduct Ledger infrastructure conversation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CEO</w:t>
            </w:r>
          </w:p>
        </w:tc>
        <w:tc>
          <w:tcPr>
            <w:tcW w:type="dxa" w:w="3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Meeting notes, identified opportunities, ask for 3 introductions</w:t>
            </w:r>
          </w:p>
        </w:tc>
      </w:tr>
      <w:tr>
        <w:tc>
          <w:tcPr>
            <w:tcW w:type="dxa" w:w="3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Set up LinkedIn Sales Navigator or manual tracking spreadsheet</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CEO / BD</w:t>
            </w:r>
          </w:p>
        </w:tc>
        <w:tc>
          <w:tcPr>
            <w:tcW w:type="dxa" w:w="37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Prospect tracking system in place</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Build initial target account list from this document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CEO / BD</w:t>
            </w:r>
          </w:p>
        </w:tc>
        <w:tc>
          <w:tcPr>
            <w:tcW w:type="dxa" w:w="3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50 named companies with contact identified for each</w:t>
            </w:r>
          </w:p>
        </w:tc>
      </w:tr>
      <w:tr>
        <w:tc>
          <w:tcPr>
            <w:tcW w:type="dxa" w:w="3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Draft one-page company overview for leave-behinds</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CEO</w:t>
            </w:r>
          </w:p>
        </w:tc>
        <w:tc>
          <w:tcPr>
            <w:tcW w:type="dxa" w:w="37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One-pager PDF: who we are, what we offer, Ledger reference</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Set up company LinkedIn page and basic website placeholder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BD / Dev</w:t>
            </w:r>
          </w:p>
        </w:tc>
        <w:tc>
          <w:tcPr>
            <w:tcW w:type="dxa" w:w="3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Basic digital presence — prospects will Google us</w:t>
            </w:r>
          </w:p>
        </w:tc>
      </w:tr>
    </w:tbl>
    <w:p>
      <w:pPr>
        <w:spacing w:after="0" w:before="100"/>
      </w:pPr>
      <w:r>
        <w:t xml:space="preserve"/>
      </w:r>
    </w:p>
    <w:p>
      <w:pPr>
        <w:spacing w:after="80" w:before="220"/>
      </w:pPr>
      <w:r>
        <w:rPr>
          <w:rFonts w:ascii="Arial" w:cs="Arial" w:eastAsia="Arial" w:hAnsi="Arial"/>
          <w:b/>
          <w:bCs/>
          <w:color w:val="444444"/>
          <w:sz w:val="22"/>
          <w:szCs w:val="22"/>
        </w:rPr>
        <w:t xml:space="preserve">Week 2-3 — First Wave Outreach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c>
          <w:tcPr>
            <w:tcW w:type="dxa" w:w="3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Action</w:t>
            </w:r>
          </w:p>
        </w:tc>
        <w:tc>
          <w:tcPr>
            <w:tcW w:type="dxa" w:w="1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Owner</w:t>
            </w:r>
          </w:p>
        </w:tc>
        <w:tc>
          <w:tcPr>
            <w:tcW w:type="dxa" w:w="37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Output</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Send outreach to Group A warm accounts (5 companies)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CEO</w:t>
            </w:r>
          </w:p>
        </w:tc>
        <w:tc>
          <w:tcPr>
            <w:tcW w:type="dxa" w:w="3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5 outreach messages sent. Target: 3 conversations booked.</w:t>
            </w:r>
          </w:p>
        </w:tc>
      </w:tr>
      <w:tr>
        <w:tc>
          <w:tcPr>
            <w:tcW w:type="dxa" w:w="3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Begin LinkedIn connections to Group B targets (20 people)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CEO</w:t>
            </w:r>
          </w:p>
        </w:tc>
        <w:tc>
          <w:tcPr>
            <w:tcW w:type="dxa" w:w="37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20 connection requests. Follow up in 72 hours.</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Identify and attend one local crypto or fintech networking event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CEO / Son</w:t>
            </w:r>
          </w:p>
        </w:tc>
        <w:tc>
          <w:tcPr>
            <w:tcW w:type="dxa" w:w="3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5 new in-person conversations</w:t>
            </w:r>
          </w:p>
        </w:tc>
      </w:tr>
      <w:tr>
        <w:tc>
          <w:tcPr>
            <w:tcW w:type="dxa" w:w="3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Join Solana developer Discord — begin being helpful in #infrastructure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Son / tech hire</w:t>
            </w:r>
          </w:p>
        </w:tc>
        <w:tc>
          <w:tcPr>
            <w:tcW w:type="dxa" w:w="37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Community presence started</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Register for one upcoming Solana conference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CEO</w:t>
            </w:r>
          </w:p>
        </w:tc>
        <w:tc>
          <w:tcPr>
            <w:tcW w:type="dxa" w:w="3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Conference booked. Research attendees. Prepare intro deck.</w:t>
            </w:r>
          </w:p>
        </w:tc>
      </w:tr>
    </w:tbl>
    <w:p>
      <w:pPr>
        <w:spacing w:after="0" w:before="100"/>
      </w:pPr>
      <w:r>
        <w:t xml:space="preserve"/>
      </w:r>
    </w:p>
    <w:p>
      <w:pPr>
        <w:spacing w:after="80" w:before="220"/>
      </w:pPr>
      <w:r>
        <w:rPr>
          <w:rFonts w:ascii="Arial" w:cs="Arial" w:eastAsia="Arial" w:hAnsi="Arial"/>
          <w:b/>
          <w:bCs/>
          <w:color w:val="444444"/>
          <w:sz w:val="22"/>
          <w:szCs w:val="22"/>
        </w:rPr>
        <w:t xml:space="preserve">Week 4 — First Enterprise Conversations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c>
          <w:tcPr>
            <w:tcW w:type="dxa" w:w="3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Action</w:t>
            </w:r>
          </w:p>
        </w:tc>
        <w:tc>
          <w:tcPr>
            <w:tcW w:type="dxa" w:w="1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Owner</w:t>
            </w:r>
          </w:p>
        </w:tc>
        <w:tc>
          <w:tcPr>
            <w:tcW w:type="dxa" w:w="37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Output</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Conduct first enterprise discovery calls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CEO</w:t>
            </w:r>
          </w:p>
        </w:tc>
        <w:tc>
          <w:tcPr>
            <w:tcW w:type="dxa" w:w="3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3+ discovery calls completed. Need identified for 2+ prospects.</w:t>
            </w:r>
          </w:p>
        </w:tc>
      </w:tr>
      <w:tr>
        <w:tc>
          <w:tcPr>
            <w:tcW w:type="dxa" w:w="3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Prepare technical proof-of-concept package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Dev + Ops</w:t>
            </w:r>
          </w:p>
        </w:tc>
        <w:tc>
          <w:tcPr>
            <w:tcW w:type="dxa" w:w="37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One-page POC proposal template ready to deploy</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Launch parallel trial for first willing enterprise prospect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Dev + CEO</w:t>
            </w:r>
          </w:p>
        </w:tc>
        <w:tc>
          <w:tcPr>
            <w:tcW w:type="dxa" w:w="3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First POC running. Latency and uptime data collecting.</w:t>
            </w:r>
          </w:p>
        </w:tc>
      </w:tr>
      <w:tr>
        <w:tc>
          <w:tcPr>
            <w:tcW w:type="dxa" w:w="3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Send Group B first follow-up messages</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CEO</w:t>
            </w:r>
          </w:p>
        </w:tc>
        <w:tc>
          <w:tcPr>
            <w:tcW w:type="dxa" w:w="37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Second touch to all 20 Group B contacts</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Write first LinkedIn post: 'What enterprise infrastructure teams need from Solana RPC that they're not getting'</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CEO</w:t>
            </w:r>
          </w:p>
        </w:tc>
        <w:tc>
          <w:tcPr>
            <w:tcW w:type="dxa" w:w="3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First public content. Tag Solana Foundation.</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60"/>
              <w:left w:type="dxa" w:w="260"/>
              <w:bottom w:type="dxa" w:w="160"/>
              <w:right w:type="dxa" w:w="260"/>
            </w:tcMar>
          </w:tcPr>
          <w:p>
            <w:pPr>
              <w:spacing w:after="60" w:before="0"/>
            </w:pPr>
            <w:r>
              <w:rPr>
                <w:rFonts w:ascii="Arial" w:cs="Arial" w:eastAsia="Arial" w:hAnsi="Arial"/>
                <w:b/>
                <w:bCs/>
                <w:color w:val="FFFFFF"/>
                <w:sz w:val="30"/>
                <w:szCs w:val="30"/>
              </w:rPr>
              <w:t xml:space="preserve">DAYS 31–60: PIPELINE BUILDING</w:t>
            </w:r>
          </w:p>
          <w:p>
            <w:pPr>
              <w:spacing w:after="0" w:before="0"/>
            </w:pPr>
            <w:r>
              <w:rPr>
                <w:rFonts w:ascii="Arial" w:cs="Arial" w:eastAsia="Arial" w:hAnsi="Arial"/>
                <w:i/>
                <w:iCs/>
                <w:color w:val="BBDDFF"/>
                <w:sz w:val="20"/>
                <w:szCs w:val="20"/>
              </w:rPr>
              <w:t xml:space="preserve">First customers converting. Outreach at scale. Community presence starting.</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360"/>
        <w:gridCol w:w="400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Action</w:t>
            </w:r>
          </w:p>
        </w:tc>
        <w:tc>
          <w:tcPr>
            <w:tcW w:type="dxa" w:w="1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Owner</w:t>
            </w:r>
          </w:p>
        </w:tc>
        <w:tc>
          <w:tcPr>
            <w:tcW w:type="dxa" w:w="13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Timeline</w:t>
            </w:r>
          </w:p>
        </w:tc>
        <w:tc>
          <w:tcPr>
            <w:tcW w:type="dxa" w:w="4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Success Metric</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Close first paying enterprise customer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CEO</w:t>
            </w:r>
          </w:p>
        </w:tc>
        <w:tc>
          <w:tcPr>
            <w:tcW w:type="dxa" w:w="1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Day 30-45</w:t>
            </w:r>
          </w:p>
        </w:tc>
        <w:tc>
          <w:tcPr>
            <w:tcW w:type="dxa" w:w="4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1 signed contract (dedicated node or annual Business plan)</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Expand LinkedIn outreach to 10 messages/day</w:t>
            </w:r>
          </w:p>
        </w:tc>
        <w:tc>
          <w:tcPr>
            <w:tcW w:type="dxa" w:w="1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CEO / BD</w:t>
            </w:r>
          </w:p>
        </w:tc>
        <w:tc>
          <w:tcPr>
            <w:tcW w:type="dxa" w:w="13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Ongoing</w:t>
            </w:r>
          </w:p>
        </w:tc>
        <w:tc>
          <w:tcPr>
            <w:tcW w:type="dxa" w:w="4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100 new connections. 15+ conversations active in pipeline.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GitHub prospecting — identify 20 projects using competitor RPC endpoints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Son / tech</w:t>
            </w:r>
          </w:p>
        </w:tc>
        <w:tc>
          <w:tcPr>
            <w:tcW w:type="dxa" w:w="1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Day 35-45</w:t>
            </w:r>
          </w:p>
        </w:tc>
        <w:tc>
          <w:tcPr>
            <w:tcW w:type="dxa" w:w="4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20 technical outreach messages sent</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Apply to sponsor Solana hackathon</w:t>
            </w:r>
          </w:p>
        </w:tc>
        <w:tc>
          <w:tcPr>
            <w:tcW w:type="dxa" w:w="1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CEO</w:t>
            </w:r>
          </w:p>
        </w:tc>
        <w:tc>
          <w:tcPr>
            <w:tcW w:type="dxa" w:w="13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Day 40</w:t>
            </w:r>
          </w:p>
        </w:tc>
        <w:tc>
          <w:tcPr>
            <w:tcW w:type="dxa" w:w="4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Sponsorship confirmed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Conduct security assessment for 2 interested enterprise prospects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CEO + cybersec team</w:t>
            </w:r>
          </w:p>
        </w:tc>
        <w:tc>
          <w:tcPr>
            <w:tcW w:type="dxa" w:w="1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Day 45-60</w:t>
            </w:r>
          </w:p>
        </w:tc>
        <w:tc>
          <w:tcPr>
            <w:tcW w:type="dxa" w:w="4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2 assessment reports delivered. 1 conversion expected.</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First conference attendance / networking event</w:t>
            </w:r>
          </w:p>
        </w:tc>
        <w:tc>
          <w:tcPr>
            <w:tcW w:type="dxa" w:w="1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CEO</w:t>
            </w:r>
          </w:p>
        </w:tc>
        <w:tc>
          <w:tcPr>
            <w:tcW w:type="dxa" w:w="13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Day 45-60</w:t>
            </w:r>
          </w:p>
        </w:tc>
        <w:tc>
          <w:tcPr>
            <w:tcW w:type="dxa" w:w="4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10 qualified conversations. 5 cards/LinkedIn connections.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Launch founding client program formally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CEO</w:t>
            </w:r>
          </w:p>
        </w:tc>
        <w:tc>
          <w:tcPr>
            <w:tcW w:type="dxa" w:w="1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Day 50</w:t>
            </w:r>
          </w:p>
        </w:tc>
        <w:tc>
          <w:tcPr>
            <w:tcW w:type="dxa" w:w="4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Program documented. First 3 founding clients enrolled.</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Publish second LinkedIn article: 'Why we built for enterprise first'</w:t>
            </w:r>
          </w:p>
        </w:tc>
        <w:tc>
          <w:tcPr>
            <w:tcW w:type="dxa" w:w="1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CEO</w:t>
            </w:r>
          </w:p>
        </w:tc>
        <w:tc>
          <w:tcPr>
            <w:tcW w:type="dxa" w:w="13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Day 55</w:t>
            </w:r>
          </w:p>
        </w:tc>
        <w:tc>
          <w:tcPr>
            <w:tcW w:type="dxa" w:w="4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Organic reach. 1+ inbound inquiry.</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D1A6E" w:val="clear"/>
            <w:tcMar>
              <w:top w:type="dxa" w:w="160"/>
              <w:left w:type="dxa" w:w="260"/>
              <w:bottom w:type="dxa" w:w="160"/>
              <w:right w:type="dxa" w:w="260"/>
            </w:tcMar>
          </w:tcPr>
          <w:p>
            <w:pPr>
              <w:spacing w:after="60" w:before="0"/>
            </w:pPr>
            <w:r>
              <w:rPr>
                <w:rFonts w:ascii="Arial" w:cs="Arial" w:eastAsia="Arial" w:hAnsi="Arial"/>
                <w:b/>
                <w:bCs/>
                <w:color w:val="FFFFFF"/>
                <w:sz w:val="30"/>
                <w:szCs w:val="30"/>
              </w:rPr>
              <w:t xml:space="preserve">DAYS 61–90: REVENUE &amp; REFERRALS</w:t>
            </w:r>
          </w:p>
          <w:p>
            <w:pPr>
              <w:spacing w:after="0" w:before="0"/>
            </w:pPr>
            <w:r>
              <w:rPr>
                <w:rFonts w:ascii="Arial" w:cs="Arial" w:eastAsia="Arial" w:hAnsi="Arial"/>
                <w:i/>
                <w:iCs/>
                <w:color w:val="BBDDFF"/>
                <w:sz w:val="20"/>
                <w:szCs w:val="20"/>
              </w:rPr>
              <w:t xml:space="preserve">Multiple paying customers. Reference program active. Referral loop starting.</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360"/>
        <w:gridCol w:w="400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Action</w:t>
            </w:r>
          </w:p>
        </w:tc>
        <w:tc>
          <w:tcPr>
            <w:tcW w:type="dxa" w:w="1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Owner</w:t>
            </w:r>
          </w:p>
        </w:tc>
        <w:tc>
          <w:tcPr>
            <w:tcW w:type="dxa" w:w="13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Timeline</w:t>
            </w:r>
          </w:p>
        </w:tc>
        <w:tc>
          <w:tcPr>
            <w:tcW w:type="dxa" w:w="4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Success Metric</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Target: 3 paying enterprise customers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CEO</w:t>
            </w:r>
          </w:p>
        </w:tc>
        <w:tc>
          <w:tcPr>
            <w:tcW w:type="dxa" w:w="1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Day 90</w:t>
            </w:r>
          </w:p>
        </w:tc>
        <w:tc>
          <w:tcPr>
            <w:tcW w:type="dxa" w:w="4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$15K+ MRR from enterprise accounts</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Ask each paying customer for 2 introductions</w:t>
            </w:r>
          </w:p>
        </w:tc>
        <w:tc>
          <w:tcPr>
            <w:tcW w:type="dxa" w:w="1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CEO</w:t>
            </w:r>
          </w:p>
        </w:tc>
        <w:tc>
          <w:tcPr>
            <w:tcW w:type="dxa" w:w="13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Day 65-75</w:t>
            </w:r>
          </w:p>
        </w:tc>
        <w:tc>
          <w:tcPr>
            <w:tcW w:type="dxa" w:w="4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6 new warm introductions in pipeline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Launch hackathon sponsorship (if timeline aligns)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BD + Dev</w:t>
            </w:r>
          </w:p>
        </w:tc>
        <w:tc>
          <w:tcPr>
            <w:tcW w:type="dxa" w:w="1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Day 75-90</w:t>
            </w:r>
          </w:p>
        </w:tc>
        <w:tc>
          <w:tcPr>
            <w:tcW w:type="dxa" w:w="4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500+ developer signups to free tier</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Case study: write up first customer win</w:t>
            </w:r>
          </w:p>
        </w:tc>
        <w:tc>
          <w:tcPr>
            <w:tcW w:type="dxa" w:w="1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CEO</w:t>
            </w:r>
          </w:p>
        </w:tc>
        <w:tc>
          <w:tcPr>
            <w:tcW w:type="dxa" w:w="13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Day 80</w:t>
            </w:r>
          </w:p>
        </w:tc>
        <w:tc>
          <w:tcPr>
            <w:tcW w:type="dxa" w:w="4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Published case study (with permission) or anonymous version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Assess hiring for a BD/sales role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CEO</w:t>
            </w:r>
          </w:p>
        </w:tc>
        <w:tc>
          <w:tcPr>
            <w:tcW w:type="dxa" w:w="1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Day 85</w:t>
            </w:r>
          </w:p>
        </w:tc>
        <w:tc>
          <w:tcPr>
            <w:tcW w:type="dxa" w:w="4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Decision: internal person vs outsourced BD vs wait</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First Quarterly Business Review with Ledger</w:t>
            </w:r>
          </w:p>
        </w:tc>
        <w:tc>
          <w:tcPr>
            <w:tcW w:type="dxa" w:w="1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CEO</w:t>
            </w:r>
          </w:p>
        </w:tc>
        <w:tc>
          <w:tcPr>
            <w:tcW w:type="dxa" w:w="13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Day 90</w:t>
            </w:r>
          </w:p>
        </w:tc>
        <w:tc>
          <w:tcPr>
            <w:tcW w:type="dxa" w:w="4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Relationship deepened. Second service offering discussed.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Pipeline review and forecast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CEO</w:t>
            </w:r>
          </w:p>
        </w:tc>
        <w:tc>
          <w:tcPr>
            <w:tcW w:type="dxa" w:w="1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Day 90</w:t>
            </w:r>
          </w:p>
        </w:tc>
        <w:tc>
          <w:tcPr>
            <w:tcW w:type="dxa" w:w="4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10+ qualified opportunities. 90-day forecast: $50K+ pipeline.</w:t>
            </w:r>
          </w:p>
        </w:tc>
      </w:tr>
    </w:tbl>
    <w:p>
      <w:r>
        <w:br w:type="page"/>
      </w:r>
    </w:p>
    <w:p>
      <w:pPr>
        <w:pStyle w:val="Heading1"/>
        <w:pBdr>
          <w:bottom w:val="single" w:color="2E75B6" w:sz="6" w:space="4"/>
        </w:pBdr>
        <w:spacing w:after="120" w:before="360"/>
      </w:pPr>
      <w:r>
        <w:rPr>
          <w:rFonts w:ascii="Arial" w:cs="Arial" w:eastAsia="Arial" w:hAnsi="Arial"/>
          <w:b/>
          <w:bCs/>
          <w:color w:val="1B3A6B"/>
          <w:sz w:val="32"/>
          <w:szCs w:val="32"/>
        </w:rPr>
        <w:t xml:space="preserve">11. Sales Metrics &amp; Targets</w:t>
      </w:r>
    </w:p>
    <w:p>
      <w:pPr>
        <w:spacing w:after="80" w:before="60"/>
      </w:pPr>
      <w:r>
        <w:rPr>
          <w:rFonts w:ascii="Arial" w:cs="Arial" w:eastAsia="Arial" w:hAnsi="Arial"/>
          <w:color w:val="222222"/>
          <w:sz w:val="22"/>
          <w:szCs w:val="22"/>
        </w:rPr>
        <w:t xml:space="preserve">Define success so we can measure it. The following targets are achievable based on comparable infrastructure business trajectories and our specific advantages.</w:t>
      </w:r>
    </w:p>
    <w:p>
      <w:pPr>
        <w:spacing w:after="0" w:before="80"/>
      </w:pPr>
      <w:r>
        <w:t xml:space="preserve"/>
      </w:r>
    </w:p>
    <w:p>
      <w:pPr>
        <w:pStyle w:val="Heading2"/>
        <w:spacing w:after="100" w:before="280"/>
      </w:pPr>
      <w:r>
        <w:rPr>
          <w:rFonts w:ascii="Arial" w:cs="Arial" w:eastAsia="Arial" w:hAnsi="Arial"/>
          <w:b/>
          <w:bCs/>
          <w:color w:val="2E75B6"/>
          <w:sz w:val="26"/>
          <w:szCs w:val="26"/>
        </w:rPr>
        <w:t xml:space="preserve">11.1 — Pipeline Metrics (Track Weekly)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Month 1 Target</w:t>
            </w:r>
          </w:p>
        </w:tc>
        <w:tc>
          <w:tcPr>
            <w:tcW w:type="dxa" w:w="2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Month 3 Target</w:t>
            </w:r>
          </w:p>
        </w:tc>
        <w:tc>
          <w:tcPr>
            <w:tcW w:type="dxa" w:w="21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Month 6 Target</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Outreach messages sent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50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200/mo</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300/mo</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Discovery calls completed</w:t>
            </w:r>
          </w:p>
        </w:tc>
        <w:tc>
          <w:tcPr>
            <w:tcW w:type="dxa" w:w="2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5</w:t>
            </w:r>
          </w:p>
        </w:tc>
        <w:tc>
          <w:tcPr>
            <w:tcW w:type="dxa" w:w="2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20/mo</w:t>
            </w:r>
          </w:p>
        </w:tc>
        <w:tc>
          <w:tcPr>
            <w:tcW w:type="dxa" w:w="21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30/mo</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Active POC / trials running</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3</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5</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Qualified pipeline (total ACV)</w:t>
            </w:r>
          </w:p>
        </w:tc>
        <w:tc>
          <w:tcPr>
            <w:tcW w:type="dxa" w:w="2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$30K</w:t>
            </w:r>
          </w:p>
        </w:tc>
        <w:tc>
          <w:tcPr>
            <w:tcW w:type="dxa" w:w="2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$150K</w:t>
            </w:r>
          </w:p>
        </w:tc>
        <w:tc>
          <w:tcPr>
            <w:tcW w:type="dxa" w:w="21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$500K</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Paying customers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0-1</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3-5</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10-15</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MRR</w:t>
            </w:r>
          </w:p>
        </w:tc>
        <w:tc>
          <w:tcPr>
            <w:tcW w:type="dxa" w:w="2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$0-3K</w:t>
            </w:r>
          </w:p>
        </w:tc>
        <w:tc>
          <w:tcPr>
            <w:tcW w:type="dxa" w:w="2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$15-25K</w:t>
            </w:r>
          </w:p>
        </w:tc>
        <w:tc>
          <w:tcPr>
            <w:tcW w:type="dxa" w:w="21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$50-80K</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Avg deal size (monthly)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$3-5K/mo</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$4-6K/mo</w:t>
            </w:r>
          </w:p>
        </w:tc>
      </w:tr>
    </w:tbl>
    <w:p>
      <w:pPr>
        <w:spacing w:after="0" w:before="120"/>
      </w:pPr>
      <w:r>
        <w:t xml:space="preserve"/>
      </w:r>
    </w:p>
    <w:p>
      <w:pPr>
        <w:pStyle w:val="Heading2"/>
        <w:spacing w:after="100" w:before="280"/>
      </w:pPr>
      <w:r>
        <w:rPr>
          <w:rFonts w:ascii="Arial" w:cs="Arial" w:eastAsia="Arial" w:hAnsi="Arial"/>
          <w:b/>
          <w:bCs/>
          <w:color w:val="2E75B6"/>
          <w:sz w:val="26"/>
          <w:szCs w:val="26"/>
        </w:rPr>
        <w:t xml:space="preserve">11.2 — Revenue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Milestone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Target Date</w:t>
            </w:r>
          </w:p>
        </w:tc>
        <w:tc>
          <w:tcPr>
            <w:tcW w:type="dxa" w:w="51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How We Get There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First paying customer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Month 1-2</w:t>
            </w:r>
          </w:p>
        </w:tc>
        <w:tc>
          <w:tcPr>
            <w:tcW w:type="dxa" w:w="5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Ledger relationship or warm intro converts. POC proves value.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$10K MRR</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Month 3</w:t>
            </w:r>
          </w:p>
        </w:tc>
        <w:tc>
          <w:tcPr>
            <w:tcW w:type="dxa" w:w="51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3 dedicated nodes or 8+ Business plan customers.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$50K MRR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Month 6</w:t>
            </w:r>
          </w:p>
        </w:tc>
        <w:tc>
          <w:tcPr>
            <w:tcW w:type="dxa" w:w="5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Mix: 5 dedicated nodes + 20 Business/Professional customers.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$100K MRR</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Month 9</w:t>
            </w:r>
          </w:p>
        </w:tc>
        <w:tc>
          <w:tcPr>
            <w:tcW w:type="dxa" w:w="51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22222"/>
                <w:sz w:val="20"/>
                <w:szCs w:val="20"/>
              </w:rPr>
              <w:t xml:space="preserve">2 enterprise contracts + continued growth in mid-market.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$1M ARR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Month 15-18</w:t>
            </w:r>
          </w:p>
        </w:tc>
        <w:tc>
          <w:tcPr>
            <w:tcW w:type="dxa" w:w="5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20"/>
                <w:szCs w:val="20"/>
              </w:rPr>
              <w:t xml:space="preserve">Established brand in Solana enterprise. Referral loop active.</w:t>
            </w:r>
          </w:p>
        </w:tc>
      </w:tr>
    </w:tbl>
    <w:p>
      <w:pPr>
        <w:spacing w:after="0" w:before="120"/>
      </w:pPr>
      <w:r>
        <w:t xml:space="preserve"/>
      </w:r>
    </w:p>
    <w:p>
      <w:pPr>
        <w:pStyle w:val="Heading2"/>
        <w:spacing w:after="100" w:before="280"/>
      </w:pPr>
      <w:r>
        <w:rPr>
          <w:rFonts w:ascii="Arial" w:cs="Arial" w:eastAsia="Arial" w:hAnsi="Arial"/>
          <w:b/>
          <w:bCs/>
          <w:color w:val="2E75B6"/>
          <w:sz w:val="26"/>
          <w:szCs w:val="26"/>
        </w:rPr>
        <w:t xml:space="preserve">11.3 — Leading Indicators (Weekly Dashboard)</w:t>
      </w:r>
    </w:p>
    <w:p>
      <w:pPr>
        <w:pStyle w:val="ListParagraph"/>
        <w:numPr>
          <w:ilvl w:val="0"/>
          <w:numId w:val="2"/>
        </w:numPr>
        <w:spacing w:after="40" w:before="40"/>
      </w:pPr>
      <w:r>
        <w:rPr>
          <w:rFonts w:ascii="Arial" w:cs="Arial" w:eastAsia="Arial" w:hAnsi="Arial"/>
          <w:color w:val="222222"/>
          <w:sz w:val="22"/>
          <w:szCs w:val="22"/>
        </w:rPr>
        <w:t xml:space="preserve">Messages sent this week</w:t>
      </w:r>
    </w:p>
    <w:p>
      <w:pPr>
        <w:pStyle w:val="ListParagraph"/>
        <w:numPr>
          <w:ilvl w:val="0"/>
          <w:numId w:val="2"/>
        </w:numPr>
        <w:spacing w:after="40" w:before="40"/>
      </w:pPr>
      <w:r>
        <w:rPr>
          <w:rFonts w:ascii="Arial" w:cs="Arial" w:eastAsia="Arial" w:hAnsi="Arial"/>
          <w:color w:val="222222"/>
          <w:sz w:val="22"/>
          <w:szCs w:val="22"/>
        </w:rPr>
        <w:t xml:space="preserve">Responses received (reply rate — target &gt;20%)</w:t>
      </w:r>
    </w:p>
    <w:p>
      <w:pPr>
        <w:pStyle w:val="ListParagraph"/>
        <w:numPr>
          <w:ilvl w:val="0"/>
          <w:numId w:val="2"/>
        </w:numPr>
        <w:spacing w:after="40" w:before="40"/>
      </w:pPr>
      <w:r>
        <w:rPr>
          <w:rFonts w:ascii="Arial" w:cs="Arial" w:eastAsia="Arial" w:hAnsi="Arial"/>
          <w:color w:val="222222"/>
          <w:sz w:val="22"/>
          <w:szCs w:val="22"/>
        </w:rPr>
        <w:t xml:space="preserve">Discovery calls booked</w:t>
      </w:r>
    </w:p>
    <w:p>
      <w:pPr>
        <w:pStyle w:val="ListParagraph"/>
        <w:numPr>
          <w:ilvl w:val="0"/>
          <w:numId w:val="2"/>
        </w:numPr>
        <w:spacing w:after="40" w:before="40"/>
      </w:pPr>
      <w:r>
        <w:rPr>
          <w:rFonts w:ascii="Arial" w:cs="Arial" w:eastAsia="Arial" w:hAnsi="Arial"/>
          <w:color w:val="222222"/>
          <w:sz w:val="22"/>
          <w:szCs w:val="22"/>
        </w:rPr>
        <w:t xml:space="preserve">POCs active</w:t>
      </w:r>
    </w:p>
    <w:p>
      <w:pPr>
        <w:pStyle w:val="ListParagraph"/>
        <w:numPr>
          <w:ilvl w:val="0"/>
          <w:numId w:val="2"/>
        </w:numPr>
        <w:spacing w:after="40" w:before="40"/>
      </w:pPr>
      <w:r>
        <w:rPr>
          <w:rFonts w:ascii="Arial" w:cs="Arial" w:eastAsia="Arial" w:hAnsi="Arial"/>
          <w:color w:val="222222"/>
          <w:sz w:val="22"/>
          <w:szCs w:val="22"/>
        </w:rPr>
        <w:t xml:space="preserve">Introductions received from existing customers</w:t>
      </w:r>
    </w:p>
    <w:p>
      <w:pPr>
        <w:pStyle w:val="ListParagraph"/>
        <w:numPr>
          <w:ilvl w:val="0"/>
          <w:numId w:val="2"/>
        </w:numPr>
        <w:spacing w:after="40" w:before="40"/>
      </w:pPr>
      <w:r>
        <w:rPr>
          <w:rFonts w:ascii="Arial" w:cs="Arial" w:eastAsia="Arial" w:hAnsi="Arial"/>
          <w:color w:val="222222"/>
          <w:sz w:val="22"/>
          <w:szCs w:val="22"/>
        </w:rPr>
        <w:t xml:space="preserve">LinkedIn post impressions and engagement</w:t>
      </w:r>
    </w:p>
    <w:p>
      <w:pPr>
        <w:pStyle w:val="ListParagraph"/>
        <w:numPr>
          <w:ilvl w:val="0"/>
          <w:numId w:val="2"/>
        </w:numPr>
        <w:spacing w:after="40" w:before="40"/>
      </w:pPr>
      <w:r>
        <w:rPr>
          <w:rFonts w:ascii="Arial" w:cs="Arial" w:eastAsia="Arial" w:hAnsi="Arial"/>
          <w:color w:val="222222"/>
          <w:sz w:val="22"/>
          <w:szCs w:val="22"/>
        </w:rPr>
        <w:t xml:space="preserve">Inbound inquiries (website contact form, direct message)</w:t>
      </w:r>
    </w:p>
    <w:p>
      <w:r>
        <w:br w:type="page"/>
      </w:r>
    </w:p>
    <w:p>
      <w:pPr>
        <w:pStyle w:val="Heading1"/>
        <w:pBdr>
          <w:bottom w:val="single" w:color="2E75B6" w:sz="6" w:space="4"/>
        </w:pBdr>
        <w:spacing w:after="120" w:before="360"/>
      </w:pPr>
      <w:r>
        <w:rPr>
          <w:rFonts w:ascii="Arial" w:cs="Arial" w:eastAsia="Arial" w:hAnsi="Arial"/>
          <w:b/>
          <w:bCs/>
          <w:color w:val="1B3A6B"/>
          <w:sz w:val="32"/>
          <w:szCs w:val="32"/>
        </w:rPr>
        <w:t xml:space="preserve">12. The Founder's Story</w:t>
      </w:r>
    </w:p>
    <w:p>
      <w:pPr>
        <w:spacing w:after="80" w:before="60"/>
      </w:pPr>
      <w:r>
        <w:rPr>
          <w:rFonts w:ascii="Arial" w:cs="Arial" w:eastAsia="Arial" w:hAnsi="Arial"/>
          <w:color w:val="222222"/>
          <w:sz w:val="22"/>
          <w:szCs w:val="22"/>
        </w:rPr>
        <w:t xml:space="preserve">In B2B sales, especially in a new market, the founder's story is a sales tool. People don't just buy infrastructure — they buy confidence in the operator. This section is the narrative to tell, in the right rooms.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3"/>
              <w:left w:val="single" w:color="1B3A6B" w:sz="16"/>
              <w:bottom w:val="single" w:color="1B3A6B" w:sz="3"/>
              <w:right w:val="single" w:color="1B3A6B" w:sz="3"/>
            </w:tcBorders>
            <w:shd w:fill="D5E8F0" w:val="clear"/>
            <w:tcMar>
              <w:top w:type="dxa" w:w="180"/>
              <w:left w:type="dxa" w:w="260"/>
              <w:bottom w:type="dxa" w:w="180"/>
              <w:right w:type="dxa" w:w="260"/>
            </w:tcMar>
          </w:tcPr>
          <w:p>
            <w:pPr>
              <w:spacing w:after="100" w:before="0"/>
            </w:pPr>
            <w:r>
              <w:rPr>
                <w:rFonts w:ascii="Arial" w:cs="Arial" w:eastAsia="Arial" w:hAnsi="Arial"/>
                <w:b/>
                <w:bCs/>
                <w:color w:val="1B3A6B"/>
                <w:sz w:val="24"/>
                <w:szCs w:val="24"/>
              </w:rPr>
              <w:t xml:space="preserve">The Story That Opens Doors</w:t>
            </w:r>
          </w:p>
          <w:p>
            <w:pPr>
              <w:spacing w:after="80" w:before="0"/>
            </w:pPr>
            <w:r>
              <w:rPr>
                <w:rFonts w:ascii="Arial" w:cs="Arial" w:eastAsia="Arial" w:hAnsi="Arial"/>
                <w:color w:val="1A2A4A"/>
                <w:sz w:val="21"/>
                <w:szCs w:val="21"/>
              </w:rPr>
              <w:t xml:space="preserve">"We came into this from cybersecurity and enterprise data centers. We've been running mission-critical infrastructure for companies that can't afford downtime for over a decade.</w:t>
            </w:r>
          </w:p>
          <w:p>
            <w:pPr>
              <w:spacing w:after="80" w:before="0"/>
            </w:pPr>
            <w:r>
              <w:rPr>
                <w:rFonts w:ascii="Arial" w:cs="Arial" w:eastAsia="Arial" w:hAnsi="Arial"/>
                <w:color w:val="1A2A4A"/>
                <w:sz w:val="21"/>
                <w:szCs w:val="21"/>
              </w:rPr>
              <w:t xml:space="preserve">When we looked at the Solana infrastructure market, we saw a gap that surprised us: every major provider was built by crypto-native software teams who learned infrastructure along the way. Nobody was approaching this from the other direction — from deep infrastructure experience into crypto.</w:t>
            </w:r>
          </w:p>
          <w:p>
            <w:pPr>
              <w:spacing w:after="80" w:before="0"/>
            </w:pPr>
            <w:r>
              <w:rPr>
                <w:rFonts w:ascii="Arial" w:cs="Arial" w:eastAsia="Arial" w:hAnsi="Arial"/>
                <w:color w:val="1A2A4A"/>
                <w:sz w:val="21"/>
                <w:szCs w:val="21"/>
              </w:rPr>
              <w:t xml:space="preserve">We already had the hardware, the facilities, the security posture, and a relationship with Ledger. We asked ourselves: what is stopping us from doing for Solana what we've done for our enterprise clients in every other sector?</w:t>
            </w:r>
          </w:p>
          <w:p>
            <w:pPr>
              <w:spacing w:after="0" w:before="0"/>
            </w:pPr>
            <w:r>
              <w:rPr>
                <w:rFonts w:ascii="Arial" w:cs="Arial" w:eastAsia="Arial" w:hAnsi="Arial"/>
                <w:b/>
                <w:bCs/>
                <w:color w:val="1A2A4A"/>
                <w:sz w:val="21"/>
                <w:szCs w:val="21"/>
              </w:rPr>
              <w:t xml:space="preserve">The answer was nothing. So we built it."</w:t>
            </w:r>
          </w:p>
        </w:tc>
      </w:tr>
    </w:tbl>
    <w:p>
      <w:pPr>
        <w:spacing w:after="0" w:before="120"/>
      </w:pPr>
      <w:r>
        <w:t xml:space="preserve"/>
      </w:r>
    </w:p>
    <w:p>
      <w:pPr>
        <w:spacing w:after="80" w:before="60"/>
      </w:pPr>
      <w:r>
        <w:rPr>
          <w:rFonts w:ascii="Arial" w:cs="Arial" w:eastAsia="Arial" w:hAnsi="Arial"/>
          <w:color w:val="222222"/>
          <w:sz w:val="22"/>
          <w:szCs w:val="22"/>
        </w:rPr>
        <w:t xml:space="preserve">This narrative works because it is:</w:t>
      </w:r>
    </w:p>
    <w:p>
      <w:pPr>
        <w:pStyle w:val="ListParagraph"/>
        <w:numPr>
          <w:ilvl w:val="0"/>
          <w:numId w:val="2"/>
        </w:numPr>
        <w:spacing w:after="40" w:before="40"/>
      </w:pPr>
      <w:r>
        <w:rPr>
          <w:rFonts w:ascii="Arial" w:cs="Arial" w:eastAsia="Arial" w:hAnsi="Arial"/>
          <w:color w:val="222222"/>
          <w:sz w:val="22"/>
          <w:szCs w:val="22"/>
        </w:rPr>
        <w:t xml:space="preserve">True — authenticity is felt immediately</w:t>
      </w:r>
    </w:p>
    <w:p>
      <w:pPr>
        <w:pStyle w:val="ListParagraph"/>
        <w:numPr>
          <w:ilvl w:val="0"/>
          <w:numId w:val="2"/>
        </w:numPr>
        <w:spacing w:after="40" w:before="40"/>
      </w:pPr>
      <w:r>
        <w:rPr>
          <w:rFonts w:ascii="Arial" w:cs="Arial" w:eastAsia="Arial" w:hAnsi="Arial"/>
          <w:color w:val="222222"/>
          <w:sz w:val="22"/>
          <w:szCs w:val="22"/>
        </w:rPr>
        <w:t xml:space="preserve">Differentiating — nobody else in the market has this story</w:t>
      </w:r>
    </w:p>
    <w:p>
      <w:pPr>
        <w:pStyle w:val="ListParagraph"/>
        <w:numPr>
          <w:ilvl w:val="0"/>
          <w:numId w:val="2"/>
        </w:numPr>
        <w:spacing w:after="40" w:before="40"/>
      </w:pPr>
      <w:r>
        <w:rPr>
          <w:rFonts w:ascii="Arial" w:cs="Arial" w:eastAsia="Arial" w:hAnsi="Arial"/>
          <w:color w:val="222222"/>
          <w:sz w:val="22"/>
          <w:szCs w:val="22"/>
        </w:rPr>
        <w:t xml:space="preserve">Reassuring for enterprise buyers — we come from their world, not from crypto speculation</w:t>
      </w:r>
    </w:p>
    <w:p>
      <w:pPr>
        <w:pStyle w:val="ListParagraph"/>
        <w:numPr>
          <w:ilvl w:val="0"/>
          <w:numId w:val="2"/>
        </w:numPr>
        <w:spacing w:after="40" w:before="40"/>
      </w:pPr>
      <w:r>
        <w:rPr>
          <w:rFonts w:ascii="Arial" w:cs="Arial" w:eastAsia="Arial" w:hAnsi="Arial"/>
          <w:color w:val="222222"/>
          <w:sz w:val="22"/>
          <w:szCs w:val="22"/>
        </w:rPr>
        <w:t xml:space="preserve">Interesting — it's an unexpected angle that creates curiosity and follow-up questions</w:t>
      </w:r>
    </w:p>
    <w:p>
      <w:pPr>
        <w:spacing w:after="0" w:before="160"/>
      </w:pPr>
      <w:r>
        <w:t xml:space="preserve"/>
      </w:r>
    </w:p>
    <w:p>
      <w:pPr>
        <w:pBdr>
          <w:top w:val="single" w:color="2E75B6" w:sz="4" w:space="6"/>
        </w:pBdr>
        <w:spacing w:after="80" w:before="160"/>
      </w:pPr>
      <w:r>
        <w:rPr>
          <w:rFonts w:ascii="Arial" w:cs="Arial" w:eastAsia="Arial" w:hAnsi="Arial"/>
          <w:i/>
          <w:iCs/>
          <w:color w:val="444444"/>
          <w:sz w:val="16"/>
          <w:szCs w:val="16"/>
        </w:rPr>
        <w:t xml:space="preserve">This document should be reviewed and updated monthly as we learn from real sales conversations. The ICP will sharpen, the messaging will improve, and the target account list will evolve. Version control this document — the changes we make will be the best record of what we learn.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after="0" w:before="120"/>
    </w:pPr>
    <w:r>
      <w:rPr>
        <w:rFonts w:ascii="Arial" w:cs="Arial" w:eastAsia="Arial" w:hAnsi="Arial"/>
        <w:color w:val="444444"/>
        <w:sz w:val="16"/>
        <w:szCs w:val="16"/>
      </w:rPr>
      <w:t xml:space="preserve">Confidential — Internal Use Only</w:t>
    </w:r>
    <w:r>
      <w:rPr>
        <w:rFonts w:ascii="Arial" w:cs="Arial" w:eastAsia="Arial" w:hAnsi="Arial"/>
        <w:color w:val="444444"/>
        <w:sz w:val="16"/>
        <w:szCs w:val="16"/>
      </w:rPr>
      <w:t xml:space="preserve">	BD &amp; GTM Guide v1.0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20" w:before="0"/>
    </w:pPr>
    <w:r>
      <w:rPr>
        <w:rFonts w:ascii="Arial" w:cs="Arial" w:eastAsia="Arial" w:hAnsi="Arial"/>
        <w:b/>
        <w:bCs/>
        <w:color w:val="4A90C4"/>
        <w:sz w:val="16"/>
        <w:szCs w:val="16"/>
      </w:rPr>
      <w:t xml:space="preserve">Solana Infrastructure Division</w:t>
    </w:r>
    <w:r>
      <w:rPr>
        <w:rFonts w:ascii="Arial" w:cs="Arial" w:eastAsia="Arial" w:hAnsi="Arial"/>
        <w:color w:val="444444"/>
        <w:sz w:val="16"/>
        <w:szCs w:val="16"/>
      </w:rPr>
      <w:t xml:space="preserve">	Business Development &amp; Go-To-Market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2026-03-13T15:37:48.837Z</dcterms:created>
  <dcterms:modified xsi:type="dcterms:W3CDTF">2026-03-13T15:37:48.838Z</dcterms:modified>
</cp:coreProperties>
</file>

<file path=docProps/custom.xml><?xml version="1.0" encoding="utf-8"?>
<Properties xmlns="http://schemas.openxmlformats.org/officeDocument/2006/custom-properties" xmlns:vt="http://schemas.openxmlformats.org/officeDocument/2006/docPropsVTypes"/>
</file>