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B3A6B"/>
          <w:sz w:val="52"/>
          <w:szCs w:val="52"/>
        </w:rPr>
        <w:t xml:space="preserve">SOLANA INFRASTRUCTURE DIVISION</w:t>
      </w:r>
    </w:p>
    <w:p>
      <w:pPr>
        <w:pBdr>
          <w:bottom w:val="single" w:color="2E75B6" w:sz="8" w:space="6"/>
        </w:pBdr>
        <w:spacing w:after="80" w:before="0"/>
        <w:jc w:val="center"/>
      </w:pPr>
      <w:r>
        <w:rPr>
          <w:rFonts w:ascii="Arial" w:cs="Arial" w:eastAsia="Arial" w:hAnsi="Arial"/>
          <w:color w:val="4A90C4"/>
          <w:sz w:val="32"/>
          <w:szCs w:val="32"/>
        </w:rPr>
        <w:t xml:space="preserve">Business Plan &amp; Go-To-Market Strategy</w:t>
      </w:r>
    </w:p>
    <w:p>
      <w:pPr>
        <w:spacing w:after="0" w:before="400"/>
      </w:pPr>
      <w:r>
        <w:t xml:space="preserve"/>
      </w:r>
    </w:p>
    <w:p>
      <w:pPr>
        <w:spacing w:after="80" w:before="0"/>
        <w:jc w:val="center"/>
      </w:pPr>
      <w:r>
        <w:rPr>
          <w:rFonts w:ascii="Arial" w:cs="Arial" w:eastAsia="Arial" w:hAnsi="Arial"/>
          <w:i/>
          <w:iCs/>
          <w:color w:val="444444"/>
          <w:sz w:val="22"/>
          <w:szCs w:val="22"/>
        </w:rPr>
        <w:t xml:space="preserve">Prepared for Internal Leadership Review</w:t>
      </w:r>
    </w:p>
    <w:p>
      <w:pPr>
        <w:spacing w:after="0" w:before="0"/>
        <w:jc w:val="center"/>
      </w:pPr>
      <w:r>
        <w:rPr>
          <w:rFonts w:ascii="Arial" w:cs="Arial" w:eastAsia="Arial" w:hAnsi="Arial"/>
          <w:color w:val="444444"/>
          <w:sz w:val="22"/>
          <w:szCs w:val="22"/>
        </w:rPr>
        <w:t xml:space="preserve">2025</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b/>
                <w:bCs/>
                <w:color w:val="AACCEE"/>
                <w:sz w:val="18"/>
                <w:szCs w:val="18"/>
              </w:rPr>
              <w:t xml:space="preserve">Classification</w:t>
            </w:r>
          </w:p>
          <w:p>
            <w:pPr>
              <w:jc w:val="center"/>
            </w:pPr>
            <w:r>
              <w:rPr>
                <w:rFonts w:ascii="Arial" w:cs="Arial" w:eastAsia="Arial" w:hAnsi="Arial"/>
                <w:b/>
                <w:bCs/>
                <w:color w:val="FFFFFF"/>
                <w:sz w:val="22"/>
                <w:szCs w:val="22"/>
              </w:rPr>
              <w:t xml:space="preserve">Confidential</w:t>
            </w:r>
          </w:p>
        </w:tc>
        <w:tc>
          <w:tcPr>
            <w:tcW w:type="dxa" w:w="300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jc w:val="center"/>
            </w:pPr>
            <w:r>
              <w:rPr>
                <w:rFonts w:ascii="Arial" w:cs="Arial" w:eastAsia="Arial" w:hAnsi="Arial"/>
                <w:b/>
                <w:bCs/>
                <w:color w:val="2E75B6"/>
                <w:sz w:val="18"/>
                <w:szCs w:val="18"/>
              </w:rPr>
              <w:t xml:space="preserve">Status</w:t>
            </w:r>
          </w:p>
          <w:p>
            <w:pPr>
              <w:jc w:val="center"/>
            </w:pPr>
            <w:r>
              <w:rPr>
                <w:rFonts w:ascii="Arial" w:cs="Arial" w:eastAsia="Arial" w:hAnsi="Arial"/>
                <w:b/>
                <w:bCs/>
                <w:color w:val="1B3A6B"/>
                <w:sz w:val="22"/>
                <w:szCs w:val="22"/>
              </w:rPr>
              <w:t xml:space="preserve">Draft v1.0</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Executive Summary</w:t>
      </w:r>
    </w:p>
    <w:p>
      <w:pPr>
        <w:spacing w:after="80" w:before="60"/>
      </w:pPr>
      <w:r>
        <w:rPr>
          <w:rFonts w:ascii="Arial" w:cs="Arial" w:eastAsia="Arial" w:hAnsi="Arial"/>
          <w:color w:val="222222"/>
          <w:sz w:val="22"/>
          <w:szCs w:val="22"/>
        </w:rPr>
        <w:t xml:space="preserve">This document outlines a strategic opportunity to leverage our existing data center infrastructure, technical expertise, and established crypto industry relationships to launch a Solana blockchain infrastructure business. Rather than speculating in crypto markets, this plan positions us as the picks-and-shovels provider — selling critical infrastructure to the growing ecosystem of traders, developers, and institutional players who need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60" w:before="0"/>
            </w:pPr>
            <w:r>
              <w:rPr>
                <w:rFonts w:ascii="Arial" w:cs="Arial" w:eastAsia="Arial" w:hAnsi="Arial"/>
                <w:b/>
                <w:bCs/>
                <w:color w:val="1B3A6B"/>
                <w:sz w:val="22"/>
                <w:szCs w:val="22"/>
              </w:rPr>
              <w:t xml:space="preserve">The Core Opportunity</w:t>
            </w:r>
          </w:p>
          <w:p>
            <w:pPr>
              <w:spacing w:after="0" w:before="0"/>
            </w:pPr>
            <w:r>
              <w:rPr>
                <w:rFonts w:ascii="Arial" w:cs="Arial" w:eastAsia="Arial" w:hAnsi="Arial"/>
                <w:color w:val="333333"/>
                <w:sz w:val="20"/>
                <w:szCs w:val="20"/>
              </w:rPr>
              <w:t xml:space="preserve">We have 3.6TB of unutilized RAM, NVMe storage, 10Gbps uplinks, and distributed data center operations already in place. The Solana blockchain infrastructure market is growing rapidly and is undersupplied by serious, enterprise-grade operators. We are uniquely positioned to fill that gap without building from scratch.</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What We Are Building</w:t>
      </w:r>
    </w:p>
    <w:p>
      <w:pPr>
        <w:spacing w:after="80" w:before="60"/>
      </w:pPr>
      <w:r>
        <w:rPr>
          <w:rFonts w:ascii="Arial" w:cs="Arial" w:eastAsia="Arial" w:hAnsi="Arial"/>
          <w:color w:val="222222"/>
          <w:sz w:val="22"/>
          <w:szCs w:val="22"/>
        </w:rPr>
        <w:t xml:space="preserve">A multi-tier Solana RPC (Remote Procedure Call) node service — the infrastructure layer that developers, traders, and institutions use to interact with the Solana blockchain. Think of it as cloud infrastructure, purpose-built for blockchain access.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Why Now</w:t>
      </w:r>
    </w:p>
    <w:p>
      <w:pPr>
        <w:pStyle w:val="ListParagraph"/>
        <w:numPr>
          <w:ilvl w:val="0"/>
          <w:numId w:val="2"/>
        </w:numPr>
        <w:spacing w:after="40" w:before="40"/>
      </w:pPr>
      <w:r>
        <w:rPr>
          <w:rFonts w:ascii="Arial" w:cs="Arial" w:eastAsia="Arial" w:hAnsi="Arial"/>
          <w:b w:val="false"/>
          <w:bCs w:val="false"/>
          <w:color w:val="222222"/>
          <w:sz w:val="22"/>
          <w:szCs w:val="22"/>
        </w:rPr>
        <w:t xml:space="preserve">Solana transaction volume has grown dramatically, driven partly by memecoin activity and broader DeFi expansion</w:t>
      </w:r>
    </w:p>
    <w:p>
      <w:pPr>
        <w:pStyle w:val="ListParagraph"/>
        <w:numPr>
          <w:ilvl w:val="0"/>
          <w:numId w:val="2"/>
        </w:numPr>
        <w:spacing w:after="40" w:before="40"/>
      </w:pPr>
      <w:r>
        <w:rPr>
          <w:rFonts w:ascii="Arial" w:cs="Arial" w:eastAsia="Arial" w:hAnsi="Arial"/>
          <w:b w:val="false"/>
          <w:bCs w:val="false"/>
          <w:color w:val="222222"/>
          <w:sz w:val="22"/>
          <w:szCs w:val="22"/>
        </w:rPr>
        <w:t xml:space="preserve">Existing RPC providers (QuickNode, Helius, Triton) are software companies running infrastructure — not infrastructure companies with deep ops expertise</w:t>
      </w:r>
    </w:p>
    <w:p>
      <w:pPr>
        <w:pStyle w:val="ListParagraph"/>
        <w:numPr>
          <w:ilvl w:val="0"/>
          <w:numId w:val="2"/>
        </w:numPr>
        <w:spacing w:after="40" w:before="40"/>
      </w:pPr>
      <w:r>
        <w:rPr>
          <w:rFonts w:ascii="Arial" w:cs="Arial" w:eastAsia="Arial" w:hAnsi="Arial"/>
          <w:b w:val="false"/>
          <w:bCs w:val="false"/>
          <w:color w:val="222222"/>
          <w:sz w:val="22"/>
          <w:szCs w:val="22"/>
        </w:rPr>
        <w:t xml:space="preserve">Institutional capital is entering crypto and actively seeking vendors with enterprise-grade credibility</w:t>
      </w:r>
    </w:p>
    <w:p>
      <w:pPr>
        <w:pStyle w:val="ListParagraph"/>
        <w:numPr>
          <w:ilvl w:val="0"/>
          <w:numId w:val="2"/>
        </w:numPr>
        <w:spacing w:after="40" w:before="40"/>
      </w:pPr>
      <w:r>
        <w:rPr>
          <w:rFonts w:ascii="Arial" w:cs="Arial" w:eastAsia="Arial" w:hAnsi="Arial"/>
          <w:b w:val="false"/>
          <w:bCs w:val="false"/>
          <w:color w:val="222222"/>
          <w:sz w:val="22"/>
          <w:szCs w:val="22"/>
        </w:rPr>
        <w:t xml:space="preserve">We have an existing relationship with Ledger — one of the most recognized brands in the crypto industry — providing immediate market access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The Business Model</w:t>
      </w:r>
    </w:p>
    <w:p>
      <w:pPr>
        <w:spacing w:after="80" w:before="60"/>
      </w:pPr>
      <w:r>
        <w:rPr>
          <w:rFonts w:ascii="Arial" w:cs="Arial" w:eastAsia="Arial" w:hAnsi="Arial"/>
          <w:color w:val="222222"/>
          <w:sz w:val="22"/>
          <w:szCs w:val="22"/>
        </w:rPr>
        <w:t xml:space="preserve">Four distinct product lines built on the same physical node fleet, generating revenue across retail, developer, and enterprise customer segments. Estimated path to $1M+ ARR within 12-18 months based on comparable operator benchmarks.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Key Differentiators</w:t>
      </w:r>
    </w:p>
    <w:p>
      <w:pPr>
        <w:pStyle w:val="ListParagraph"/>
        <w:numPr>
          <w:ilvl w:val="0"/>
          <w:numId w:val="2"/>
        </w:numPr>
        <w:spacing w:after="40" w:before="40"/>
      </w:pPr>
      <w:r>
        <w:rPr>
          <w:rFonts w:ascii="Arial" w:cs="Arial" w:eastAsia="Arial" w:hAnsi="Arial"/>
          <w:b w:val="false"/>
          <w:bCs w:val="false"/>
          <w:color w:val="222222"/>
          <w:sz w:val="22"/>
          <w:szCs w:val="22"/>
        </w:rPr>
        <w:t xml:space="preserve">Infrastructure-first operator in a market dominated by software-first companies</w:t>
      </w:r>
    </w:p>
    <w:p>
      <w:pPr>
        <w:pStyle w:val="ListParagraph"/>
        <w:numPr>
          <w:ilvl w:val="0"/>
          <w:numId w:val="2"/>
        </w:numPr>
        <w:spacing w:after="40" w:before="40"/>
      </w:pPr>
      <w:r>
        <w:rPr>
          <w:rFonts w:ascii="Arial" w:cs="Arial" w:eastAsia="Arial" w:hAnsi="Arial"/>
          <w:b w:val="false"/>
          <w:bCs w:val="false"/>
          <w:color w:val="222222"/>
          <w:sz w:val="22"/>
          <w:szCs w:val="22"/>
        </w:rPr>
        <w:t xml:space="preserve">Cybersecurity expertise applied to blockchain infrastructure hardening — a genuine gap in the market</w:t>
      </w:r>
    </w:p>
    <w:p>
      <w:pPr>
        <w:pStyle w:val="ListParagraph"/>
        <w:numPr>
          <w:ilvl w:val="0"/>
          <w:numId w:val="2"/>
        </w:numPr>
        <w:spacing w:after="40" w:before="40"/>
      </w:pPr>
      <w:r>
        <w:rPr>
          <w:rFonts w:ascii="Arial" w:cs="Arial" w:eastAsia="Arial" w:hAnsi="Arial"/>
          <w:b w:val="false"/>
          <w:bCs w:val="false"/>
          <w:color w:val="222222"/>
          <w:sz w:val="22"/>
          <w:szCs w:val="22"/>
        </w:rPr>
        <w:t xml:space="preserve">Existing Ledger relationship as a go-to-market accelerator and credibility signal</w:t>
      </w:r>
    </w:p>
    <w:p>
      <w:pPr>
        <w:pStyle w:val="ListParagraph"/>
        <w:numPr>
          <w:ilvl w:val="0"/>
          <w:numId w:val="2"/>
        </w:numPr>
        <w:spacing w:after="40" w:before="40"/>
      </w:pPr>
      <w:r>
        <w:rPr>
          <w:rFonts w:ascii="Arial" w:cs="Arial" w:eastAsia="Arial" w:hAnsi="Arial"/>
          <w:b w:val="false"/>
          <w:bCs w:val="false"/>
          <w:color w:val="222222"/>
          <w:sz w:val="22"/>
          <w:szCs w:val="22"/>
        </w:rPr>
        <w:t xml:space="preserve">Significant unutilized hardware assets enabling launch without major capital outlay</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Market Opportunity</w:t>
      </w:r>
    </w:p>
    <w:p>
      <w:pPr>
        <w:pStyle w:val="Heading2"/>
        <w:spacing w:after="100" w:before="280"/>
      </w:pPr>
      <w:r>
        <w:rPr>
          <w:rFonts w:ascii="Arial" w:cs="Arial" w:eastAsia="Arial" w:hAnsi="Arial"/>
          <w:b/>
          <w:bCs/>
          <w:color w:val="2E75B6"/>
          <w:sz w:val="26"/>
          <w:szCs w:val="26"/>
        </w:rPr>
        <w:t xml:space="preserve">What Is Solana RPC Infrastructure?</w:t>
      </w:r>
    </w:p>
    <w:p>
      <w:pPr>
        <w:spacing w:after="80" w:before="60"/>
      </w:pPr>
      <w:r>
        <w:rPr>
          <w:rFonts w:ascii="Arial" w:cs="Arial" w:eastAsia="Arial" w:hAnsi="Arial"/>
          <w:color w:val="222222"/>
          <w:sz w:val="22"/>
          <w:szCs w:val="22"/>
        </w:rPr>
        <w:t xml:space="preserve">Every interaction with a blockchain — reading wallet balances, submitting transactions, monitoring token activity — requires communicating with a network node. A node is a server running a full synchronized copy of the blockchain. Running nodes requires significant hardware, continuous maintenance, and deep technical expertise.</w:t>
      </w:r>
    </w:p>
    <w:p>
      <w:pPr>
        <w:spacing w:after="0" w:before="80"/>
      </w:pPr>
      <w:r>
        <w:t xml:space="preserve"/>
      </w:r>
    </w:p>
    <w:p>
      <w:pPr>
        <w:spacing w:after="80" w:before="60"/>
      </w:pPr>
      <w:r>
        <w:rPr>
          <w:rFonts w:ascii="Arial" w:cs="Arial" w:eastAsia="Arial" w:hAnsi="Arial"/>
          <w:color w:val="222222"/>
          <w:sz w:val="22"/>
          <w:szCs w:val="22"/>
        </w:rPr>
        <w:t xml:space="preserve">The vast majority of developers and traders do not want to operate their own nodes. They access the blockchain through RPC (Remote Procedure Call) services — essentially blockchain infrastructure as a service. The RPC provider runs the nodes; customers access them via API endpoints, exactly as they would use AWS or Azure for cloud compute.</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Market Size &amp; Growth Drivers</w:t>
      </w:r>
    </w:p>
    <w:p>
      <w:pPr>
        <w:pStyle w:val="ListParagraph"/>
        <w:numPr>
          <w:ilvl w:val="0"/>
          <w:numId w:val="2"/>
        </w:numPr>
        <w:spacing w:after="40" w:before="40"/>
      </w:pPr>
      <w:r>
        <w:rPr>
          <w:rFonts w:ascii="Arial" w:cs="Arial" w:eastAsia="Arial" w:hAnsi="Arial"/>
          <w:b w:val="false"/>
          <w:bCs w:val="false"/>
          <w:color w:val="222222"/>
          <w:sz w:val="22"/>
          <w:szCs w:val="22"/>
        </w:rPr>
        <w:t xml:space="preserve">Solana processed over 100 million transactions on peak days in 2024, driven by DeFi activity, NFT markets, and memecoin speculation</w:t>
      </w:r>
    </w:p>
    <w:p>
      <w:pPr>
        <w:pStyle w:val="ListParagraph"/>
        <w:numPr>
          <w:ilvl w:val="0"/>
          <w:numId w:val="2"/>
        </w:numPr>
        <w:spacing w:after="40" w:before="40"/>
      </w:pPr>
      <w:r>
        <w:rPr>
          <w:rFonts w:ascii="Arial" w:cs="Arial" w:eastAsia="Arial" w:hAnsi="Arial"/>
          <w:b w:val="false"/>
          <w:bCs w:val="false"/>
          <w:color w:val="222222"/>
          <w:sz w:val="22"/>
          <w:szCs w:val="22"/>
        </w:rPr>
        <w:t xml:space="preserve">The memecoin ecosystem alone — centered on platforms like Pump.fun — creates enormous sustained demand for low-latency transaction infrastructure</w:t>
      </w:r>
    </w:p>
    <w:p>
      <w:pPr>
        <w:pStyle w:val="ListParagraph"/>
        <w:numPr>
          <w:ilvl w:val="0"/>
          <w:numId w:val="2"/>
        </w:numPr>
        <w:spacing w:after="40" w:before="40"/>
      </w:pPr>
      <w:r>
        <w:rPr>
          <w:rFonts w:ascii="Arial" w:cs="Arial" w:eastAsia="Arial" w:hAnsi="Arial"/>
          <w:b w:val="false"/>
          <w:bCs w:val="false"/>
          <w:color w:val="222222"/>
          <w:sz w:val="22"/>
          <w:szCs w:val="22"/>
        </w:rPr>
        <w:t xml:space="preserve">Institutional adoption of Solana is accelerating, with ETF products and custody solutions driving new categories of infrastructure demand</w:t>
      </w:r>
    </w:p>
    <w:p>
      <w:pPr>
        <w:pStyle w:val="ListParagraph"/>
        <w:numPr>
          <w:ilvl w:val="0"/>
          <w:numId w:val="2"/>
        </w:numPr>
        <w:spacing w:after="40" w:before="40"/>
      </w:pPr>
      <w:r>
        <w:rPr>
          <w:rFonts w:ascii="Arial" w:cs="Arial" w:eastAsia="Arial" w:hAnsi="Arial"/>
          <w:b w:val="false"/>
          <w:bCs w:val="false"/>
          <w:color w:val="222222"/>
          <w:sz w:val="22"/>
          <w:szCs w:val="22"/>
        </w:rPr>
        <w:t xml:space="preserve">Developer activity on Solana is growing, with thousands of applications requiring reliable RPC access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Competitive Landscape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QuickNode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Large developer network, multi-chain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Software company doing infrastructure — not ops-native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Helius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Strong Solana-specific APIs, developer tools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Limited geographic distribution, capacity constraints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Triton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High-performance, latency-focused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Premium pricing, limited self-serve tier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Us (opportunity)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Ops-native, cybersecurity hardened, Ledger relationship, underutilized assets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entrant, community presence TBD</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Our Structural Advantage</w:t>
      </w:r>
    </w:p>
    <w:p>
      <w:pPr>
        <w:spacing w:after="80" w:before="60"/>
      </w:pPr>
      <w:r>
        <w:rPr>
          <w:rFonts w:ascii="Arial" w:cs="Arial" w:eastAsia="Arial" w:hAnsi="Arial"/>
          <w:color w:val="222222"/>
          <w:sz w:val="22"/>
          <w:szCs w:val="22"/>
        </w:rPr>
        <w:t xml:space="preserve">The incumbents are software companies that built infrastructure. We are an infrastructure company entering a software-adjacent market. In an industry where uptime, latency, and security are the actual product, that distinction matters. Our data center operations experience, security hardening background, and existing enterprise relationships represent moats that cannot be quickly replicated by software-native competitors.</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Product Lines</w:t>
      </w:r>
    </w:p>
    <w:p>
      <w:pPr>
        <w:spacing w:after="80" w:before="60"/>
      </w:pPr>
      <w:r>
        <w:rPr>
          <w:rFonts w:ascii="Arial" w:cs="Arial" w:eastAsia="Arial" w:hAnsi="Arial"/>
          <w:color w:val="222222"/>
          <w:sz w:val="22"/>
          <w:szCs w:val="22"/>
        </w:rPr>
        <w:t xml:space="preserve">All four product lines are served by the same physical node fleet. This is the core capital efficiency of the model — we sweat a single asset across multiple revenue streams simultaneously.</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Product 1 — Shared RPC API</w:t>
      </w:r>
    </w:p>
    <w:p>
      <w:pPr>
        <w:spacing w:after="80" w:before="60"/>
      </w:pPr>
      <w:r>
        <w:rPr>
          <w:rFonts w:ascii="Arial" w:cs="Arial" w:eastAsia="Arial" w:hAnsi="Arial"/>
          <w:color w:val="222222"/>
          <w:sz w:val="22"/>
          <w:szCs w:val="22"/>
        </w:rPr>
        <w:t xml:space="preserve">The entry-level and retail-facing product. A software layer managing authentication, rate limiting, load balancing, and billing sits in front of our node fleet. Developers and traders receive an API endpoint they plug directly into their applications, bots, and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Target buyers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 operators, retail traders, indie developers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Primary need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 reliable blockchain access without running own nodes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Tiered monthly subscriptions: Free / $49 / $299 / $999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Build 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Moderate — standard API infrastructure with crypto endpoint underneath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Time to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8-10 weeks from node deployment</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Product 2 — Dedicated Nodes</w:t>
      </w:r>
    </w:p>
    <w:p>
      <w:pPr>
        <w:spacing w:after="80" w:before="60"/>
      </w:pPr>
      <w:r>
        <w:rPr>
          <w:rFonts w:ascii="Arial" w:cs="Arial" w:eastAsia="Arial" w:hAnsi="Arial"/>
          <w:color w:val="222222"/>
          <w:sz w:val="22"/>
          <w:szCs w:val="22"/>
        </w:rPr>
        <w:t xml:space="preserve">Serious traders and mid-market firms pay for exclusive node access. Instead of sharing capacity with other customers, they receive a private endpoint backed by dedicated hardware. No other customer traffic can affect their performance during peak events.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Target buyers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Professional traders, small trading firms, high-volume bot operators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Primary need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Guaranteed performance during peak launch events when shared providers degrade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Flat monthly fee: $500 - $3,000 depending on hardware specification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Build 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 — operational product, minimal additional software required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Time to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Available from day one of node deployment</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Product 3 — Co-location Services</w:t>
      </w:r>
    </w:p>
    <w:p>
      <w:pPr>
        <w:spacing w:after="80" w:before="60"/>
      </w:pPr>
      <w:r>
        <w:rPr>
          <w:rFonts w:ascii="Arial" w:cs="Arial" w:eastAsia="Arial" w:hAnsi="Arial"/>
          <w:color w:val="222222"/>
          <w:sz w:val="22"/>
          <w:szCs w:val="22"/>
        </w:rPr>
        <w:t xml:space="preserve">Enterprise and prop trading firms bring their own servers — or we procure to their specification — and physically house them in our data center. We provide power, cooling, network, and physical security. This is our existing co-location business extended to a crypto customer vertical.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Target buyers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Prop trading firms, market makers, institutional operators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Primary need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Physical proximity to network infrastructure for minimum transaction latency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 co-lo pricing: power + rack + bandwidth, $2,000 - $20,000/month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Build 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 — existing capability, new customer vertical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Time to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Immediately available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Product 4 — Enhanced Data Feeds</w:t>
      </w:r>
    </w:p>
    <w:p>
      <w:pPr>
        <w:spacing w:after="80" w:before="60"/>
      </w:pPr>
      <w:r>
        <w:rPr>
          <w:rFonts w:ascii="Arial" w:cs="Arial" w:eastAsia="Arial" w:hAnsi="Arial"/>
          <w:color w:val="222222"/>
          <w:sz w:val="22"/>
          <w:szCs w:val="22"/>
        </w:rPr>
        <w:t xml:space="preserve">The highest-margin and most defensible product. Raw RPC access delivers raw blockchain data. We parse, enrich, and stream that data into actionable feeds. Examples include real-time token launch notifications, wallet activity alerts, and pre-flight transaction simulation. This is data pipeline and intelligence work — directly analogous to threat intelligence in cybersecurity.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Target buyers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segments — premium add-on or standalone subscription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Primary need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Actionable, pre-processed blockchain intelligence rather than raw data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Revenue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Subscription add-on or standalone: $99 - $499/month depending on feed type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Build 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 real-time indexing pipeline, significant engineering investment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Time to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6-12 months, after core product lines are established</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Infrastructure Assessment</w:t>
      </w:r>
    </w:p>
    <w:p>
      <w:pPr>
        <w:pStyle w:val="Heading2"/>
        <w:spacing w:after="100" w:before="280"/>
      </w:pPr>
      <w:r>
        <w:rPr>
          <w:rFonts w:ascii="Arial" w:cs="Arial" w:eastAsia="Arial" w:hAnsi="Arial"/>
          <w:b/>
          <w:bCs/>
          <w:color w:val="2E75B6"/>
          <w:sz w:val="26"/>
          <w:szCs w:val="26"/>
        </w:rPr>
        <w:t xml:space="preserve">Current Asset Inventory</w:t>
      </w:r>
    </w:p>
    <w:p>
      <w:pPr>
        <w:spacing w:after="80" w:before="60"/>
      </w:pPr>
      <w:r>
        <w:rPr>
          <w:rFonts w:ascii="Arial" w:cs="Arial" w:eastAsia="Arial" w:hAnsi="Arial"/>
          <w:color w:val="222222"/>
          <w:sz w:val="22"/>
          <w:szCs w:val="22"/>
        </w:rPr>
        <w:t xml:space="preserve">Our Las Vegas data center provides the physical foundation for this business. Current unutilized assets map directly to Solana RPC node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RAM — 3.6TB unutilized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Directly deployable. Solana RPC requires 256-512GB per node. Enables 7+ fully-specced production nodes immediately.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Storage — NVMe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Production-grade. Solana's ledger and accounts database are I/O intensive. NVMe is non-negotiable and many competitors cut corners here.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Network — 10Gbps uplinks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Adequate for initial deployment. Dedicated or burstable status needs confirmation. May become a constraint at scale.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Data center operations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Existing expertise in uptime, redundancy, physical security, and enterprise-grade reliability directly applicable.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Cybersecurity posture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Differentiating capability — infrastructure hardening expertise that crypto-native competitors typically lack.</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Proposed Node Fleet Allocation</w:t>
      </w:r>
    </w:p>
    <w:p>
      <w:pPr>
        <w:spacing w:after="80" w:before="60"/>
      </w:pPr>
      <w:r>
        <w:rPr>
          <w:rFonts w:ascii="Arial" w:cs="Arial" w:eastAsia="Arial" w:hAnsi="Arial"/>
          <w:color w:val="222222"/>
          <w:sz w:val="22"/>
          <w:szCs w:val="22"/>
        </w:rPr>
        <w:t xml:space="preserve">Seven fully-specced nodes from existing hardware, allocated across product lines: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2 nodes — Shared API 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Customer-facing retail and developer tier. Load balanced for redundancy.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2 nodes — Dedicated inventory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Pre-provisioned dedicated instances, available to first paying customers immediately.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 node — Data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Dedicated to indexing and enriched data feeds. Isolated from customer traffic.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2 nodes — 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Ready-state buffer for demand response and as a production-identical test environment.</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Key Infrastructure Risk — Network Peering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60" w:before="0"/>
            </w:pPr>
            <w:r>
              <w:rPr>
                <w:rFonts w:ascii="Arial" w:cs="Arial" w:eastAsia="Arial" w:hAnsi="Arial"/>
                <w:b/>
                <w:bCs/>
                <w:color w:val="1B3A6B"/>
                <w:sz w:val="22"/>
                <w:szCs w:val="22"/>
              </w:rPr>
              <w:t xml:space="preserve">Important: Assess Before Committing Capital</w:t>
            </w:r>
          </w:p>
          <w:p>
            <w:pPr>
              <w:spacing w:after="0" w:before="0"/>
            </w:pPr>
            <w:r>
              <w:rPr>
                <w:rFonts w:ascii="Arial" w:cs="Arial" w:eastAsia="Arial" w:hAnsi="Arial"/>
                <w:color w:val="333333"/>
                <w:sz w:val="20"/>
                <w:szCs w:val="20"/>
              </w:rPr>
              <w:t xml:space="preserve">Solana's validator cluster is geographically concentrated in specific Equinix data centers, primarily in Chicago, Dallas, and the East Coast. Las Vegas is not a primary hub. For reading blockchain data, our location is competitive. For landing transactions — critical for the trading use case — our transaction routing path to validator leaders needs assessment. A network peering audit and latency benchmark to Chicago and Dallas should be conducted before finalizing the go-to-market timeline. Transaction forwarding software (used by Helius and Triton) can partially mitigate geographic distance if needed.</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What We Need To Acquire</w:t>
      </w:r>
    </w:p>
    <w:p>
      <w:pPr>
        <w:pStyle w:val="ListParagraph"/>
        <w:numPr>
          <w:ilvl w:val="0"/>
          <w:numId w:val="2"/>
        </w:numPr>
        <w:spacing w:after="40" w:before="40"/>
      </w:pPr>
      <w:r>
        <w:rPr>
          <w:rFonts w:ascii="Arial" w:cs="Arial" w:eastAsia="Arial" w:hAnsi="Arial"/>
          <w:b w:val="false"/>
          <w:bCs w:val="false"/>
          <w:color w:val="222222"/>
          <w:sz w:val="22"/>
          <w:szCs w:val="22"/>
        </w:rPr>
        <w:t xml:space="preserve">One experienced Solana node operator — hire or contract. Solana-specific configuration, snapshot management, and ledger tuning is non-trivial. This is a single specialized hire, not a team.</w:t>
      </w:r>
    </w:p>
    <w:p>
      <w:pPr>
        <w:pStyle w:val="ListParagraph"/>
        <w:numPr>
          <w:ilvl w:val="0"/>
          <w:numId w:val="2"/>
        </w:numPr>
        <w:spacing w:after="40" w:before="40"/>
      </w:pPr>
      <w:r>
        <w:rPr>
          <w:rFonts w:ascii="Arial" w:cs="Arial" w:eastAsia="Arial" w:hAnsi="Arial"/>
          <w:b w:val="false"/>
          <w:bCs w:val="false"/>
          <w:color w:val="222222"/>
          <w:sz w:val="22"/>
          <w:szCs w:val="22"/>
        </w:rPr>
        <w:t xml:space="preserve">Network peering assessment — engagement with our upstream provider to understand latency profile to primary validator clusters.</w:t>
      </w:r>
    </w:p>
    <w:p>
      <w:pPr>
        <w:pStyle w:val="ListParagraph"/>
        <w:numPr>
          <w:ilvl w:val="0"/>
          <w:numId w:val="2"/>
        </w:numPr>
        <w:spacing w:after="40" w:before="40"/>
      </w:pPr>
      <w:r>
        <w:rPr>
          <w:rFonts w:ascii="Arial" w:cs="Arial" w:eastAsia="Arial" w:hAnsi="Arial"/>
          <w:b w:val="false"/>
          <w:bCs w:val="false"/>
          <w:color w:val="222222"/>
          <w:sz w:val="22"/>
          <w:szCs w:val="22"/>
        </w:rPr>
        <w:t xml:space="preserve">Solana-specific server configuration time — tuning existing hardware to RPC workload requirements.</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Go-To-Market Strategy</w:t>
      </w:r>
    </w:p>
    <w:p>
      <w:pPr>
        <w:pStyle w:val="Heading2"/>
        <w:spacing w:after="100" w:before="280"/>
      </w:pPr>
      <w:r>
        <w:rPr>
          <w:rFonts w:ascii="Arial" w:cs="Arial" w:eastAsia="Arial" w:hAnsi="Arial"/>
          <w:b/>
          <w:bCs/>
          <w:color w:val="2E75B6"/>
          <w:sz w:val="26"/>
          <w:szCs w:val="26"/>
        </w:rPr>
        <w:t xml:space="preserve">Strategic Approach: Top-Down</w:t>
      </w:r>
    </w:p>
    <w:p>
      <w:pPr>
        <w:spacing w:after="80" w:before="60"/>
      </w:pPr>
      <w:r>
        <w:rPr>
          <w:rFonts w:ascii="Arial" w:cs="Arial" w:eastAsia="Arial" w:hAnsi="Arial"/>
          <w:color w:val="222222"/>
          <w:sz w:val="22"/>
          <w:szCs w:val="22"/>
        </w:rPr>
        <w:t xml:space="preserve">Most infrastructure companies attempt to build a retail user base first and move upmarket. Given our profile — strong enterprise credibility, existing crypto industry relationship, limited community marketing presence — we invert this approach. We start with the enterprise segment where our strengths are most relevant, use early revenue and logos to fund developer marketing, and allow retail adoption to follow organically.</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The Ledger Advantage</w:t>
      </w:r>
    </w:p>
    <w:p>
      <w:pPr>
        <w:spacing w:after="80" w:before="60"/>
      </w:pPr>
      <w:r>
        <w:rPr>
          <w:rFonts w:ascii="Arial" w:cs="Arial" w:eastAsia="Arial" w:hAnsi="Arial"/>
          <w:color w:val="222222"/>
          <w:sz w:val="22"/>
          <w:szCs w:val="22"/>
        </w:rPr>
        <w:t xml:space="preserve">Our existing relationship with Ledger — one of the most recognized hardware wallet brands in the crypto industry, used by tens of millions of people — is the single most important go-to-market asset we have.</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Immediate credibility: Referencing an existing Ledger relationship repositions us from new entrant to established crypto infrastructure operator</w:t>
      </w:r>
    </w:p>
    <w:p>
      <w:pPr>
        <w:pStyle w:val="ListParagraph"/>
        <w:numPr>
          <w:ilvl w:val="0"/>
          <w:numId w:val="2"/>
        </w:numPr>
        <w:spacing w:after="40" w:before="40"/>
      </w:pPr>
      <w:r>
        <w:rPr>
          <w:rFonts w:ascii="Arial" w:cs="Arial" w:eastAsia="Arial" w:hAnsi="Arial"/>
          <w:b w:val="false"/>
          <w:bCs w:val="false"/>
          <w:color w:val="222222"/>
          <w:sz w:val="22"/>
          <w:szCs w:val="22"/>
        </w:rPr>
        <w:t xml:space="preserve">Warm introductions: Ledger's engineering and infrastructure teams have direct relationships with every major wallet, DEX, and trading operation in the Solana ecosystem — one introduction is worth months of cold outreach</w:t>
      </w:r>
    </w:p>
    <w:p>
      <w:pPr>
        <w:pStyle w:val="ListParagraph"/>
        <w:numPr>
          <w:ilvl w:val="0"/>
          <w:numId w:val="2"/>
        </w:numPr>
        <w:spacing w:after="40" w:before="40"/>
      </w:pPr>
      <w:r>
        <w:rPr>
          <w:rFonts w:ascii="Arial" w:cs="Arial" w:eastAsia="Arial" w:hAnsi="Arial"/>
          <w:b w:val="false"/>
          <w:bCs w:val="false"/>
          <w:color w:val="222222"/>
          <w:sz w:val="22"/>
          <w:szCs w:val="22"/>
        </w:rPr>
        <w:t xml:space="preserve">Direct revenue potential: Ledger Live serves millions of users and requires substantial RPC infrastructure. If they are currently paying QuickNode or Helius, that is a direct competitive conversation worth having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60" w:before="0"/>
            </w:pPr>
            <w:r>
              <w:rPr>
                <w:rFonts w:ascii="Arial" w:cs="Arial" w:eastAsia="Arial" w:hAnsi="Arial"/>
                <w:b/>
                <w:bCs/>
                <w:color w:val="1B3A6B"/>
                <w:sz w:val="22"/>
                <w:szCs w:val="22"/>
              </w:rPr>
              <w:t xml:space="preserve">Immediate Action Required</w:t>
            </w:r>
          </w:p>
          <w:p>
            <w:pPr>
              <w:spacing w:after="0" w:before="0"/>
            </w:pPr>
            <w:r>
              <w:rPr>
                <w:rFonts w:ascii="Arial" w:cs="Arial" w:eastAsia="Arial" w:hAnsi="Arial"/>
                <w:color w:val="333333"/>
                <w:sz w:val="20"/>
                <w:szCs w:val="20"/>
              </w:rPr>
              <w:t xml:space="preserve">Before any product development, engage our Ledger contact in an exploratory conversation. Not a pitch — an intelligence-gathering conversation. Ask: Does this make sense for us? What are their current RPC infrastructure arrangements? Who in the ecosystem should we be talking to? This conversation costs nothing and could reshape the entire go-to-market plan.</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Customer Segments &amp; Acquisition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We Reach Them</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Influencer Dependency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Prop trading firms &amp; market makers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Direct outreach, conferences (Solana Breakpoint, Consensus, Token2049), Ledger network introductions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Very Low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Developers building applications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GitHub prospecting, Solana Foundation ecosystem directory, hackathon sponsorships, developer Discord presence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Bot operators &amp; retail traders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Crypto Twitter/X, Discord communities, influencer partnerships, word of mouth from tools they already use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Phase 1: Enterprise First (Months 1-3)</w:t>
      </w:r>
    </w:p>
    <w:p>
      <w:pPr>
        <w:pStyle w:val="ListParagraph"/>
        <w:numPr>
          <w:ilvl w:val="0"/>
          <w:numId w:val="2"/>
        </w:numPr>
        <w:spacing w:after="40" w:before="40"/>
      </w:pPr>
      <w:r>
        <w:rPr>
          <w:rFonts w:ascii="Arial" w:cs="Arial" w:eastAsia="Arial" w:hAnsi="Arial"/>
          <w:b w:val="false"/>
          <w:bCs w:val="false"/>
          <w:color w:val="222222"/>
          <w:sz w:val="22"/>
          <w:szCs w:val="22"/>
        </w:rPr>
        <w:t xml:space="preserve">Engage Ledger contact for introductions and direct RPC opportunity assessment</w:t>
      </w:r>
    </w:p>
    <w:p>
      <w:pPr>
        <w:pStyle w:val="ListParagraph"/>
        <w:numPr>
          <w:ilvl w:val="0"/>
          <w:numId w:val="2"/>
        </w:numPr>
        <w:spacing w:after="40" w:before="40"/>
      </w:pPr>
      <w:r>
        <w:rPr>
          <w:rFonts w:ascii="Arial" w:cs="Arial" w:eastAsia="Arial" w:hAnsi="Arial"/>
          <w:b w:val="false"/>
          <w:bCs w:val="false"/>
          <w:color w:val="222222"/>
          <w:sz w:val="22"/>
          <w:szCs w:val="22"/>
        </w:rPr>
        <w:t xml:space="preserve">Identify 10-15 prop trading firms and market makers through on-chain activity analysis and LinkedIn outreach</w:t>
      </w:r>
    </w:p>
    <w:p>
      <w:pPr>
        <w:pStyle w:val="ListParagraph"/>
        <w:numPr>
          <w:ilvl w:val="0"/>
          <w:numId w:val="2"/>
        </w:numPr>
        <w:spacing w:after="40" w:before="40"/>
      </w:pPr>
      <w:r>
        <w:rPr>
          <w:rFonts w:ascii="Arial" w:cs="Arial" w:eastAsia="Arial" w:hAnsi="Arial"/>
          <w:b w:val="false"/>
          <w:bCs w:val="false"/>
          <w:color w:val="222222"/>
          <w:sz w:val="22"/>
          <w:szCs w:val="22"/>
        </w:rPr>
        <w:t xml:space="preserve">Attend one major Solana conference — target Solana Breakpoint or Consensus — for in-person relationship development</w:t>
      </w:r>
    </w:p>
    <w:p>
      <w:pPr>
        <w:pStyle w:val="ListParagraph"/>
        <w:numPr>
          <w:ilvl w:val="0"/>
          <w:numId w:val="2"/>
        </w:numPr>
        <w:spacing w:after="40" w:before="40"/>
      </w:pPr>
      <w:r>
        <w:rPr>
          <w:rFonts w:ascii="Arial" w:cs="Arial" w:eastAsia="Arial" w:hAnsi="Arial"/>
          <w:b w:val="false"/>
          <w:bCs w:val="false"/>
          <w:color w:val="222222"/>
          <w:sz w:val="22"/>
          <w:szCs w:val="22"/>
        </w:rPr>
        <w:t xml:space="preserve">Target: 2-3 enterprise co-location or dedicated node contracts within 90 days</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Phase 2: Developer Community (Months 3-6)</w:t>
      </w:r>
    </w:p>
    <w:p>
      <w:pPr>
        <w:pStyle w:val="ListParagraph"/>
        <w:numPr>
          <w:ilvl w:val="0"/>
          <w:numId w:val="2"/>
        </w:numPr>
        <w:spacing w:after="40" w:before="40"/>
      </w:pPr>
      <w:r>
        <w:rPr>
          <w:rFonts w:ascii="Arial" w:cs="Arial" w:eastAsia="Arial" w:hAnsi="Arial"/>
          <w:b w:val="false"/>
          <w:bCs w:val="false"/>
          <w:color w:val="222222"/>
          <w:sz w:val="22"/>
          <w:szCs w:val="22"/>
        </w:rPr>
        <w:t xml:space="preserve">Sponsor a Solana hackathon — puts us in front of exactly the right developers at the moment they are choosing infrastructure</w:t>
      </w:r>
    </w:p>
    <w:p>
      <w:pPr>
        <w:pStyle w:val="ListParagraph"/>
        <w:numPr>
          <w:ilvl w:val="0"/>
          <w:numId w:val="2"/>
        </w:numPr>
        <w:spacing w:after="40" w:before="40"/>
      </w:pPr>
      <w:r>
        <w:rPr>
          <w:rFonts w:ascii="Arial" w:cs="Arial" w:eastAsia="Arial" w:hAnsi="Arial"/>
          <w:b w:val="false"/>
          <w:bCs w:val="false"/>
          <w:color w:val="222222"/>
          <w:sz w:val="22"/>
          <w:szCs w:val="22"/>
        </w:rPr>
        <w:t xml:space="preserve">Hire one developer relations lead with existing Solana community presence — single hire that unlocks the entire developer segment</w:t>
      </w:r>
    </w:p>
    <w:p>
      <w:pPr>
        <w:pStyle w:val="ListParagraph"/>
        <w:numPr>
          <w:ilvl w:val="0"/>
          <w:numId w:val="2"/>
        </w:numPr>
        <w:spacing w:after="40" w:before="40"/>
      </w:pPr>
      <w:r>
        <w:rPr>
          <w:rFonts w:ascii="Arial" w:cs="Arial" w:eastAsia="Arial" w:hAnsi="Arial"/>
          <w:b w:val="false"/>
          <w:bCs w:val="false"/>
          <w:color w:val="222222"/>
          <w:sz w:val="22"/>
          <w:szCs w:val="22"/>
        </w:rPr>
        <w:t xml:space="preserve">Begin GitHub outreach to projects currently using competitor RPC endpoints</w:t>
      </w:r>
    </w:p>
    <w:p>
      <w:pPr>
        <w:pStyle w:val="ListParagraph"/>
        <w:numPr>
          <w:ilvl w:val="0"/>
          <w:numId w:val="2"/>
        </w:numPr>
        <w:spacing w:after="40" w:before="40"/>
      </w:pPr>
      <w:r>
        <w:rPr>
          <w:rFonts w:ascii="Arial" w:cs="Arial" w:eastAsia="Arial" w:hAnsi="Arial"/>
          <w:b w:val="false"/>
          <w:bCs w:val="false"/>
          <w:color w:val="222222"/>
          <w:sz w:val="22"/>
          <w:szCs w:val="22"/>
        </w:rPr>
        <w:t xml:space="preserve">Establish presence in official Solana developer Discord as a helpful, knowledgeable participant</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Phase 3: Retail &amp; Organic (Months 6+)</w:t>
      </w:r>
    </w:p>
    <w:p>
      <w:pPr>
        <w:pStyle w:val="ListParagraph"/>
        <w:numPr>
          <w:ilvl w:val="0"/>
          <w:numId w:val="2"/>
        </w:numPr>
        <w:spacing w:after="40" w:before="40"/>
      </w:pPr>
      <w:r>
        <w:rPr>
          <w:rFonts w:ascii="Arial" w:cs="Arial" w:eastAsia="Arial" w:hAnsi="Arial"/>
          <w:b w:val="false"/>
          <w:bCs w:val="false"/>
          <w:color w:val="222222"/>
          <w:sz w:val="22"/>
          <w:szCs w:val="22"/>
        </w:rPr>
        <w:t xml:space="preserve">Retail traders follow developers — applications built on our infrastructure expose our brand to end users organically</w:t>
      </w:r>
    </w:p>
    <w:p>
      <w:pPr>
        <w:pStyle w:val="ListParagraph"/>
        <w:numPr>
          <w:ilvl w:val="0"/>
          <w:numId w:val="2"/>
        </w:numPr>
        <w:spacing w:after="40" w:before="40"/>
      </w:pPr>
      <w:r>
        <w:rPr>
          <w:rFonts w:ascii="Arial" w:cs="Arial" w:eastAsia="Arial" w:hAnsi="Arial"/>
          <w:b w:val="false"/>
          <w:bCs w:val="false"/>
          <w:color w:val="222222"/>
          <w:sz w:val="22"/>
          <w:szCs w:val="22"/>
        </w:rPr>
        <w:t xml:space="preserve">Son and team: recruit crypto-native 20-somethings for community management on Discord, Telegram, and X — not traditional influencer marketing, but genuine ecosystem presence</w:t>
      </w:r>
    </w:p>
    <w:p>
      <w:pPr>
        <w:pStyle w:val="ListParagraph"/>
        <w:numPr>
          <w:ilvl w:val="0"/>
          <w:numId w:val="2"/>
        </w:numPr>
        <w:spacing w:after="40" w:before="40"/>
      </w:pPr>
      <w:r>
        <w:rPr>
          <w:rFonts w:ascii="Arial" w:cs="Arial" w:eastAsia="Arial" w:hAnsi="Arial"/>
          <w:b w:val="false"/>
          <w:bCs w:val="false"/>
          <w:color w:val="222222"/>
          <w:sz w:val="22"/>
          <w:szCs w:val="22"/>
        </w:rPr>
        <w:t xml:space="preserve">Launch referral program within developer and trading communities</w:t>
      </w:r>
    </w:p>
    <w:p>
      <w:pPr>
        <w:pStyle w:val="ListParagraph"/>
        <w:numPr>
          <w:ilvl w:val="0"/>
          <w:numId w:val="2"/>
        </w:numPr>
        <w:spacing w:after="40" w:before="40"/>
      </w:pPr>
      <w:r>
        <w:rPr>
          <w:rFonts w:ascii="Arial" w:cs="Arial" w:eastAsia="Arial" w:hAnsi="Arial"/>
          <w:b w:val="false"/>
          <w:bCs w:val="false"/>
          <w:color w:val="222222"/>
          <w:sz w:val="22"/>
          <w:szCs w:val="22"/>
        </w:rPr>
        <w:t xml:space="preserve">Explore partnerships with bot developers and trading tool creators for bundled or white-labeled RPC access</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Revenue Model &amp; Financial Projections</w:t>
      </w:r>
    </w:p>
    <w:p>
      <w:pPr>
        <w:pStyle w:val="Heading2"/>
        <w:spacing w:after="100" w:before="280"/>
      </w:pPr>
      <w:r>
        <w:rPr>
          <w:rFonts w:ascii="Arial" w:cs="Arial" w:eastAsia="Arial" w:hAnsi="Arial"/>
          <w:b/>
          <w:bCs/>
          <w:color w:val="2E75B6"/>
          <w:sz w:val="26"/>
          <w:szCs w:val="26"/>
        </w:rPr>
        <w:t xml:space="preserve">Pricing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2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 Segment</w:t>
            </w:r>
          </w:p>
        </w:tc>
        <w:tc>
          <w:tcPr>
            <w:tcW w:type="dxa" w:w="2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Developers / testing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Rate-limited API access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Starter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$49</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Retail traders, indie devs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1M requests/day, shared nodes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$299</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Active traders, small teams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10M requests/day, priority routing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Business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$999</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Trading firms, larger apps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Unlimited requests, SLA guarantee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Dedicated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$500-$3,000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Professional traders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Exclusive node, private endpoint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Co-location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$2,000-$20,000</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Enterprise, prop trading</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Physical rack space, power, network</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Revenue Projections</w:t>
      </w:r>
    </w:p>
    <w:p>
      <w:pPr>
        <w:spacing w:after="80" w:before="60"/>
      </w:pPr>
      <w:r>
        <w:rPr>
          <w:rFonts w:ascii="Arial" w:cs="Arial" w:eastAsia="Arial" w:hAnsi="Arial"/>
          <w:color w:val="222222"/>
          <w:sz w:val="22"/>
          <w:szCs w:val="22"/>
        </w:rPr>
        <w:t xml:space="preserve">Conservative scenario based on comparable operator benchmarks. Helius has publicly discussed millions in ARR; QuickNode raised at a $500M+ valuation. We are not projecting those outcomes — we are projecting a disciplined, asset-light entry into a validated market.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Revenue Target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Assumptions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Months 1-3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$15,000 - $40,000 MRR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 enterprise co-lo/dedicated contracts, early API subscribers from Ledger network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Months 4-6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$50,000 - $100,000 MRR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Developer segment activated via hackathon, 50-100 API subscribers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Months 7-12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$100,000 - $200,000 MRR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Retail organic growth, enhanced data feeds launched, 200+ subscribers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Year 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$2M - $4M ARR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product suite live, established developer ecosystem, 2-3 enterprise anchors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Capital Requirements</w:t>
      </w:r>
    </w:p>
    <w:p>
      <w:pPr>
        <w:spacing w:after="80" w:before="60"/>
      </w:pPr>
      <w:r>
        <w:rPr>
          <w:rFonts w:ascii="Arial" w:cs="Arial" w:eastAsia="Arial" w:hAnsi="Arial"/>
          <w:color w:val="222222"/>
          <w:sz w:val="22"/>
          <w:szCs w:val="22"/>
        </w:rPr>
        <w:t xml:space="preserve">The most capital-efficient entry in this market available to any new operator — because we are not starting from zero.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Estimate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Hardware (initial)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Minimal — 3.6TB RAM and NVMe already available. Some server configuration costs.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Solana node operator hire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$120,000 - $180,000 annual salary or contract equivalent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Software development (API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Internal team. 6-8 weeks of focused development effort.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Network peering upgrades (if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$500 - $2,000/month incremental depending on audit findings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Developer relations hire (Phase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$100,000 - $140,000 annual. Crypto-native, community-established candidate.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Conference &amp; marketing (Year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$20,000 - $40,000. Hackathon sponsorship, one major conference.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Legal &amp; compliance counsel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$15,000 - $30,000. Regulatory review of product scope before launch.</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Execution Plan</w:t>
      </w:r>
    </w:p>
    <w:p>
      <w:pPr>
        <w:pStyle w:val="Heading2"/>
        <w:spacing w:after="100" w:before="280"/>
      </w:pPr>
      <w:r>
        <w:rPr>
          <w:rFonts w:ascii="Arial" w:cs="Arial" w:eastAsia="Arial" w:hAnsi="Arial"/>
          <w:b/>
          <w:bCs/>
          <w:color w:val="2E75B6"/>
          <w:sz w:val="26"/>
          <w:szCs w:val="26"/>
        </w:rPr>
        <w:t xml:space="preserve">Month 1-2: Foundation</w:t>
      </w:r>
    </w:p>
    <w:p>
      <w:pPr>
        <w:pStyle w:val="ListParagraph"/>
        <w:numPr>
          <w:ilvl w:val="0"/>
          <w:numId w:val="2"/>
        </w:numPr>
        <w:spacing w:after="40" w:before="40"/>
      </w:pPr>
      <w:r>
        <w:rPr>
          <w:rFonts w:ascii="Arial" w:cs="Arial" w:eastAsia="Arial" w:hAnsi="Arial"/>
          <w:b/>
          <w:bCs/>
          <w:color w:val="222222"/>
          <w:sz w:val="22"/>
          <w:szCs w:val="22"/>
        </w:rPr>
        <w:t xml:space="preserve">Have exploratory conversation with Ledger contact — intelligence gathering, not pitch</w:t>
      </w:r>
    </w:p>
    <w:p>
      <w:pPr>
        <w:pStyle w:val="ListParagraph"/>
        <w:numPr>
          <w:ilvl w:val="0"/>
          <w:numId w:val="2"/>
        </w:numPr>
        <w:spacing w:after="40" w:before="40"/>
      </w:pPr>
      <w:r>
        <w:rPr>
          <w:rFonts w:ascii="Arial" w:cs="Arial" w:eastAsia="Arial" w:hAnsi="Arial"/>
          <w:b w:val="false"/>
          <w:bCs w:val="false"/>
          <w:color w:val="222222"/>
          <w:sz w:val="22"/>
          <w:szCs w:val="22"/>
        </w:rPr>
        <w:t xml:space="preserve">Commission network peering audit — assess latency profile to primary Solana validator clusters</w:t>
      </w:r>
    </w:p>
    <w:p>
      <w:pPr>
        <w:pStyle w:val="ListParagraph"/>
        <w:numPr>
          <w:ilvl w:val="0"/>
          <w:numId w:val="2"/>
        </w:numPr>
        <w:spacing w:after="40" w:before="40"/>
      </w:pPr>
      <w:r>
        <w:rPr>
          <w:rFonts w:ascii="Arial" w:cs="Arial" w:eastAsia="Arial" w:hAnsi="Arial"/>
          <w:b w:val="false"/>
          <w:bCs w:val="false"/>
          <w:color w:val="222222"/>
          <w:sz w:val="22"/>
          <w:szCs w:val="22"/>
        </w:rPr>
        <w:t xml:space="preserve">Identify and engage Solana node operations specialist — hire or short-term contract</w:t>
      </w:r>
    </w:p>
    <w:p>
      <w:pPr>
        <w:pStyle w:val="ListParagraph"/>
        <w:numPr>
          <w:ilvl w:val="0"/>
          <w:numId w:val="2"/>
        </w:numPr>
        <w:spacing w:after="40" w:before="40"/>
      </w:pPr>
      <w:r>
        <w:rPr>
          <w:rFonts w:ascii="Arial" w:cs="Arial" w:eastAsia="Arial" w:hAnsi="Arial"/>
          <w:b w:val="false"/>
          <w:bCs w:val="false"/>
          <w:color w:val="222222"/>
          <w:sz w:val="22"/>
          <w:szCs w:val="22"/>
        </w:rPr>
        <w:t xml:space="preserve">Legal review: confirm clean product scope, particularly distinction between neutral infrastructure and facilitation of token trading</w:t>
      </w:r>
    </w:p>
    <w:p>
      <w:pPr>
        <w:pStyle w:val="ListParagraph"/>
        <w:numPr>
          <w:ilvl w:val="0"/>
          <w:numId w:val="2"/>
        </w:numPr>
        <w:spacing w:after="40" w:before="40"/>
      </w:pPr>
      <w:r>
        <w:rPr>
          <w:rFonts w:ascii="Arial" w:cs="Arial" w:eastAsia="Arial" w:hAnsi="Arial"/>
          <w:b w:val="false"/>
          <w:bCs w:val="false"/>
          <w:color w:val="222222"/>
          <w:sz w:val="22"/>
          <w:szCs w:val="22"/>
        </w:rPr>
        <w:t xml:space="preserve">Begin server configuration assessment with node specialist</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Month 2-3: Build</w:t>
      </w:r>
    </w:p>
    <w:p>
      <w:pPr>
        <w:pStyle w:val="ListParagraph"/>
        <w:numPr>
          <w:ilvl w:val="0"/>
          <w:numId w:val="2"/>
        </w:numPr>
        <w:spacing w:after="40" w:before="40"/>
      </w:pPr>
      <w:r>
        <w:rPr>
          <w:rFonts w:ascii="Arial" w:cs="Arial" w:eastAsia="Arial" w:hAnsi="Arial"/>
          <w:b w:val="false"/>
          <w:bCs w:val="false"/>
          <w:color w:val="222222"/>
          <w:sz w:val="22"/>
          <w:szCs w:val="22"/>
        </w:rPr>
        <w:t xml:space="preserve">Deploy initial node fleet — 7 nodes in proposed allocation</w:t>
      </w:r>
    </w:p>
    <w:p>
      <w:pPr>
        <w:pStyle w:val="ListParagraph"/>
        <w:numPr>
          <w:ilvl w:val="0"/>
          <w:numId w:val="2"/>
        </w:numPr>
        <w:spacing w:after="40" w:before="40"/>
      </w:pPr>
      <w:r>
        <w:rPr>
          <w:rFonts w:ascii="Arial" w:cs="Arial" w:eastAsia="Arial" w:hAnsi="Arial"/>
          <w:b w:val="false"/>
          <w:bCs w:val="false"/>
          <w:color w:val="222222"/>
          <w:sz w:val="22"/>
          <w:szCs w:val="22"/>
        </w:rPr>
        <w:t xml:space="preserve">Build API layer: authentication, rate limiting, metering, billing (Stripe), customer dashboard</w:t>
      </w:r>
    </w:p>
    <w:p>
      <w:pPr>
        <w:pStyle w:val="ListParagraph"/>
        <w:numPr>
          <w:ilvl w:val="0"/>
          <w:numId w:val="2"/>
        </w:numPr>
        <w:spacing w:after="40" w:before="40"/>
      </w:pPr>
      <w:r>
        <w:rPr>
          <w:rFonts w:ascii="Arial" w:cs="Arial" w:eastAsia="Arial" w:hAnsi="Arial"/>
          <w:b w:val="false"/>
          <w:bCs w:val="false"/>
          <w:color w:val="222222"/>
          <w:sz w:val="22"/>
          <w:szCs w:val="22"/>
        </w:rPr>
        <w:t xml:space="preserve">Internal testing and load validation</w:t>
      </w:r>
    </w:p>
    <w:p>
      <w:pPr>
        <w:pStyle w:val="ListParagraph"/>
        <w:numPr>
          <w:ilvl w:val="0"/>
          <w:numId w:val="2"/>
        </w:numPr>
        <w:spacing w:after="40" w:before="40"/>
      </w:pPr>
      <w:r>
        <w:rPr>
          <w:rFonts w:ascii="Arial" w:cs="Arial" w:eastAsia="Arial" w:hAnsi="Arial"/>
          <w:b w:val="false"/>
          <w:bCs w:val="false"/>
          <w:color w:val="222222"/>
          <w:sz w:val="22"/>
          <w:szCs w:val="22"/>
        </w:rPr>
        <w:t xml:space="preserve">Begin direct outreach to enterprise prospects identified via Ledger introductions and independent research</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Month 3-4: Launch</w:t>
      </w:r>
    </w:p>
    <w:p>
      <w:pPr>
        <w:pStyle w:val="ListParagraph"/>
        <w:numPr>
          <w:ilvl w:val="0"/>
          <w:numId w:val="2"/>
        </w:numPr>
        <w:spacing w:after="40" w:before="40"/>
      </w:pPr>
      <w:r>
        <w:rPr>
          <w:rFonts w:ascii="Arial" w:cs="Arial" w:eastAsia="Arial" w:hAnsi="Arial"/>
          <w:b w:val="false"/>
          <w:bCs w:val="false"/>
          <w:color w:val="222222"/>
          <w:sz w:val="22"/>
          <w:szCs w:val="22"/>
        </w:rPr>
        <w:t xml:space="preserve">Soft launch shared API product — invite-only to initial developer and trader contacts</w:t>
      </w:r>
    </w:p>
    <w:p>
      <w:pPr>
        <w:pStyle w:val="ListParagraph"/>
        <w:numPr>
          <w:ilvl w:val="0"/>
          <w:numId w:val="2"/>
        </w:numPr>
        <w:spacing w:after="40" w:before="40"/>
      </w:pPr>
      <w:r>
        <w:rPr>
          <w:rFonts w:ascii="Arial" w:cs="Arial" w:eastAsia="Arial" w:hAnsi="Arial"/>
          <w:b w:val="false"/>
          <w:bCs w:val="false"/>
          <w:color w:val="222222"/>
          <w:sz w:val="22"/>
          <w:szCs w:val="22"/>
        </w:rPr>
        <w:t xml:space="preserve">First dedicated node and co-location contracts targeted</w:t>
      </w:r>
    </w:p>
    <w:p>
      <w:pPr>
        <w:pStyle w:val="ListParagraph"/>
        <w:numPr>
          <w:ilvl w:val="0"/>
          <w:numId w:val="2"/>
        </w:numPr>
        <w:spacing w:after="40" w:before="40"/>
      </w:pPr>
      <w:r>
        <w:rPr>
          <w:rFonts w:ascii="Arial" w:cs="Arial" w:eastAsia="Arial" w:hAnsi="Arial"/>
          <w:b w:val="false"/>
          <w:bCs w:val="false"/>
          <w:color w:val="222222"/>
          <w:sz w:val="22"/>
          <w:szCs w:val="22"/>
        </w:rPr>
        <w:t xml:space="preserve">Attend first Solana ecosystem conference</w:t>
      </w:r>
    </w:p>
    <w:p>
      <w:pPr>
        <w:pStyle w:val="ListParagraph"/>
        <w:numPr>
          <w:ilvl w:val="0"/>
          <w:numId w:val="2"/>
        </w:numPr>
        <w:spacing w:after="40" w:before="40"/>
      </w:pPr>
      <w:r>
        <w:rPr>
          <w:rFonts w:ascii="Arial" w:cs="Arial" w:eastAsia="Arial" w:hAnsi="Arial"/>
          <w:b w:val="false"/>
          <w:bCs w:val="false"/>
          <w:color w:val="222222"/>
          <w:sz w:val="22"/>
          <w:szCs w:val="22"/>
        </w:rPr>
        <w:t xml:space="preserve">Public launch of shared API with self-serve signup</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Month 4-6: Scale</w:t>
      </w:r>
    </w:p>
    <w:p>
      <w:pPr>
        <w:pStyle w:val="ListParagraph"/>
        <w:numPr>
          <w:ilvl w:val="0"/>
          <w:numId w:val="2"/>
        </w:numPr>
        <w:spacing w:after="40" w:before="40"/>
      </w:pPr>
      <w:r>
        <w:rPr>
          <w:rFonts w:ascii="Arial" w:cs="Arial" w:eastAsia="Arial" w:hAnsi="Arial"/>
          <w:b w:val="false"/>
          <w:bCs w:val="false"/>
          <w:color w:val="222222"/>
          <w:sz w:val="22"/>
          <w:szCs w:val="22"/>
        </w:rPr>
        <w:t xml:space="preserve">Sponsor Solana hackathon</w:t>
      </w:r>
    </w:p>
    <w:p>
      <w:pPr>
        <w:pStyle w:val="ListParagraph"/>
        <w:numPr>
          <w:ilvl w:val="0"/>
          <w:numId w:val="2"/>
        </w:numPr>
        <w:spacing w:after="40" w:before="40"/>
      </w:pPr>
      <w:r>
        <w:rPr>
          <w:rFonts w:ascii="Arial" w:cs="Arial" w:eastAsia="Arial" w:hAnsi="Arial"/>
          <w:b w:val="false"/>
          <w:bCs w:val="false"/>
          <w:color w:val="222222"/>
          <w:sz w:val="22"/>
          <w:szCs w:val="22"/>
        </w:rPr>
        <w:t xml:space="preserve">Hire developer relations lead</w:t>
      </w:r>
    </w:p>
    <w:p>
      <w:pPr>
        <w:pStyle w:val="ListParagraph"/>
        <w:numPr>
          <w:ilvl w:val="0"/>
          <w:numId w:val="2"/>
        </w:numPr>
        <w:spacing w:after="40" w:before="40"/>
      </w:pPr>
      <w:r>
        <w:rPr>
          <w:rFonts w:ascii="Arial" w:cs="Arial" w:eastAsia="Arial" w:hAnsi="Arial"/>
          <w:b w:val="false"/>
          <w:bCs w:val="false"/>
          <w:color w:val="222222"/>
          <w:sz w:val="22"/>
          <w:szCs w:val="22"/>
        </w:rPr>
        <w:t xml:space="preserve">Begin GitHub and Solana Foundation ecosystem prospecting for developer accounts</w:t>
      </w:r>
    </w:p>
    <w:p>
      <w:pPr>
        <w:pStyle w:val="ListParagraph"/>
        <w:numPr>
          <w:ilvl w:val="0"/>
          <w:numId w:val="2"/>
        </w:numPr>
        <w:spacing w:after="40" w:before="40"/>
      </w:pPr>
      <w:r>
        <w:rPr>
          <w:rFonts w:ascii="Arial" w:cs="Arial" w:eastAsia="Arial" w:hAnsi="Arial"/>
          <w:b w:val="false"/>
          <w:bCs w:val="false"/>
          <w:color w:val="222222"/>
          <w:sz w:val="22"/>
          <w:szCs w:val="22"/>
        </w:rPr>
        <w:t xml:space="preserve">Assess data feeds product viability based on customer feedback</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Month 6-12: Expand</w:t>
      </w:r>
    </w:p>
    <w:p>
      <w:pPr>
        <w:pStyle w:val="ListParagraph"/>
        <w:numPr>
          <w:ilvl w:val="0"/>
          <w:numId w:val="2"/>
        </w:numPr>
        <w:spacing w:after="40" w:before="40"/>
      </w:pPr>
      <w:r>
        <w:rPr>
          <w:rFonts w:ascii="Arial" w:cs="Arial" w:eastAsia="Arial" w:hAnsi="Arial"/>
          <w:b w:val="false"/>
          <w:bCs w:val="false"/>
          <w:color w:val="222222"/>
          <w:sz w:val="22"/>
          <w:szCs w:val="22"/>
        </w:rPr>
        <w:t xml:space="preserve">Enhanced data feeds product development if market validated</w:t>
      </w:r>
    </w:p>
    <w:p>
      <w:pPr>
        <w:pStyle w:val="ListParagraph"/>
        <w:numPr>
          <w:ilvl w:val="0"/>
          <w:numId w:val="2"/>
        </w:numPr>
        <w:spacing w:after="40" w:before="40"/>
      </w:pPr>
      <w:r>
        <w:rPr>
          <w:rFonts w:ascii="Arial" w:cs="Arial" w:eastAsia="Arial" w:hAnsi="Arial"/>
          <w:b w:val="false"/>
          <w:bCs w:val="false"/>
          <w:color w:val="222222"/>
          <w:sz w:val="22"/>
          <w:szCs w:val="22"/>
        </w:rPr>
        <w:t xml:space="preserve">Evaluate geographic expansion — additional data center locations for lower latency to East Coast and European markets</w:t>
      </w:r>
    </w:p>
    <w:p>
      <w:pPr>
        <w:pStyle w:val="ListParagraph"/>
        <w:numPr>
          <w:ilvl w:val="0"/>
          <w:numId w:val="2"/>
        </w:numPr>
        <w:spacing w:after="40" w:before="40"/>
      </w:pPr>
      <w:r>
        <w:rPr>
          <w:rFonts w:ascii="Arial" w:cs="Arial" w:eastAsia="Arial" w:hAnsi="Arial"/>
          <w:b w:val="false"/>
          <w:bCs w:val="false"/>
          <w:color w:val="222222"/>
          <w:sz w:val="22"/>
          <w:szCs w:val="22"/>
        </w:rPr>
        <w:t xml:space="preserve">Son and team build community presence on X, Discord, Telegram</w:t>
      </w:r>
    </w:p>
    <w:p>
      <w:pPr>
        <w:pStyle w:val="ListParagraph"/>
        <w:numPr>
          <w:ilvl w:val="0"/>
          <w:numId w:val="2"/>
        </w:numPr>
        <w:spacing w:after="40" w:before="40"/>
      </w:pPr>
      <w:r>
        <w:rPr>
          <w:rFonts w:ascii="Arial" w:cs="Arial" w:eastAsia="Arial" w:hAnsi="Arial"/>
          <w:b w:val="false"/>
          <w:bCs w:val="false"/>
          <w:color w:val="222222"/>
          <w:sz w:val="22"/>
          <w:szCs w:val="22"/>
        </w:rPr>
        <w:t xml:space="preserve">Assess Series A or debt financing if growth trajectory warrants acceleration</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Risk Assessment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Regulatory environment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Neutral infrastructure (RPC nodes) is legally cleaner than token facilitation. Obtain legal review before launch. Monitor SEC and CFTC guidance on infrastructure providers. Stay clearly in the 'neutral pipe' category.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Las Vegas latency disadvantage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Assess peering situation before committing. Transaction forwarding software can partially mitigate. Read-heavy use cases are not affected. Geographic expansion possible in Year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 concentration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Solana currently dominates this activity but crypto ecosystems shift. Build chain-agnostic where practical. Monitor Ethereum Layer 2 and other chains for diversification opportunity.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Enterprise client reputational exposure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Crypto association may be sensitive for some existing enterprise and government clients. Keep division clearly separated. Counsel existing client relationships proactively where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Go-to-market execution — community 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Top-down enterprise approach reduces dependency on community marketing. Developer relations hire in Phase 2 addresses this. Son and team provide authentic community access.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Node operations knowledge gap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High initially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Single most critical immediate hire. Engage Ledger network for referrals — fastest path to a vetted candidate. This gap must be closed before production deployment.</w:t>
            </w:r>
          </w:p>
        </w:tc>
      </w:tr>
    </w:tbl>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Strategic Conclusion</w:t>
      </w:r>
    </w:p>
    <w:p>
      <w:pPr>
        <w:spacing w:after="80" w:before="60"/>
      </w:pPr>
      <w:r>
        <w:rPr>
          <w:rFonts w:ascii="Arial" w:cs="Arial" w:eastAsia="Arial" w:hAnsi="Arial"/>
          <w:color w:val="222222"/>
          <w:sz w:val="22"/>
          <w:szCs w:val="22"/>
        </w:rPr>
        <w:t xml:space="preserve">This opportunity was surfaced through an exploration of the memecoin ecosystem, but the business case is considerably broader than memecoins. We are not proposing to participate in speculative crypto markets. We are proposing to sell the infrastructure that the entire Solana ecosystem runs on — traders, developers, institutions, and yes, memecoin platforms alike.</w:t>
      </w:r>
    </w:p>
    <w:p>
      <w:pPr>
        <w:spacing w:after="0" w:before="80"/>
      </w:pPr>
      <w:r>
        <w:t xml:space="preserve"/>
      </w:r>
    </w:p>
    <w:p>
      <w:pPr>
        <w:spacing w:after="80" w:before="60"/>
      </w:pPr>
      <w:r>
        <w:rPr>
          <w:rFonts w:ascii="Arial" w:cs="Arial" w:eastAsia="Arial" w:hAnsi="Arial"/>
          <w:color w:val="222222"/>
          <w:sz w:val="22"/>
          <w:szCs w:val="22"/>
        </w:rPr>
        <w:t xml:space="preserve">The picks-and-shovels analogy holds precisely. In the 1849 Gold Rush, the people who reliably made money were not the prospectors — they were the merchants selling equipment, transport, and services to everyone looking for gold, regardless of whether any individual prospector succeeded.</w:t>
      </w:r>
    </w:p>
    <w:p>
      <w:pPr>
        <w:spacing w:after="0" w:before="80"/>
      </w:pPr>
      <w:r>
        <w:t xml:space="preserve"/>
      </w:r>
    </w:p>
    <w:p>
      <w:pPr>
        <w:spacing w:after="80" w:before="60"/>
      </w:pPr>
      <w:r>
        <w:rPr>
          <w:rFonts w:ascii="Arial" w:cs="Arial" w:eastAsia="Arial" w:hAnsi="Arial"/>
          <w:color w:val="222222"/>
          <w:sz w:val="22"/>
          <w:szCs w:val="22"/>
        </w:rPr>
        <w:t xml:space="preserve">We are well-positioned to be that merchant in the Solana ecosystem. We have the hardware, the operational expertise, the security credibility, and the industry relationship to enter this market with genuine competitive advantages — not as a startup building from zero, but as an established infrastructure operator extending into an adjacent market.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60" w:before="0"/>
            </w:pPr>
            <w:r>
              <w:rPr>
                <w:rFonts w:ascii="Arial" w:cs="Arial" w:eastAsia="Arial" w:hAnsi="Arial"/>
                <w:b/>
                <w:bCs/>
                <w:color w:val="1B3A6B"/>
                <w:sz w:val="22"/>
                <w:szCs w:val="22"/>
              </w:rPr>
              <w:t xml:space="preserve">The Single Most Important Next Step</w:t>
            </w:r>
          </w:p>
          <w:p>
            <w:pPr>
              <w:spacing w:after="0" w:before="0"/>
            </w:pPr>
            <w:r>
              <w:rPr>
                <w:rFonts w:ascii="Arial" w:cs="Arial" w:eastAsia="Arial" w:hAnsi="Arial"/>
                <w:color w:val="333333"/>
                <w:sz w:val="20"/>
                <w:szCs w:val="20"/>
              </w:rPr>
              <w:t xml:space="preserve">Have the conversation with our Ledger contact this week. Before any infrastructure investment, any hiring, any product decisions — the intelligence and introductions available through that single conversation could reshape every other element of this plan. It costs nothing and the upside is potentially enormous.</w:t>
            </w:r>
          </w:p>
        </w:tc>
      </w:tr>
    </w:tbl>
    <w:p>
      <w:pPr>
        <w:spacing w:after="0" w:before="160"/>
      </w:pPr>
      <w:r>
        <w:t xml:space="preserve"/>
      </w:r>
    </w:p>
    <w:p>
      <w:pPr>
        <w:pBdr>
          <w:top w:val="single" w:color="2E75B6" w:sz="4" w:space="6"/>
        </w:pBdr>
        <w:spacing w:after="80" w:before="160"/>
      </w:pPr>
      <w:r>
        <w:rPr>
          <w:rFonts w:ascii="Arial" w:cs="Arial" w:eastAsia="Arial" w:hAnsi="Arial"/>
          <w:i/>
          <w:iCs/>
          <w:color w:val="444444"/>
          <w:sz w:val="18"/>
          <w:szCs w:val="18"/>
        </w:rPr>
        <w:t xml:space="preserve">Document prepared for internal leadership review. Not for external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444444"/>
        <w:sz w:val="16"/>
        <w:szCs w:val="16"/>
      </w:rPr>
      <w:t xml:space="preserve">Page </w:t>
    </w:r>
    <w:r>
      <w:rPr>
        <w:rFonts w:ascii="Arial" w:cs="Arial" w:eastAsia="Arial" w:hAnsi="Arial"/>
        <w:sz w:val="16"/>
        <w:szCs w:val="16"/>
      </w:rPr>
      <w:t xml:space="preserve"/>
    </w:r>
    <w:r>
      <w:rPr>
        <w:rFonts w:ascii="Arial" w:cs="Arial" w:eastAsia="Arial" w:hAnsi="Arial"/>
        <w:color w:val="444444"/>
        <w:sz w:val="16"/>
        <w:szCs w:val="16"/>
      </w:rPr>
      <w:t xml:space="preserve">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b/>
        <w:bCs/>
        <w:color w:val="4A90C4"/>
        <w:sz w:val="16"/>
        <w:szCs w:val="16"/>
      </w:rPr>
      <w:t xml:space="preserve">CONFIDENTIAL — INTERNAL DISTRIBUTION ONLY</w:t>
    </w:r>
    <w:r>
      <w:rPr>
        <w:rFonts w:ascii="Arial" w:cs="Arial" w:eastAsia="Arial" w:hAnsi="Arial"/>
        <w:sz w:val="16"/>
        <w:szCs w:val="16"/>
      </w:rPr>
      <w:t xml:space="preserve">	</w:t>
    </w:r>
    <w:r>
      <w:rPr>
        <w:rFonts w:ascii="Arial" w:cs="Arial" w:eastAsia="Arial" w:hAnsi="Arial"/>
        <w:color w:val="444444"/>
        <w:sz w:val="16"/>
        <w:szCs w:val="16"/>
      </w:rPr>
      <w:t xml:space="preserve">Solana Infrastructure Division — Business Plan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2026-03-13T13:46:14.946Z</dcterms:created>
  <dcterms:modified xsi:type="dcterms:W3CDTF">2026-03-13T13:46:14.947Z</dcterms:modified>
</cp:coreProperties>
</file>

<file path=docProps/custom.xml><?xml version="1.0" encoding="utf-8"?>
<Properties xmlns="http://schemas.openxmlformats.org/officeDocument/2006/custom-properties" xmlns:vt="http://schemas.openxmlformats.org/officeDocument/2006/docPropsVTypes"/>
</file>