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Pr>
        <w:drawing>
          <wp:inline distB="114300" distT="114300" distL="114300" distR="114300">
            <wp:extent cx="2847975" cy="16097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47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Святкування тривало до вечора і закінчувалось хораном- танецем,що символізує єдність джемату тобто  громади</w:t>
      </w:r>
    </w:p>
    <w:p w:rsidR="00000000" w:rsidDel="00000000" w:rsidP="00000000" w:rsidRDefault="00000000" w:rsidRPr="00000000" w14:paraId="00000003">
      <w:pPr>
        <w:rPr>
          <w:rFonts w:ascii="Times New Roman" w:cs="Times New Roman" w:eastAsia="Times New Roman" w:hAnsi="Times New Roman"/>
          <w:i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Хо́ра</w:t>
      </w:r>
      <w:r w:rsidDel="00000000" w:rsidR="00000000" w:rsidRPr="00000000">
        <w:rPr>
          <w:rFonts w:ascii="Times New Roman" w:cs="Times New Roman" w:eastAsia="Times New Roman" w:hAnsi="Times New Roman"/>
          <w:color w:val="202122"/>
          <w:sz w:val="28"/>
          <w:szCs w:val="28"/>
          <w:highlight w:val="white"/>
          <w:rtl w:val="0"/>
        </w:rPr>
        <w:t xml:space="preserve">н</w:t>
      </w:r>
      <w:r w:rsidDel="00000000" w:rsidR="00000000" w:rsidRPr="00000000">
        <w:rPr>
          <w:rFonts w:ascii="Times New Roman" w:cs="Times New Roman" w:eastAsia="Times New Roman" w:hAnsi="Times New Roman"/>
          <w:color w:val="202122"/>
          <w:sz w:val="28"/>
          <w:szCs w:val="28"/>
          <w:highlight w:val="white"/>
          <w:rtl w:val="0"/>
        </w:rPr>
        <w:t xml:space="preserve"> народний танець-хоровод. Виконується зазвичай під акомпанемент інструментального ансамблю </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У кримських татар він називається </w:t>
      </w:r>
      <w:r w:rsidDel="00000000" w:rsidR="00000000" w:rsidRPr="00000000">
        <w:rPr>
          <w:rFonts w:ascii="Times New Roman" w:cs="Times New Roman" w:eastAsia="Times New Roman" w:hAnsi="Times New Roman"/>
          <w:b w:val="1"/>
          <w:color w:val="202122"/>
          <w:sz w:val="28"/>
          <w:szCs w:val="28"/>
          <w:highlight w:val="white"/>
          <w:rtl w:val="0"/>
        </w:rPr>
        <w:t xml:space="preserve">Хоран</w:t>
      </w:r>
      <w:r w:rsidDel="00000000" w:rsidR="00000000" w:rsidRPr="00000000">
        <w:rPr>
          <w:rFonts w:ascii="Times New Roman" w:cs="Times New Roman" w:eastAsia="Times New Roman" w:hAnsi="Times New Roman"/>
          <w:color w:val="202122"/>
          <w:sz w:val="28"/>
          <w:szCs w:val="28"/>
          <w:highlight w:val="white"/>
          <w:rtl w:val="0"/>
        </w:rPr>
        <w:t xml:space="preserve"> . Його танцювали під час народних гулянь. Спочатку під пісенний акомпанемент. Саме їм у давні часи </w:t>
      </w:r>
      <w:r w:rsidDel="00000000" w:rsidR="00000000" w:rsidRPr="00000000">
        <w:rPr>
          <w:rFonts w:ascii="Times New Roman" w:cs="Times New Roman" w:eastAsia="Times New Roman" w:hAnsi="Times New Roman"/>
          <w:color w:val="ff0000"/>
          <w:sz w:val="28"/>
          <w:szCs w:val="28"/>
          <w:highlight w:val="white"/>
          <w:rtl w:val="0"/>
        </w:rPr>
        <w:t xml:space="preserve"> завершувало</w:t>
      </w:r>
      <w:r w:rsidDel="00000000" w:rsidR="00000000" w:rsidRPr="00000000">
        <w:rPr>
          <w:rFonts w:ascii="Times New Roman" w:cs="Times New Roman" w:eastAsia="Times New Roman" w:hAnsi="Times New Roman"/>
          <w:color w:val="202122"/>
          <w:sz w:val="28"/>
          <w:szCs w:val="28"/>
          <w:highlight w:val="white"/>
          <w:rtl w:val="0"/>
        </w:rPr>
        <w:t xml:space="preserve">ся будь-яке кримськотатарське свято.  Зараз також цим танцем часто завершуються весільні бенкети, коли його виконували всі присутні, чисельність яких часом досягає двохсот чоловік.</w:t>
      </w:r>
    </w:p>
    <w:p w:rsidR="00000000" w:rsidDel="00000000" w:rsidP="00000000" w:rsidRDefault="00000000" w:rsidRPr="00000000" w14:paraId="00000005">
      <w:pPr>
        <w:shd w:fill="ffffff" w:val="clear"/>
        <w:spacing w:after="240" w:before="1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Під час танцю учасники замикаються в коло або півколо і поклавши один одному на плечі, рухаються по колу приставним кроком. У танці можуть брати участь як хлопці, так і дівчата, люди середнього та похилого віку. Танець, як правило, танцюють по колу. Усі учасники кладуть руки на плечі один одному, утворюючи коло. Кількість учасників не обмежується, їх має бути не менше ніж 6 осіб. Танець складається із двох частин, перша частина повільна, друга — швидка. Основні фігурації танцю: коло, лінії. Хорани відрізняються один від одного залежно від місця їхнього виникнення. Наприклад, в </w:t>
      </w:r>
      <w:hyperlink r:id="rId7">
        <w:r w:rsidDel="00000000" w:rsidR="00000000" w:rsidRPr="00000000">
          <w:rPr>
            <w:rFonts w:ascii="Times New Roman" w:cs="Times New Roman" w:eastAsia="Times New Roman" w:hAnsi="Times New Roman"/>
            <w:color w:val="3366cc"/>
            <w:sz w:val="28"/>
            <w:szCs w:val="28"/>
            <w:highlight w:val="white"/>
            <w:rtl w:val="0"/>
          </w:rPr>
          <w:t xml:space="preserve">Алуштинському районі</w:t>
        </w:r>
      </w:hyperlink>
      <w:r w:rsidDel="00000000" w:rsidR="00000000" w:rsidRPr="00000000">
        <w:rPr>
          <w:rFonts w:ascii="Times New Roman" w:cs="Times New Roman" w:eastAsia="Times New Roman" w:hAnsi="Times New Roman"/>
          <w:color w:val="202122"/>
          <w:sz w:val="28"/>
          <w:szCs w:val="28"/>
          <w:highlight w:val="white"/>
          <w:rtl w:val="0"/>
        </w:rPr>
        <w:t xml:space="preserve"> побутував танець </w:t>
      </w:r>
      <w:r w:rsidDel="00000000" w:rsidR="00000000" w:rsidRPr="00000000">
        <w:rPr>
          <w:rFonts w:ascii="Times New Roman" w:cs="Times New Roman" w:eastAsia="Times New Roman" w:hAnsi="Times New Roman"/>
          <w:i w:val="1"/>
          <w:color w:val="202122"/>
          <w:sz w:val="28"/>
          <w:szCs w:val="28"/>
          <w:highlight w:val="white"/>
          <w:rtl w:val="0"/>
        </w:rPr>
        <w:t xml:space="preserve">Тувак джийини</w:t>
      </w:r>
      <w:r w:rsidDel="00000000" w:rsidR="00000000" w:rsidRPr="00000000">
        <w:rPr>
          <w:rFonts w:ascii="Times New Roman" w:cs="Times New Roman" w:eastAsia="Times New Roman" w:hAnsi="Times New Roman"/>
          <w:color w:val="202122"/>
          <w:sz w:val="28"/>
          <w:szCs w:val="28"/>
          <w:highlight w:val="white"/>
          <w:rtl w:val="0"/>
        </w:rPr>
        <w:t xml:space="preserve">, що виконується тільки чоловіками. </w:t>
      </w:r>
      <w:r w:rsidDel="00000000" w:rsidR="00000000" w:rsidRPr="00000000">
        <w:rPr>
          <w:rFonts w:ascii="Times New Roman" w:cs="Times New Roman" w:eastAsia="Times New Roman" w:hAnsi="Times New Roman"/>
          <w:i w:val="1"/>
          <w:color w:val="202122"/>
          <w:sz w:val="28"/>
          <w:szCs w:val="28"/>
          <w:highlight w:val="white"/>
          <w:rtl w:val="0"/>
        </w:rPr>
        <w:t xml:space="preserve">Тувак деюийини</w:t>
      </w:r>
      <w:r w:rsidDel="00000000" w:rsidR="00000000" w:rsidRPr="00000000">
        <w:rPr>
          <w:rFonts w:ascii="Times New Roman" w:cs="Times New Roman" w:eastAsia="Times New Roman" w:hAnsi="Times New Roman"/>
          <w:color w:val="202122"/>
          <w:sz w:val="28"/>
          <w:szCs w:val="28"/>
          <w:highlight w:val="white"/>
          <w:rtl w:val="0"/>
        </w:rPr>
        <w:t xml:space="preserve">, що виник у степових районах, виконували тільки жінки</w:t>
      </w:r>
    </w:p>
    <w:p w:rsidR="00000000" w:rsidDel="00000000" w:rsidP="00000000" w:rsidRDefault="00000000" w:rsidRPr="00000000" w14:paraId="00000006">
      <w:pPr>
        <w:shd w:fill="ffffff" w:val="clear"/>
        <w:spacing w:after="240" w:before="120" w:lineRule="auto"/>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Наприклад, на весіллі гості завжди виконують танець «Хоран».</w:t>
      </w:r>
    </w:p>
    <w:p w:rsidR="00000000" w:rsidDel="00000000" w:rsidP="00000000" w:rsidRDefault="00000000" w:rsidRPr="00000000" w14:paraId="00000007">
      <w:pPr>
        <w:shd w:fill="ffffff" w:val="clear"/>
        <w:spacing w:after="240" w:before="120" w:lineRule="auto"/>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Наречений та наречена стають у центр кола, утворюючи навколо себе хоровод з танцюючих дівчат та хлопців. Цей танець своїм малюнком відображає сонце, в той час як танцівники, тримаючись за плечі, рухаються по колу. Центр кола символізує центр Всесвіту. </w:t>
      </w:r>
    </w:p>
    <w:p w:rsidR="00000000" w:rsidDel="00000000" w:rsidP="00000000" w:rsidRDefault="00000000" w:rsidRPr="00000000" w14:paraId="00000008">
      <w:pPr>
        <w:shd w:fill="ffffff" w:val="clear"/>
        <w:spacing w:after="240" w:before="120" w:lineRule="auto"/>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Кожен кримськотатарський танець - це відображення самобутності, традицій і звичаїв  народу, тому глядачі завжди з цікавістю спостерігають  за виконанням танцю. Якщо звернутися до витоків зародження фольклорного танцю, то можна виявити той факт, що раніше у кримських татар не було сценічних танців. Насамперед, це пов'язано з тим, що народ зазвичай збирався на будь-яких святкуваннях і просто імпровізував під музику, наприклад, на весіллях,святах . Свята  завжди проходять весело, з живою музикою і танцями. Етнографи описують старовинну традицію: під шапку кращому танцівнику укладали гроші за гарне виконання, які після закінчення заходу віддавалися музикантам. Саме в даному випадку спостерігалася своєрідна професіоналізація танцю як такого, оскільки танцюрист виконував його вже не тільки для себе, але і для глядача. </w:t>
      </w:r>
    </w:p>
    <w:p w:rsidR="00000000" w:rsidDel="00000000" w:rsidP="00000000" w:rsidRDefault="00000000" w:rsidRPr="00000000" w14:paraId="00000009">
      <w:pPr>
        <w:shd w:fill="ffffff" w:val="clear"/>
        <w:spacing w:after="240" w:before="120" w:lineRule="auto"/>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https://youtu.be/f1oARd-nFvs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rPr>
          <w:rFonts w:ascii="Times New Roman" w:cs="Times New Roman" w:eastAsia="Times New Roman" w:hAnsi="Times New Roman"/>
          <w:color w:val="ff0000"/>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https://youtu.be/ShlwaJAALVE</w:t>
        </w:r>
      </w:hyperlink>
      <w:r w:rsidDel="00000000" w:rsidR="00000000" w:rsidRPr="00000000">
        <w:rPr>
          <w:rtl w:val="0"/>
        </w:rPr>
      </w:r>
    </w:p>
    <w:p w:rsidR="00000000" w:rsidDel="00000000" w:rsidP="00000000" w:rsidRDefault="00000000" w:rsidRPr="00000000" w14:paraId="0000000B">
      <w:pPr>
        <w:shd w:fill="ffffff" w:val="clear"/>
        <w:spacing w:after="240" w:before="1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731200" cy="3251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hyperlink" Target="https://youtu.be/ShlwaJAALV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uk.wikipedia.org/wiki/%D0%90%D0%BB%D1%83%D1%88%D1%82%D0%B8%D0%BD%D1%81%D1%8C%D0%BA%D0%B0_%D0%BC%D1%96%D1%81%D1%8C%D0%BA%D0%B0_%D1%80%D0%B0%D0%B4%D0%B0" TargetMode="External"/><Relationship Id="rId8" Type="http://schemas.openxmlformats.org/officeDocument/2006/relationships/hyperlink" Target="https://youtu.be/f1oARd-nFv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