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Group 5 Written Report</w:t>
      </w:r>
      <w:r w:rsidDel="00000000" w:rsidR="00000000" w:rsidRPr="00000000">
        <w:rPr>
          <w:rtl w:val="0"/>
        </w:rPr>
      </w:r>
    </w:p>
    <w:p w:rsidR="00000000" w:rsidDel="00000000" w:rsidP="00000000" w:rsidRDefault="00000000" w:rsidRPr="00000000" w14:paraId="00000002">
      <w:pP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t xml:space="preserve">Our project helps </w:t>
      </w:r>
      <w:r w:rsidDel="00000000" w:rsidR="00000000" w:rsidRPr="00000000">
        <w:rPr>
          <w:b w:val="1"/>
          <w:bCs w:val="1"/>
          <w:rtl w:val="0"/>
        </w:rPr>
        <w:t xml:space="preserve">HR teams</w:t>
      </w:r>
      <w:r w:rsidDel="00000000" w:rsidR="00000000" w:rsidRPr="00000000">
        <w:rPr>
          <w:rtl w:val="0"/>
        </w:rPr>
        <w:t xml:space="preserve"> use Singapore</w:t>
      </w:r>
      <w:r w:rsidDel="00000000" w:rsidR="00000000" w:rsidRPr="00000000">
        <w:rPr>
          <w:b w:val="1"/>
          <w:bCs w:val="1"/>
          <w:rtl w:val="0"/>
        </w:rPr>
        <w:t xml:space="preserve"> IT job</w:t>
      </w:r>
      <w:r w:rsidDel="00000000" w:rsidR="00000000" w:rsidRPr="00000000">
        <w:rPr>
          <w:rtl w:val="0"/>
        </w:rPr>
        <w:t xml:space="preserve"> advertisements to plan salary budgets and hiring priorities. The salary analysis shows that pay differs across position levels, while overlapping salary distributions make job function an important part of a fair comparison.</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Team workstreams</w:t>
      </w:r>
      <w:r w:rsidDel="00000000" w:rsidR="00000000" w:rsidRPr="00000000">
        <w:rPr>
          <w:rtl w:val="0"/>
        </w:rPr>
      </w:r>
    </w:p>
    <w:tbl>
      <w:tblPr>
        <w:tblStyle w:val="Table1"/>
        <w:tblW w:w="9600.0" w:type="dxa"/>
        <w:jc w:val="center"/>
        <w:tblLayout w:type="fixed"/>
        <w:tblLook w:val="0000"/>
      </w:tblPr>
      <w:tblGrid>
        <w:gridCol w:w="2265"/>
        <w:gridCol w:w="1050"/>
        <w:gridCol w:w="2115"/>
        <w:gridCol w:w="2040"/>
        <w:gridCol w:w="2130"/>
        <w:tblGridChange w:id="0">
          <w:tblGrid>
            <w:gridCol w:w="2265"/>
            <w:gridCol w:w="1050"/>
            <w:gridCol w:w="2115"/>
            <w:gridCol w:w="2040"/>
            <w:gridCol w:w="2130"/>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93754" w:val="clear"/>
            <w:tcMar>
              <w:top w:w="85.0" w:type="dxa"/>
              <w:left w:w="85.0" w:type="dxa"/>
              <w:bottom w:w="85.0" w:type="dxa"/>
              <w:right w:w="85.0" w:type="dxa"/>
            </w:tcMar>
            <w:vAlign w:val="center"/>
          </w:tcPr>
          <w:p w:rsidR="00000000" w:rsidDel="00000000" w:rsidP="00000000" w:rsidRDefault="00000000" w:rsidRPr="00000000" w14:paraId="00000004">
            <w:pPr>
              <w:spacing w:after="80" w:before="80" w:line="240" w:lineRule="auto"/>
              <w:jc w:val="center"/>
              <w:rPr/>
            </w:pPr>
            <w:r w:rsidDel="00000000" w:rsidR="00000000" w:rsidRPr="00000000">
              <w:rPr>
                <w:b w:val="1"/>
                <w:bCs w:val="1"/>
                <w:color w:val="ffffff"/>
                <w:sz w:val="19"/>
                <w:szCs w:val="19"/>
                <w:rtl w:val="0"/>
              </w:rPr>
              <w:t xml:space="preserve">Topic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93754" w:val="clear"/>
            <w:tcMar>
              <w:top w:w="85.0" w:type="dxa"/>
              <w:left w:w="85.0" w:type="dxa"/>
              <w:bottom w:w="85.0" w:type="dxa"/>
              <w:right w:w="85.0" w:type="dxa"/>
            </w:tcMar>
            <w:vAlign w:val="center"/>
          </w:tcPr>
          <w:p w:rsidR="00000000" w:rsidDel="00000000" w:rsidP="00000000" w:rsidRDefault="00000000" w:rsidRPr="00000000" w14:paraId="00000005">
            <w:pPr>
              <w:spacing w:after="80" w:before="80" w:line="240" w:lineRule="auto"/>
              <w:jc w:val="center"/>
              <w:rPr/>
            </w:pPr>
            <w:r w:rsidDel="00000000" w:rsidR="00000000" w:rsidRPr="00000000">
              <w:rPr>
                <w:b w:val="1"/>
                <w:bCs w:val="1"/>
                <w:color w:val="ffffff"/>
                <w:sz w:val="19"/>
                <w:szCs w:val="19"/>
                <w:rtl w:val="0"/>
              </w:rPr>
              <w:t xml:space="preserve">Owner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93754" w:val="clear"/>
            <w:tcMar>
              <w:top w:w="85.0" w:type="dxa"/>
              <w:left w:w="85.0" w:type="dxa"/>
              <w:bottom w:w="85.0" w:type="dxa"/>
              <w:right w:w="85.0" w:type="dxa"/>
            </w:tcMar>
            <w:vAlign w:val="center"/>
          </w:tcPr>
          <w:p w:rsidR="00000000" w:rsidDel="00000000" w:rsidP="00000000" w:rsidRDefault="00000000" w:rsidRPr="00000000" w14:paraId="00000006">
            <w:pPr>
              <w:spacing w:after="0" w:line="240" w:lineRule="auto"/>
              <w:jc w:val="center"/>
              <w:rPr>
                <w:b w:val="1"/>
                <w:bCs w:val="1"/>
                <w:color w:val="ffffff"/>
                <w:sz w:val="19"/>
                <w:szCs w:val="19"/>
              </w:rPr>
            </w:pPr>
            <w:r w:rsidDel="00000000" w:rsidR="00000000" w:rsidRPr="00000000">
              <w:rPr>
                <w:b w:val="1"/>
                <w:bCs w:val="1"/>
                <w:color w:val="ffffff"/>
                <w:sz w:val="19"/>
                <w:szCs w:val="19"/>
                <w:rtl w:val="0"/>
              </w:rPr>
              <w:t xml:space="preserve">Data handling notebook</w:t>
            </w:r>
          </w:p>
        </w:tc>
        <w:tc>
          <w:tcPr>
            <w:tcBorders>
              <w:top w:color="d9d9d9" w:space="0" w:sz="4" w:val="single"/>
              <w:left w:color="d9d9d9" w:space="0" w:sz="4" w:val="single"/>
              <w:bottom w:color="d9d9d9" w:space="0" w:sz="4" w:val="single"/>
              <w:right w:color="d9d9d9" w:space="0" w:sz="4" w:val="single"/>
            </w:tcBorders>
            <w:shd w:fill="193754" w:val="clear"/>
            <w:tcMar>
              <w:top w:w="85.0" w:type="dxa"/>
              <w:left w:w="85.0" w:type="dxa"/>
              <w:bottom w:w="85.0" w:type="dxa"/>
              <w:right w:w="85.0" w:type="dxa"/>
            </w:tcMar>
            <w:vAlign w:val="center"/>
          </w:tcPr>
          <w:p w:rsidR="00000000" w:rsidDel="00000000" w:rsidP="00000000" w:rsidRDefault="00000000" w:rsidRPr="00000000" w14:paraId="00000007">
            <w:pPr>
              <w:spacing w:after="0" w:line="240" w:lineRule="auto"/>
              <w:jc w:val="center"/>
              <w:rPr>
                <w:b w:val="1"/>
                <w:bCs w:val="1"/>
                <w:color w:val="ffffff"/>
                <w:sz w:val="19"/>
                <w:szCs w:val="19"/>
              </w:rPr>
            </w:pPr>
            <w:r w:rsidDel="00000000" w:rsidR="00000000" w:rsidRPr="00000000">
              <w:rPr>
                <w:b w:val="1"/>
                <w:bCs w:val="1"/>
                <w:color w:val="ffffff"/>
                <w:sz w:val="19"/>
                <w:szCs w:val="19"/>
                <w:rtl w:val="0"/>
              </w:rPr>
              <w:t xml:space="preserve">Dashboard/app code</w:t>
            </w:r>
          </w:p>
        </w:tc>
        <w:tc>
          <w:tcPr>
            <w:tcBorders>
              <w:top w:color="d9d9d9" w:space="0" w:sz="4" w:val="single"/>
              <w:left w:color="d9d9d9" w:space="0" w:sz="4" w:val="single"/>
              <w:bottom w:color="d9d9d9" w:space="0" w:sz="4" w:val="single"/>
              <w:right w:color="d9d9d9" w:space="0" w:sz="4" w:val="single"/>
            </w:tcBorders>
            <w:shd w:fill="193754" w:val="clear"/>
            <w:tcMar>
              <w:top w:w="85.0" w:type="dxa"/>
              <w:left w:w="85.0" w:type="dxa"/>
              <w:bottom w:w="85.0" w:type="dxa"/>
              <w:right w:w="85.0" w:type="dxa"/>
            </w:tcMar>
            <w:vAlign w:val="center"/>
          </w:tcPr>
          <w:p w:rsidR="00000000" w:rsidDel="00000000" w:rsidP="00000000" w:rsidRDefault="00000000" w:rsidRPr="00000000" w14:paraId="00000008">
            <w:pPr>
              <w:spacing w:after="0" w:line="240" w:lineRule="auto"/>
              <w:jc w:val="center"/>
              <w:rPr>
                <w:b w:val="1"/>
                <w:bCs w:val="1"/>
                <w:color w:val="ffffff"/>
                <w:sz w:val="19"/>
                <w:szCs w:val="19"/>
              </w:rPr>
            </w:pPr>
            <w:r w:rsidDel="00000000" w:rsidR="00000000" w:rsidRPr="00000000">
              <w:rPr>
                <w:b w:val="1"/>
                <w:bCs w:val="1"/>
                <w:color w:val="ffffff"/>
                <w:sz w:val="19"/>
                <w:szCs w:val="19"/>
                <w:rtl w:val="0"/>
              </w:rPr>
              <w:t xml:space="preserve">Dashboard/app </w:t>
            </w:r>
          </w:p>
          <w:p w:rsidR="00000000" w:rsidDel="00000000" w:rsidP="00000000" w:rsidRDefault="00000000" w:rsidRPr="00000000" w14:paraId="00000009">
            <w:pPr>
              <w:spacing w:after="0" w:line="240" w:lineRule="auto"/>
              <w:jc w:val="center"/>
              <w:rPr>
                <w:b w:val="1"/>
                <w:bCs w:val="1"/>
                <w:color w:val="ffffff"/>
                <w:sz w:val="19"/>
                <w:szCs w:val="19"/>
              </w:rPr>
            </w:pPr>
            <w:r w:rsidDel="00000000" w:rsidR="00000000" w:rsidRPr="00000000">
              <w:rPr>
                <w:b w:val="1"/>
                <w:bCs w:val="1"/>
                <w:color w:val="ffffff"/>
                <w:sz w:val="19"/>
                <w:szCs w:val="19"/>
                <w:rtl w:val="0"/>
              </w:rPr>
              <w:t xml:space="preserve">Link</w:t>
            </w:r>
          </w:p>
        </w:tc>
      </w:tr>
      <w:tr>
        <w:trPr>
          <w:cantSplit w:val="1"/>
          <w:trHeight w:val="360" w:hRule="atLeast"/>
          <w:tblHeader w:val="0"/>
        </w:trPr>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0A">
            <w:pPr>
              <w:spacing w:after="80" w:before="80" w:line="240" w:lineRule="auto"/>
              <w:jc w:val="center"/>
              <w:rPr>
                <w:sz w:val="19"/>
                <w:szCs w:val="19"/>
              </w:rPr>
            </w:pPr>
            <w:r w:rsidDel="00000000" w:rsidR="00000000" w:rsidRPr="00000000">
              <w:rPr>
                <w:sz w:val="19"/>
                <w:szCs w:val="19"/>
                <w:rtl w:val="0"/>
              </w:rPr>
              <w:t xml:space="preserve">Written report </w:t>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0B">
            <w:pPr>
              <w:spacing w:after="80" w:before="80" w:line="240" w:lineRule="auto"/>
              <w:jc w:val="center"/>
              <w:rPr>
                <w:sz w:val="19"/>
                <w:szCs w:val="19"/>
              </w:rPr>
            </w:pPr>
            <w:r w:rsidDel="00000000" w:rsidR="00000000" w:rsidRPr="00000000">
              <w:rPr>
                <w:sz w:val="19"/>
                <w:szCs w:val="19"/>
                <w:rtl w:val="0"/>
              </w:rPr>
              <w:t xml:space="preserve">All</w:t>
            </w:r>
          </w:p>
        </w:tc>
        <w:tc>
          <w:tcPr>
            <w:gridSpan w:val="2"/>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0C">
            <w:pPr>
              <w:spacing w:after="80" w:before="80" w:line="240" w:lineRule="auto"/>
              <w:jc w:val="center"/>
              <w:rPr>
                <w:sz w:val="19"/>
                <w:szCs w:val="19"/>
              </w:rPr>
            </w:pPr>
            <w:hyperlink r:id="rId7">
              <w:r w:rsidDel="00000000" w:rsidR="00000000" w:rsidRPr="00000000">
                <w:rPr>
                  <w:color w:val="1155cc"/>
                  <w:sz w:val="19"/>
                  <w:szCs w:val="19"/>
                  <w:u w:val="single"/>
                  <w:rtl w:val="0"/>
                </w:rPr>
                <w:t xml:space="preserve">Group5_Project1_Report </w:t>
              </w:r>
            </w:hyperlink>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0E">
            <w:pPr>
              <w:spacing w:after="80" w:before="80" w:line="240" w:lineRule="auto"/>
              <w:jc w:val="center"/>
              <w:rPr>
                <w:sz w:val="19"/>
                <w:szCs w:val="19"/>
              </w:rPr>
            </w:pPr>
            <w:r w:rsidDel="00000000" w:rsidR="00000000" w:rsidRPr="00000000">
              <w:rPr>
                <w:sz w:val="19"/>
                <w:szCs w:val="19"/>
                <w:rtl w:val="0"/>
              </w:rPr>
              <w:t xml:space="preserve">/</w:t>
            </w:r>
          </w:p>
        </w:tc>
      </w:tr>
      <w:tr>
        <w:trPr>
          <w:cantSplit w:val="1"/>
          <w:trHeight w:val="360" w:hRule="atLeast"/>
          <w:tblHeader w:val="0"/>
        </w:trPr>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0F">
            <w:pPr>
              <w:spacing w:after="80" w:before="80" w:line="240" w:lineRule="auto"/>
              <w:jc w:val="center"/>
              <w:rPr>
                <w:sz w:val="19"/>
                <w:szCs w:val="19"/>
              </w:rPr>
            </w:pPr>
            <w:r w:rsidDel="00000000" w:rsidR="00000000" w:rsidRPr="00000000">
              <w:rPr>
                <w:sz w:val="19"/>
                <w:szCs w:val="19"/>
                <w:rtl w:val="0"/>
              </w:rPr>
              <w:t xml:space="preserve">Presentation Slide</w:t>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10">
            <w:pPr>
              <w:spacing w:after="80" w:before="80" w:line="240" w:lineRule="auto"/>
              <w:jc w:val="center"/>
              <w:rPr>
                <w:sz w:val="19"/>
                <w:szCs w:val="19"/>
              </w:rPr>
            </w:pPr>
            <w:r w:rsidDel="00000000" w:rsidR="00000000" w:rsidRPr="00000000">
              <w:rPr>
                <w:sz w:val="19"/>
                <w:szCs w:val="19"/>
                <w:rtl w:val="0"/>
              </w:rPr>
              <w:t xml:space="preserve">All</w:t>
            </w:r>
          </w:p>
        </w:tc>
        <w:tc>
          <w:tcPr>
            <w:gridSpan w:val="2"/>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11">
            <w:pPr>
              <w:spacing w:after="80" w:before="80" w:line="240" w:lineRule="auto"/>
              <w:jc w:val="center"/>
              <w:rPr>
                <w:sz w:val="19"/>
                <w:szCs w:val="19"/>
              </w:rPr>
            </w:pPr>
            <w:hyperlink r:id="rId8">
              <w:r w:rsidDel="00000000" w:rsidR="00000000" w:rsidRPr="00000000">
                <w:rPr>
                  <w:color w:val="1155cc"/>
                  <w:sz w:val="19"/>
                  <w:szCs w:val="19"/>
                  <w:u w:val="single"/>
                  <w:rtl w:val="0"/>
                </w:rPr>
                <w:t xml:space="preserve">Group5_Project1_Presentation </w:t>
              </w:r>
            </w:hyperlink>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13">
            <w:pPr>
              <w:spacing w:after="80" w:before="80" w:line="240" w:lineRule="auto"/>
              <w:jc w:val="center"/>
              <w:rPr>
                <w:sz w:val="19"/>
                <w:szCs w:val="19"/>
              </w:rPr>
            </w:pPr>
            <w:r w:rsidDel="00000000" w:rsidR="00000000" w:rsidRPr="00000000">
              <w:rPr>
                <w:sz w:val="19"/>
                <w:szCs w:val="19"/>
                <w:rtl w:val="0"/>
              </w:rPr>
              <w:t xml:space="preserve">/</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14">
            <w:pPr>
              <w:spacing w:after="80" w:before="80" w:line="240" w:lineRule="auto"/>
              <w:jc w:val="center"/>
              <w:rPr>
                <w:sz w:val="19"/>
                <w:szCs w:val="19"/>
              </w:rPr>
            </w:pPr>
            <w:r w:rsidDel="00000000" w:rsidR="00000000" w:rsidRPr="00000000">
              <w:rPr>
                <w:sz w:val="19"/>
                <w:szCs w:val="19"/>
                <w:rtl w:val="0"/>
              </w:rPr>
              <w:t xml:space="preserve">Github README</w:t>
            </w:r>
            <w:r w:rsidDel="00000000" w:rsidR="00000000" w:rsidRPr="00000000">
              <w:rPr>
                <w:color w:val="1f2328"/>
                <w:sz w:val="24"/>
                <w:szCs w:val="24"/>
                <w:highlight w:val="white"/>
                <w:rtl w:val="0"/>
              </w:rPr>
              <w:t xml:space="preserve">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15">
            <w:pPr>
              <w:spacing w:after="80" w:before="80" w:line="240" w:lineRule="auto"/>
              <w:jc w:val="center"/>
              <w:rPr>
                <w:sz w:val="19"/>
                <w:szCs w:val="19"/>
              </w:rPr>
            </w:pPr>
            <w:r w:rsidDel="00000000" w:rsidR="00000000" w:rsidRPr="00000000">
              <w:rPr>
                <w:sz w:val="19"/>
                <w:szCs w:val="19"/>
                <w:rtl w:val="0"/>
              </w:rPr>
              <w:t xml:space="preserve">All</w:t>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16">
            <w:pPr>
              <w:spacing w:after="80" w:before="80" w:line="240" w:lineRule="auto"/>
              <w:jc w:val="center"/>
              <w:rPr>
                <w:sz w:val="19"/>
                <w:szCs w:val="19"/>
              </w:rPr>
            </w:pPr>
            <w:hyperlink r:id="rId9">
              <w:r w:rsidDel="00000000" w:rsidR="00000000" w:rsidRPr="00000000">
                <w:rPr>
                  <w:color w:val="1155cc"/>
                  <w:sz w:val="18"/>
                  <w:szCs w:val="18"/>
                  <w:u w:val="single"/>
                  <w:rtl w:val="0"/>
                </w:rPr>
                <w:t xml:space="preserve">README</w:t>
              </w:r>
            </w:hyperlink>
            <w:hyperlink r:id="rId10">
              <w:r w:rsidDel="00000000" w:rsidR="00000000" w:rsidRPr="00000000">
                <w:rPr>
                  <w:color w:val="1155cc"/>
                  <w:sz w:val="18"/>
                  <w:szCs w:val="18"/>
                  <w:u w:val="single"/>
                  <w:rtl w:val="0"/>
                </w:rPr>
                <w:t xml:space="preserve"> </w:t>
              </w:r>
            </w:hyperlink>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17">
            <w:pPr>
              <w:spacing w:after="80" w:before="80" w:line="240" w:lineRule="auto"/>
              <w:jc w:val="center"/>
              <w:rPr>
                <w:sz w:val="19"/>
                <w:szCs w:val="19"/>
              </w:rPr>
            </w:pPr>
            <w:r w:rsidDel="00000000" w:rsidR="00000000" w:rsidRPr="00000000">
              <w:rPr>
                <w:sz w:val="19"/>
                <w:szCs w:val="19"/>
                <w:rtl w:val="0"/>
              </w:rPr>
              <w:t xml:space="preserve">/</w:t>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18">
            <w:pPr>
              <w:spacing w:after="80" w:before="80" w:line="240" w:lineRule="auto"/>
              <w:jc w:val="center"/>
              <w:rPr>
                <w:sz w:val="19"/>
                <w:szCs w:val="19"/>
              </w:rPr>
            </w:pPr>
            <w:r w:rsidDel="00000000" w:rsidR="00000000" w:rsidRPr="00000000">
              <w:rPr>
                <w:sz w:val="19"/>
                <w:szCs w:val="19"/>
                <w:rtl w:val="0"/>
              </w:rPr>
              <w:t xml:space="preserve">/</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19">
            <w:pPr>
              <w:spacing w:after="80" w:before="80" w:line="240" w:lineRule="auto"/>
              <w:jc w:val="center"/>
              <w:rPr>
                <w:sz w:val="19"/>
                <w:szCs w:val="19"/>
              </w:rPr>
            </w:pPr>
            <w:r w:rsidDel="00000000" w:rsidR="00000000" w:rsidRPr="00000000">
              <w:rPr>
                <w:sz w:val="19"/>
                <w:szCs w:val="19"/>
                <w:rtl w:val="0"/>
              </w:rPr>
              <w:t xml:space="preserve">Cleaned_Master_Dataset</w:t>
            </w:r>
            <w:r w:rsidDel="00000000" w:rsidR="00000000" w:rsidRPr="00000000">
              <w:rPr>
                <w:sz w:val="19"/>
                <w:szCs w:val="19"/>
                <w:rtl w:val="0"/>
              </w:rPr>
              <w:t xml:space="preserve"> </w:t>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1A">
            <w:pPr>
              <w:spacing w:after="80" w:before="80" w:line="240" w:lineRule="auto"/>
              <w:jc w:val="center"/>
              <w:rPr>
                <w:sz w:val="19"/>
                <w:szCs w:val="19"/>
              </w:rPr>
            </w:pPr>
            <w:r w:rsidDel="00000000" w:rsidR="00000000" w:rsidRPr="00000000">
              <w:rPr>
                <w:sz w:val="19"/>
                <w:szCs w:val="19"/>
                <w:rtl w:val="0"/>
              </w:rPr>
              <w:t xml:space="preserve">All</w:t>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1B">
            <w:pPr>
              <w:spacing w:after="80" w:before="80" w:line="240" w:lineRule="auto"/>
              <w:jc w:val="center"/>
              <w:rPr>
                <w:sz w:val="18"/>
                <w:szCs w:val="18"/>
              </w:rPr>
            </w:pPr>
            <w:hyperlink r:id="rId11">
              <w:r w:rsidDel="00000000" w:rsidR="00000000" w:rsidRPr="00000000">
                <w:rPr>
                  <w:color w:val="1155cc"/>
                  <w:sz w:val="18"/>
                  <w:szCs w:val="18"/>
                  <w:u w:val="single"/>
                  <w:rtl w:val="0"/>
                </w:rPr>
                <w:t xml:space="preserve">Team_Data_Cleaning_Final.ipynb</w:t>
              </w:r>
            </w:hyperlink>
            <w:r w:rsidDel="00000000" w:rsidR="00000000" w:rsidRPr="00000000">
              <w:rPr>
                <w:sz w:val="18"/>
                <w:szCs w:val="18"/>
                <w:rtl w:val="0"/>
              </w:rPr>
              <w:br w:type="textWrapping"/>
              <w:br w:type="textWrapping"/>
            </w:r>
            <w:hyperlink r:id="rId12">
              <w:r w:rsidDel="00000000" w:rsidR="00000000" w:rsidRPr="00000000">
                <w:rPr>
                  <w:color w:val="1155cc"/>
                  <w:sz w:val="18"/>
                  <w:szCs w:val="18"/>
                  <w:u w:val="single"/>
                  <w:rtl w:val="0"/>
                </w:rPr>
                <w:t xml:space="preserve">Jobs_clean.csv</w:t>
              </w:r>
            </w:hyperlink>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1C">
            <w:pPr>
              <w:spacing w:after="80" w:before="80" w:line="240" w:lineRule="auto"/>
              <w:jc w:val="center"/>
              <w:rPr>
                <w:sz w:val="19"/>
                <w:szCs w:val="19"/>
              </w:rPr>
            </w:pPr>
            <w:r w:rsidDel="00000000" w:rsidR="00000000" w:rsidRPr="00000000">
              <w:rPr>
                <w:sz w:val="19"/>
                <w:szCs w:val="19"/>
                <w:rtl w:val="0"/>
              </w:rPr>
              <w:t xml:space="preserve">/</w:t>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1D">
            <w:pPr>
              <w:spacing w:after="80" w:before="80" w:line="240" w:lineRule="auto"/>
              <w:jc w:val="center"/>
              <w:rPr>
                <w:sz w:val="19"/>
                <w:szCs w:val="19"/>
              </w:rPr>
            </w:pPr>
            <w:r w:rsidDel="00000000" w:rsidR="00000000" w:rsidRPr="00000000">
              <w:rPr>
                <w:sz w:val="19"/>
                <w:szCs w:val="19"/>
                <w:rtl w:val="0"/>
              </w:rPr>
              <w:t xml:space="preserve">/</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1E">
            <w:pPr>
              <w:spacing w:after="80" w:before="80" w:line="240" w:lineRule="auto"/>
              <w:jc w:val="center"/>
              <w:rPr/>
            </w:pPr>
            <w:r w:rsidDel="00000000" w:rsidR="00000000" w:rsidRPr="00000000">
              <w:rPr>
                <w:sz w:val="19"/>
                <w:szCs w:val="19"/>
                <w:rtl w:val="0"/>
              </w:rPr>
              <w:t xml:space="preserve">Case1: Salary benchmark by seniority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1F">
            <w:pPr>
              <w:spacing w:after="80" w:before="80" w:line="240" w:lineRule="auto"/>
              <w:jc w:val="center"/>
              <w:rPr/>
            </w:pPr>
            <w:r w:rsidDel="00000000" w:rsidR="00000000" w:rsidRPr="00000000">
              <w:rPr>
                <w:sz w:val="19"/>
                <w:szCs w:val="19"/>
                <w:rtl w:val="0"/>
              </w:rPr>
              <w:t xml:space="preserve">Rachelle Congrui Liu (C)</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20">
            <w:pPr>
              <w:spacing w:after="80" w:before="80" w:line="240" w:lineRule="auto"/>
              <w:jc w:val="center"/>
              <w:rPr>
                <w:sz w:val="19"/>
                <w:szCs w:val="19"/>
              </w:rPr>
            </w:pPr>
            <w:hyperlink r:id="rId13">
              <w:r w:rsidDel="00000000" w:rsidR="00000000" w:rsidRPr="00000000">
                <w:rPr>
                  <w:color w:val="1155cc"/>
                  <w:sz w:val="19"/>
                  <w:szCs w:val="19"/>
                  <w:u w:val="single"/>
                  <w:rtl w:val="0"/>
                </w:rPr>
                <w:t xml:space="preserve">Rachelle_salarycase_by_position_level.ipynb</w:t>
              </w:r>
            </w:hyperlink>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21">
            <w:pPr>
              <w:spacing w:after="80" w:before="80" w:line="240" w:lineRule="auto"/>
              <w:jc w:val="center"/>
              <w:rPr>
                <w:sz w:val="19"/>
                <w:szCs w:val="19"/>
              </w:rPr>
            </w:pPr>
            <w:hyperlink r:id="rId14">
              <w:r w:rsidDel="00000000" w:rsidR="00000000" w:rsidRPr="00000000">
                <w:rPr>
                  <w:color w:val="1155cc"/>
                  <w:sz w:val="19"/>
                  <w:szCs w:val="19"/>
                  <w:u w:val="single"/>
                  <w:rtl w:val="0"/>
                </w:rPr>
                <w:t xml:space="preserve">Rachelle Streamlit _salarycase_by_position_level.py</w:t>
              </w:r>
            </w:hyperlink>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22">
            <w:pPr>
              <w:spacing w:after="80" w:before="80" w:line="240" w:lineRule="auto"/>
              <w:jc w:val="center"/>
              <w:rPr>
                <w:color w:val="1155cc"/>
                <w:sz w:val="19"/>
                <w:szCs w:val="19"/>
                <w:u w:val="single"/>
              </w:rPr>
            </w:pPr>
            <w:hyperlink r:id="rId15">
              <w:r w:rsidDel="00000000" w:rsidR="00000000" w:rsidRPr="00000000">
                <w:rPr>
                  <w:color w:val="1155cc"/>
                  <w:sz w:val="19"/>
                  <w:szCs w:val="19"/>
                  <w:u w:val="single"/>
                  <w:rtl w:val="0"/>
                </w:rPr>
                <w:t xml:space="preserve">https://group5-singapore-it-salary.streamlit.app/#salary-benchmark-by-position-level</w:t>
              </w:r>
            </w:hyperlink>
            <w:r w:rsidDel="00000000" w:rsidR="00000000" w:rsidRPr="00000000">
              <w:rPr>
                <w:rtl w:val="0"/>
              </w:rPr>
            </w:r>
          </w:p>
        </w:tc>
      </w:tr>
      <w:tr>
        <w:trPr>
          <w:cantSplit w:val="1"/>
          <w:trHeight w:val="360" w:hRule="atLeast"/>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23">
            <w:pPr>
              <w:spacing w:after="80" w:before="80" w:line="240" w:lineRule="auto"/>
              <w:jc w:val="center"/>
              <w:rPr/>
            </w:pPr>
            <w:r w:rsidDel="00000000" w:rsidR="00000000" w:rsidRPr="00000000">
              <w:rPr>
                <w:sz w:val="19"/>
                <w:szCs w:val="19"/>
                <w:rtl w:val="0"/>
              </w:rPr>
              <w:t xml:space="preserve">Case2: Experience premium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24">
            <w:pPr>
              <w:spacing w:after="80" w:before="80" w:line="240" w:lineRule="auto"/>
              <w:jc w:val="center"/>
              <w:rPr/>
            </w:pPr>
            <w:r w:rsidDel="00000000" w:rsidR="00000000" w:rsidRPr="00000000">
              <w:rPr>
                <w:sz w:val="19"/>
                <w:szCs w:val="19"/>
                <w:rtl w:val="0"/>
              </w:rPr>
              <w:t xml:space="preserve">Jen Ho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25">
            <w:pPr>
              <w:spacing w:after="0" w:line="240" w:lineRule="auto"/>
              <w:ind w:left="0" w:firstLine="0"/>
              <w:rPr>
                <w:sz w:val="19"/>
                <w:szCs w:val="19"/>
              </w:rPr>
            </w:pPr>
            <w:r w:rsidDel="00000000" w:rsidR="00000000" w:rsidRPr="00000000">
              <w:rPr>
                <w:color w:val="1f2328"/>
                <w:sz w:val="24"/>
                <w:szCs w:val="24"/>
                <w:rtl w:val="0"/>
              </w:rPr>
              <w:t xml:space="preserve">     </w:t>
            </w:r>
            <w:hyperlink r:id="rId16">
              <w:r w:rsidDel="00000000" w:rsidR="00000000" w:rsidRPr="00000000">
                <w:rPr>
                  <w:color w:val="1155cc"/>
                  <w:sz w:val="24"/>
                  <w:szCs w:val="24"/>
                  <w:u w:val="single"/>
                  <w:rtl w:val="0"/>
                </w:rPr>
                <w:t xml:space="preserve"> </w:t>
              </w:r>
            </w:hyperlink>
            <w:hyperlink r:id="rId17">
              <w:r w:rsidDel="00000000" w:rsidR="00000000" w:rsidRPr="00000000">
                <w:rPr>
                  <w:color w:val="1155cc"/>
                  <w:sz w:val="19"/>
                  <w:szCs w:val="19"/>
                  <w:u w:val="single"/>
                  <w:rtl w:val="0"/>
                </w:rPr>
                <w:t xml:space="preserve">JCFileAnaysis.ipynb</w:t>
              </w:r>
            </w:hyperlink>
            <w:r w:rsidDel="00000000" w:rsidR="00000000" w:rsidRPr="00000000">
              <w:rPr>
                <w:rtl w:val="0"/>
              </w:rPr>
            </w:r>
          </w:p>
          <w:p w:rsidR="00000000" w:rsidDel="00000000" w:rsidP="00000000" w:rsidRDefault="00000000" w:rsidRPr="00000000" w14:paraId="00000026">
            <w:pPr>
              <w:spacing w:after="0" w:line="240" w:lineRule="auto"/>
              <w:ind w:left="720" w:firstLine="0"/>
              <w:jc w:val="left"/>
              <w:rPr>
                <w:color w:val="1155cc"/>
                <w:sz w:val="19"/>
                <w:szCs w:val="19"/>
                <w:u w:val="single"/>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27">
            <w:pPr>
              <w:spacing w:after="80" w:before="80" w:line="240" w:lineRule="auto"/>
              <w:jc w:val="center"/>
              <w:rPr>
                <w:sz w:val="19"/>
                <w:szCs w:val="19"/>
              </w:rPr>
            </w:pPr>
            <w:hyperlink r:id="rId18">
              <w:r w:rsidDel="00000000" w:rsidR="00000000" w:rsidRPr="00000000">
                <w:rPr>
                  <w:color w:val="1155cc"/>
                  <w:sz w:val="19"/>
                  <w:szCs w:val="19"/>
                  <w:u w:val="single"/>
                  <w:rtl w:val="0"/>
                </w:rPr>
                <w:t xml:space="preserve">JC_Streamlit.py</w:t>
              </w:r>
            </w:hyperlink>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28">
            <w:pPr>
              <w:spacing w:after="0" w:before="0" w:line="240" w:lineRule="auto"/>
              <w:ind w:left="0" w:firstLine="0"/>
              <w:jc w:val="center"/>
              <w:rPr>
                <w:sz w:val="19"/>
                <w:szCs w:val="19"/>
              </w:rPr>
            </w:pPr>
            <w:r w:rsidDel="00000000" w:rsidR="00000000" w:rsidRPr="00000000">
              <w:rPr>
                <w:sz w:val="19"/>
                <w:szCs w:val="19"/>
                <w:rtl w:val="0"/>
              </w:rPr>
              <w:t xml:space="preserve">On localhost and Power BI</w:t>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29">
            <w:pPr>
              <w:spacing w:after="80" w:before="80" w:line="240" w:lineRule="auto"/>
              <w:jc w:val="center"/>
              <w:rPr/>
            </w:pPr>
            <w:r w:rsidDel="00000000" w:rsidR="00000000" w:rsidRPr="00000000">
              <w:rPr>
                <w:sz w:val="19"/>
                <w:szCs w:val="19"/>
                <w:rtl w:val="0"/>
              </w:rPr>
              <w:t xml:space="preserve">Case3: Contract vs permanent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2A">
            <w:pPr>
              <w:spacing w:after="80" w:before="80" w:line="240" w:lineRule="auto"/>
              <w:jc w:val="center"/>
              <w:rPr/>
            </w:pPr>
            <w:r w:rsidDel="00000000" w:rsidR="00000000" w:rsidRPr="00000000">
              <w:rPr>
                <w:sz w:val="19"/>
                <w:szCs w:val="19"/>
                <w:rtl w:val="0"/>
              </w:rPr>
              <w:t xml:space="preserve">Wong Siew Yin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color w:val="1155cc"/>
                <w:sz w:val="19"/>
                <w:szCs w:val="19"/>
                <w:u w:val="single"/>
              </w:rPr>
            </w:pPr>
            <w:hyperlink r:id="rId19">
              <w:r w:rsidDel="00000000" w:rsidR="00000000" w:rsidRPr="00000000">
                <w:rPr>
                  <w:color w:val="1155cc"/>
                  <w:sz w:val="19"/>
                  <w:szCs w:val="19"/>
                  <w:u w:val="single"/>
                  <w:rtl w:val="0"/>
                </w:rPr>
                <w:t xml:space="preserve">SY_Bus_Qn_data_analysis_.ipynb</w:t>
              </w:r>
            </w:hyperlink>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color w:val="1155cc"/>
                <w:sz w:val="19"/>
                <w:szCs w:val="19"/>
                <w:u w:val="single"/>
              </w:rPr>
            </w:pPr>
            <w:hyperlink r:id="rId20">
              <w:r w:rsidDel="00000000" w:rsidR="00000000" w:rsidRPr="00000000">
                <w:rPr>
                  <w:color w:val="1155cc"/>
                  <w:sz w:val="19"/>
                  <w:szCs w:val="19"/>
                  <w:u w:val="single"/>
                  <w:rtl w:val="0"/>
                </w:rPr>
                <w:t xml:space="preserve">streamlit_dashboard.py</w:t>
              </w:r>
            </w:hyperlink>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2D">
            <w:pPr>
              <w:spacing w:after="80" w:before="80" w:line="240" w:lineRule="auto"/>
              <w:jc w:val="center"/>
              <w:rPr>
                <w:color w:val="1155cc"/>
                <w:sz w:val="19"/>
                <w:szCs w:val="19"/>
                <w:u w:val="single"/>
              </w:rPr>
            </w:pPr>
            <w:hyperlink r:id="rId21">
              <w:r w:rsidDel="00000000" w:rsidR="00000000" w:rsidRPr="00000000">
                <w:rPr>
                  <w:color w:val="1155cc"/>
                  <w:sz w:val="19"/>
                  <w:szCs w:val="19"/>
                  <w:u w:val="single"/>
                  <w:rtl w:val="0"/>
                </w:rPr>
                <w:t xml:space="preserve">https://group5-singapore-it-salary-sy-qn3.streamlit.app/</w:t>
              </w:r>
            </w:hyperlink>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2E">
            <w:pPr>
              <w:spacing w:after="80" w:before="80" w:line="240" w:lineRule="auto"/>
              <w:jc w:val="center"/>
              <w:rPr/>
            </w:pPr>
            <w:r w:rsidDel="00000000" w:rsidR="00000000" w:rsidRPr="00000000">
              <w:rPr>
                <w:sz w:val="19"/>
                <w:szCs w:val="19"/>
                <w:rtl w:val="0"/>
              </w:rPr>
              <w:t xml:space="preserve">Case4: Which IT job categories are high demand and hard to fill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2F">
            <w:pPr>
              <w:spacing w:after="80" w:before="80" w:line="240" w:lineRule="auto"/>
              <w:jc w:val="center"/>
              <w:rPr/>
            </w:pPr>
            <w:r w:rsidDel="00000000" w:rsidR="00000000" w:rsidRPr="00000000">
              <w:rPr>
                <w:sz w:val="19"/>
                <w:szCs w:val="19"/>
                <w:rtl w:val="0"/>
              </w:rPr>
              <w:t xml:space="preserve">Adelene Soh Puay Siam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color w:val="1155cc"/>
                <w:sz w:val="19"/>
                <w:szCs w:val="19"/>
                <w:u w:val="single"/>
              </w:rPr>
            </w:pPr>
            <w:hyperlink r:id="rId22">
              <w:r w:rsidDel="00000000" w:rsidR="00000000" w:rsidRPr="00000000">
                <w:rPr>
                  <w:color w:val="1155cc"/>
                  <w:sz w:val="19"/>
                  <w:szCs w:val="19"/>
                  <w:u w:val="single"/>
                  <w:rtl w:val="0"/>
                </w:rPr>
                <w:t xml:space="preserve">Notebook4.ipynb</w:t>
              </w:r>
            </w:hyperlink>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color w:val="1155cc"/>
                <w:sz w:val="19"/>
                <w:szCs w:val="19"/>
                <w:u w:val="single"/>
              </w:rPr>
            </w:pPr>
            <w:hyperlink r:id="rId23">
              <w:r w:rsidDel="00000000" w:rsidR="00000000" w:rsidRPr="00000000">
                <w:rPr>
                  <w:color w:val="1155cc"/>
                  <w:sz w:val="19"/>
                  <w:szCs w:val="19"/>
                  <w:u w:val="single"/>
                  <w:rtl w:val="0"/>
                </w:rPr>
                <w:t xml:space="preserve">hard_to_fill_dashboard.py</w:t>
              </w:r>
            </w:hyperlink>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color w:val="1155cc"/>
                <w:sz w:val="19"/>
                <w:szCs w:val="19"/>
                <w:u w:val="single"/>
              </w:rPr>
            </w:pPr>
            <w:hyperlink r:id="rId24">
              <w:r w:rsidDel="00000000" w:rsidR="00000000" w:rsidRPr="00000000">
                <w:rPr>
                  <w:color w:val="1155cc"/>
                  <w:sz w:val="19"/>
                  <w:szCs w:val="19"/>
                  <w:u w:val="single"/>
                  <w:rtl w:val="0"/>
                </w:rPr>
                <w:t xml:space="preserve">https://group5-singapore-it-salary-sy-qn4.streamlit.app/</w:t>
              </w:r>
            </w:hyperlink>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heading=h.qngccegfpx9j" w:id="0"/>
      <w:bookmarkEnd w:id="0"/>
      <w:r w:rsidDel="00000000" w:rsidR="00000000" w:rsidRPr="00000000">
        <w:rPr>
          <w:rtl w:val="0"/>
        </w:rPr>
        <w:t xml:space="preserve">1.Business Case</w:t>
      </w:r>
    </w:p>
    <w:p w:rsidR="00000000" w:rsidDel="00000000" w:rsidP="00000000" w:rsidRDefault="00000000" w:rsidRPr="00000000" w14:paraId="00000035">
      <w:pPr>
        <w:numPr>
          <w:ilvl w:val="0"/>
          <w:numId w:val="7"/>
        </w:numPr>
        <w:spacing w:after="0" w:lineRule="auto"/>
        <w:ind w:left="360"/>
      </w:pPr>
      <w:r w:rsidDel="00000000" w:rsidR="00000000" w:rsidRPr="00000000">
        <w:rPr>
          <w:b w:val="1"/>
          <w:bCs w:val="1"/>
          <w:rtl w:val="0"/>
        </w:rPr>
        <w:t xml:space="preserve">Business scenario. </w:t>
      </w:r>
      <w:r w:rsidDel="00000000" w:rsidR="00000000" w:rsidRPr="00000000">
        <w:rPr>
          <w:rtl w:val="0"/>
        </w:rPr>
        <w:t xml:space="preserve">Talent Acquisition and Compensation and Benefits teams must compete for IT talent within limited hiring budgets. They need a consistent reference for reviewing offers and role requirements.</w:t>
      </w:r>
    </w:p>
    <w:p w:rsidR="00000000" w:rsidDel="00000000" w:rsidP="00000000" w:rsidRDefault="00000000" w:rsidRPr="00000000" w14:paraId="00000036">
      <w:pPr>
        <w:numPr>
          <w:ilvl w:val="0"/>
          <w:numId w:val="7"/>
        </w:numPr>
        <w:spacing w:after="0" w:lineRule="auto"/>
        <w:ind w:left="360"/>
      </w:pPr>
      <w:r w:rsidDel="00000000" w:rsidR="00000000" w:rsidRPr="00000000">
        <w:rPr>
          <w:b w:val="1"/>
          <w:bCs w:val="1"/>
          <w:rtl w:val="0"/>
        </w:rPr>
        <w:t xml:space="preserve">Objective. </w:t>
      </w:r>
      <w:r w:rsidDel="00000000" w:rsidR="00000000" w:rsidRPr="00000000">
        <w:rPr>
          <w:rtl w:val="0"/>
        </w:rPr>
        <w:t xml:space="preserve">Benchmark advertised salary by seniority, examine experience premiums, compare contract and permanent hiring patterns, </w:t>
      </w:r>
      <w:r w:rsidDel="00000000" w:rsidR="00000000" w:rsidRPr="00000000">
        <w:rPr>
          <w:color w:val="1f2328"/>
          <w:rtl w:val="0"/>
        </w:rPr>
        <w:t xml:space="preserve">and identify technology specialisms that are in high demand and hard to fill.</w:t>
      </w:r>
      <w:r w:rsidDel="00000000" w:rsidR="00000000" w:rsidRPr="00000000">
        <w:rPr>
          <w:rtl w:val="0"/>
        </w:rPr>
      </w:r>
    </w:p>
    <w:p w:rsidR="00000000" w:rsidDel="00000000" w:rsidP="00000000" w:rsidRDefault="00000000" w:rsidRPr="00000000" w14:paraId="00000037">
      <w:pPr>
        <w:numPr>
          <w:ilvl w:val="0"/>
          <w:numId w:val="7"/>
        </w:numPr>
        <w:ind w:left="360"/>
      </w:pPr>
      <w:r w:rsidDel="00000000" w:rsidR="00000000" w:rsidRPr="00000000">
        <w:rPr>
          <w:b w:val="1"/>
          <w:bCs w:val="1"/>
          <w:rtl w:val="0"/>
        </w:rPr>
        <w:t xml:space="preserve">Target users and value. </w:t>
      </w:r>
      <w:r w:rsidDel="00000000" w:rsidR="00000000" w:rsidRPr="00000000">
        <w:rPr>
          <w:rtl w:val="0"/>
        </w:rPr>
        <w:t xml:space="preserve">Heads of Talent Acquisition, Compensation and Benefits leads and hiring managers can use the findings to review salary bands, calibrate experience requirements, consider employment mix and prioritise recruitment effort.</w:t>
      </w:r>
    </w:p>
    <w:p w:rsidR="00000000" w:rsidDel="00000000" w:rsidP="00000000" w:rsidRDefault="00000000" w:rsidRPr="00000000" w14:paraId="00000038">
      <w:pPr>
        <w:rPr/>
      </w:pPr>
      <w:r w:rsidDel="00000000" w:rsidR="00000000" w:rsidRPr="00000000">
        <w:rPr>
          <w:rtl w:val="0"/>
        </w:rPr>
        <w:t xml:space="preserve">Success means that an HR user can select a relevant comparison group and explain a hiring decision using salary evidence and posting counts. The dashboard supports judgement; it does not establish actual employee pay or the availability of candidates.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2. Data Handling and Process</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64" w:lineRule="auto"/>
        <w:ind w:left="425" w:right="0" w:hanging="425"/>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Load and inspect.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Python and Pandas load the full 1,048,585-row CSV. We inspect schema, missing values, numeric summaries, salary periods and duplicate job IDs. The final analysis uses the full selected dataset, not a sample.</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64" w:lineRule="auto"/>
        <w:ind w:left="425" w:right="0" w:hanging="425"/>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Clean the source.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Remove 3,988 structurally empty records and the entirely missing occupationId column. Preserve raw salary fields, standardise whitespace and convert numeric values and dates. Duplicate checks require no additional row removal.</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64" w:lineRule="auto"/>
        <w:ind w:left="425" w:right="0" w:hanging="425"/>
        <w:jc w:val="left"/>
        <w:rPr/>
      </w:pPr>
      <w:bookmarkStart w:colFirst="0" w:colLast="0" w:name="_heading=h.vjqp1rtenntm" w:id="1"/>
      <w:bookmarkEnd w:id="1"/>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Define the population </w:t>
      </w:r>
      <w:r w:rsidDel="00000000" w:rsidR="00000000" w:rsidRPr="00000000">
        <w:rPr>
          <w:b w:val="1"/>
          <w:bCs w:val="1"/>
          <w:rtl w:val="0"/>
        </w:rPr>
        <w:t xml:space="preserve">to s</w:t>
      </w:r>
      <w:r w:rsidDel="00000000" w:rsidR="00000000" w:rsidRPr="00000000">
        <w:rPr>
          <w:b w:val="1"/>
          <w:bCs w:val="1"/>
          <w:rtl w:val="0"/>
        </w:rPr>
        <w:t xml:space="preserve">elect source-labelled IT jobs.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Parse the category JSON arrays and retain postings carrying the source Information Technology tag. This leaves 140,866 unique postings. Keep a separate job-to-category table because one posting can have multiple source categories.</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64" w:lineRule="auto"/>
        <w:ind w:left="425" w:right="0" w:hanging="425"/>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Engineer comparison fields.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Calculate midpoint = (minimum + maximum) / 2, band width = maximum - minimum, and posting month. First-match title keywords assign seven inferred IT job functions, including Other IT, across nine position levels.</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64" w:lineRule="auto"/>
        <w:ind w:left="425" w:right="0" w:hanging="425"/>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Validate salary.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 Monthly pay, both bounds present, minimum &gt; 0 and maximum &gt;= minimum. All 140,866 IT records pass. Original posting dates span 6 October 2022 to 29 May 2024; the benchmark describes historical advertisements.</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64" w:lineRule="auto"/>
        <w:ind w:left="425" w:right="0" w:hanging="425"/>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Screen unusual values.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Within IT function x position level, groups of at least five valid records use inclusive bounds Q1 - 1.5 x IQR to Q3 + 1.5 x IQR, where IQR = Q3 - Q1. Additional team rules require minimum &gt;= SGD 1,000, maximum &lt;= SGD 25,000, width &lt;= SGD 10,000 and maximum/minimum &lt;= 3. </w:t>
      </w:r>
      <w:r w:rsidDel="00000000" w:rsidR="00000000" w:rsidRPr="00000000">
        <w:rPr>
          <w:rtl w:val="0"/>
        </w:rPr>
        <w:t xml:space="preserve">These thresholds were chosen to identify extreme or potentially miscoded salary records:</w:t>
      </w:r>
    </w:p>
    <w:p w:rsidR="00000000" w:rsidDel="00000000" w:rsidP="00000000" w:rsidRDefault="00000000" w:rsidRPr="00000000" w14:paraId="00000041">
      <w:pPr>
        <w:numPr>
          <w:ilvl w:val="0"/>
          <w:numId w:val="1"/>
        </w:numPr>
        <w:spacing w:after="0" w:lineRule="auto"/>
        <w:ind w:left="720" w:hanging="360"/>
        <w:rPr>
          <w:u w:val="none"/>
        </w:rPr>
      </w:pPr>
      <w:sdt>
        <w:sdtPr>
          <w:id w:val="1417181540"/>
          <w:tag w:val="goog_rdk_0"/>
        </w:sdtPr>
        <w:sdtContent>
          <w:r w:rsidDel="00000000" w:rsidR="00000000" w:rsidRPr="00000000">
            <w:rPr>
              <w:rFonts w:ascii="Arial Unicode MS" w:cs="Arial Unicode MS" w:eastAsia="Arial Unicode MS" w:hAnsi="Arial Unicode MS"/>
              <w:rtl w:val="0"/>
            </w:rPr>
            <w:t xml:space="preserve">Minimum ≥ SGD 1,000: excludes the lowest approximately 1% of reported salaries.</w:t>
          </w:r>
        </w:sdtContent>
      </w:sdt>
    </w:p>
    <w:p w:rsidR="00000000" w:rsidDel="00000000" w:rsidP="00000000" w:rsidRDefault="00000000" w:rsidRPr="00000000" w14:paraId="00000042">
      <w:pPr>
        <w:numPr>
          <w:ilvl w:val="0"/>
          <w:numId w:val="1"/>
        </w:numPr>
        <w:spacing w:after="0" w:lineRule="auto"/>
        <w:ind w:left="720" w:hanging="360"/>
        <w:rPr>
          <w:u w:val="none"/>
        </w:rPr>
      </w:pPr>
      <w:sdt>
        <w:sdtPr>
          <w:id w:val="598741730"/>
          <w:tag w:val="goog_rdk_1"/>
        </w:sdtPr>
        <w:sdtContent>
          <w:r w:rsidDel="00000000" w:rsidR="00000000" w:rsidRPr="00000000">
            <w:rPr>
              <w:rFonts w:ascii="Arial Unicode MS" w:cs="Arial Unicode MS" w:eastAsia="Arial Unicode MS" w:hAnsi="Arial Unicode MS"/>
              <w:rtl w:val="0"/>
            </w:rPr>
            <w:t xml:space="preserve">Maximum ≤ SGD 25,000: retains approximately 99% of salary maximums while screening unusually high values.</w:t>
          </w:r>
        </w:sdtContent>
      </w:sdt>
    </w:p>
    <w:p w:rsidR="00000000" w:rsidDel="00000000" w:rsidP="00000000" w:rsidRDefault="00000000" w:rsidRPr="00000000" w14:paraId="00000043">
      <w:pPr>
        <w:numPr>
          <w:ilvl w:val="0"/>
          <w:numId w:val="1"/>
        </w:numPr>
        <w:spacing w:after="0" w:lineRule="auto"/>
        <w:ind w:left="720" w:hanging="360"/>
        <w:rPr>
          <w:u w:val="none"/>
        </w:rPr>
      </w:pPr>
      <w:sdt>
        <w:sdtPr>
          <w:id w:val="908416153"/>
          <w:tag w:val="goog_rdk_2"/>
        </w:sdtPr>
        <w:sdtContent>
          <w:r w:rsidDel="00000000" w:rsidR="00000000" w:rsidRPr="00000000">
            <w:rPr>
              <w:rFonts w:ascii="Arial Unicode MS" w:cs="Arial Unicode MS" w:eastAsia="Arial Unicode MS" w:hAnsi="Arial Unicode MS"/>
              <w:rtl w:val="0"/>
            </w:rPr>
            <w:t xml:space="preserve">Width ≤ SGD 10,000: removes excessively broad salary ranges.</w:t>
          </w:r>
        </w:sdtContent>
      </w:sdt>
    </w:p>
    <w:p w:rsidR="00000000" w:rsidDel="00000000" w:rsidP="00000000" w:rsidRDefault="00000000" w:rsidRPr="00000000" w14:paraId="00000044">
      <w:pPr>
        <w:numPr>
          <w:ilvl w:val="0"/>
          <w:numId w:val="1"/>
        </w:numPr>
        <w:spacing w:after="0" w:lineRule="auto"/>
        <w:ind w:left="720" w:hanging="360"/>
        <w:rPr>
          <w:u w:val="none"/>
        </w:rPr>
      </w:pPr>
      <w:sdt>
        <w:sdtPr>
          <w:id w:val="1952344508"/>
          <w:tag w:val="goog_rdk_3"/>
        </w:sdtPr>
        <w:sdtContent>
          <w:r w:rsidDel="00000000" w:rsidR="00000000" w:rsidRPr="00000000">
            <w:rPr>
              <w:rFonts w:ascii="Arial Unicode MS" w:cs="Arial Unicode MS" w:eastAsia="Arial Unicode MS" w:hAnsi="Arial Unicode MS"/>
              <w:rtl w:val="0"/>
            </w:rPr>
            <w:t xml:space="preserve">Maximum/minimum ≤ 3: limits implausibly large gaps between the advertised minimum and maximum.</w:t>
          </w:r>
        </w:sdtContent>
      </w:sdt>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40" w:before="0" w:line="264" w:lineRule="auto"/>
        <w:ind w:left="425" w:right="0" w:hanging="425"/>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Retain an audit trail. </w:t>
      </w:r>
      <w:r w:rsidDel="00000000" w:rsidR="00000000" w:rsidRPr="00000000">
        <w:rPr>
          <w:b w:val="1"/>
          <w:bCs w:val="1"/>
          <w:i w:val="0"/>
          <w:iCs w:val="0"/>
          <w:smallCaps w:val="0"/>
          <w:strike w:val="0"/>
          <w:color w:val="000000"/>
          <w:sz w:val="21"/>
          <w:szCs w:val="21"/>
          <w:u w:val="none"/>
          <w:shd w:fill="auto" w:val="clear"/>
          <w:vertAlign w:val="baseline"/>
          <w:rtl w:val="0"/>
        </w:rPr>
        <w:t xml:space="preserve">Set salary_analysis_ready=True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only for valid records within the group bounds that pass all extra checks. Preserve every original salary value in the master file. EDA found extreme and broad advertised bands, motivating median-based comparisons, explicit review flags and visible sample sizes. </w:t>
      </w:r>
      <w:r w:rsidDel="00000000" w:rsidR="00000000" w:rsidRPr="00000000">
        <w:rPr>
          <w:rtl w:val="0"/>
        </w:rPr>
        <w:t xml:space="preserve">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alary_analysis_ready = False means the record failed one or more salary-quality checks, such as invalid monthly salary, peer-group IQR screening, missing values, or the additional thresholds.</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These records should be excluded from the main salary analysis but retained for audit. Their exclusion reasons should be reviewed, as a flagged record is not necessarily incorrect.</w:t>
      </w:r>
      <w:r w:rsidDel="00000000" w:rsidR="00000000" w:rsidRPr="00000000">
        <w:rPr>
          <w:rtl w:val="0"/>
        </w:rPr>
      </w:r>
    </w:p>
    <w:tbl>
      <w:tblPr>
        <w:tblStyle w:val="Table2"/>
        <w:tblW w:w="9792.0" w:type="dxa"/>
        <w:jc w:val="center"/>
        <w:tblLayout w:type="fixed"/>
        <w:tblLook w:val="0000"/>
      </w:tblPr>
      <w:tblGrid>
        <w:gridCol w:w="7056"/>
        <w:gridCol w:w="2736"/>
        <w:tblGridChange w:id="0">
          <w:tblGrid>
            <w:gridCol w:w="7056"/>
            <w:gridCol w:w="2736"/>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193754" w:val="clear"/>
            <w:tcMar>
              <w:top w:w="85.0" w:type="dxa"/>
              <w:left w:w="85.0" w:type="dxa"/>
              <w:bottom w:w="85.0" w:type="dxa"/>
              <w:right w:w="85.0" w:type="dxa"/>
            </w:tcMar>
            <w:vAlign w:val="center"/>
          </w:tcPr>
          <w:p w:rsidR="00000000" w:rsidDel="00000000" w:rsidP="00000000" w:rsidRDefault="00000000" w:rsidRPr="00000000" w14:paraId="00000046">
            <w:pPr>
              <w:spacing w:after="80" w:before="80" w:line="240" w:lineRule="auto"/>
              <w:rPr/>
            </w:pPr>
            <w:r w:rsidDel="00000000" w:rsidR="00000000" w:rsidRPr="00000000">
              <w:rPr>
                <w:b w:val="1"/>
                <w:bCs w:val="1"/>
                <w:color w:val="ffffff"/>
                <w:sz w:val="19"/>
                <w:szCs w:val="19"/>
                <w:rtl w:val="0"/>
              </w:rPr>
              <w:t xml:space="preserve">Stage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93754" w:val="clear"/>
            <w:tcMar>
              <w:top w:w="85.0" w:type="dxa"/>
              <w:left w:w="85.0" w:type="dxa"/>
              <w:bottom w:w="85.0" w:type="dxa"/>
              <w:right w:w="85.0" w:type="dxa"/>
            </w:tcMar>
            <w:vAlign w:val="center"/>
          </w:tcPr>
          <w:p w:rsidR="00000000" w:rsidDel="00000000" w:rsidP="00000000" w:rsidRDefault="00000000" w:rsidRPr="00000000" w14:paraId="00000047">
            <w:pPr>
              <w:spacing w:after="80" w:before="80" w:line="240" w:lineRule="auto"/>
              <w:jc w:val="center"/>
              <w:rPr/>
            </w:pPr>
            <w:r w:rsidDel="00000000" w:rsidR="00000000" w:rsidRPr="00000000">
              <w:rPr>
                <w:b w:val="1"/>
                <w:bCs w:val="1"/>
                <w:color w:val="ffffff"/>
                <w:sz w:val="19"/>
                <w:szCs w:val="19"/>
                <w:rtl w:val="0"/>
              </w:rPr>
              <w:t xml:space="preserve">Records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48">
            <w:pPr>
              <w:spacing w:after="80" w:before="80" w:line="240" w:lineRule="auto"/>
              <w:rPr/>
            </w:pPr>
            <w:r w:rsidDel="00000000" w:rsidR="00000000" w:rsidRPr="00000000">
              <w:rPr>
                <w:sz w:val="19"/>
                <w:szCs w:val="19"/>
                <w:rtl w:val="0"/>
              </w:rPr>
              <w:t xml:space="preserve">Original source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49">
            <w:pPr>
              <w:spacing w:after="80" w:before="80" w:line="240" w:lineRule="auto"/>
              <w:jc w:val="center"/>
              <w:rPr/>
            </w:pPr>
            <w:r w:rsidDel="00000000" w:rsidR="00000000" w:rsidRPr="00000000">
              <w:rPr>
                <w:sz w:val="19"/>
                <w:szCs w:val="19"/>
                <w:rtl w:val="0"/>
              </w:rPr>
              <w:t xml:space="preserve">1,048,585</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4A">
            <w:pPr>
              <w:spacing w:after="80" w:before="80" w:line="240" w:lineRule="auto"/>
              <w:rPr/>
            </w:pPr>
            <w:r w:rsidDel="00000000" w:rsidR="00000000" w:rsidRPr="00000000">
              <w:rPr>
                <w:sz w:val="19"/>
                <w:szCs w:val="19"/>
                <w:rtl w:val="0"/>
              </w:rPr>
              <w:t xml:space="preserve">After structurally empty records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4B">
            <w:pPr>
              <w:spacing w:after="80" w:before="80" w:line="240" w:lineRule="auto"/>
              <w:jc w:val="center"/>
              <w:rPr/>
            </w:pPr>
            <w:r w:rsidDel="00000000" w:rsidR="00000000" w:rsidRPr="00000000">
              <w:rPr>
                <w:sz w:val="19"/>
                <w:szCs w:val="19"/>
                <w:rtl w:val="0"/>
              </w:rPr>
              <w:t xml:space="preserve">1,044,597</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4C">
            <w:pPr>
              <w:spacing w:after="80" w:before="80" w:line="240" w:lineRule="auto"/>
              <w:rPr/>
            </w:pPr>
            <w:r w:rsidDel="00000000" w:rsidR="00000000" w:rsidRPr="00000000">
              <w:rPr>
                <w:sz w:val="19"/>
                <w:szCs w:val="19"/>
                <w:rtl w:val="0"/>
              </w:rPr>
              <w:t xml:space="preserve">IT population and initial salary validity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4D">
            <w:pPr>
              <w:spacing w:after="80" w:before="80" w:line="240" w:lineRule="auto"/>
              <w:jc w:val="center"/>
              <w:rPr/>
            </w:pPr>
            <w:r w:rsidDel="00000000" w:rsidR="00000000" w:rsidRPr="00000000">
              <w:rPr>
                <w:sz w:val="19"/>
                <w:szCs w:val="19"/>
                <w:rtl w:val="0"/>
              </w:rPr>
              <w:t xml:space="preserve">140,866</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4E">
            <w:pPr>
              <w:spacing w:after="80" w:before="80" w:line="240" w:lineRule="auto"/>
              <w:rPr/>
            </w:pPr>
            <w:r w:rsidDel="00000000" w:rsidR="00000000" w:rsidRPr="00000000">
              <w:rPr>
                <w:sz w:val="19"/>
                <w:szCs w:val="19"/>
                <w:rtl w:val="0"/>
              </w:rPr>
              <w:t xml:space="preserve">Salary analysis ready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4F">
            <w:pPr>
              <w:spacing w:after="80" w:before="80" w:line="240" w:lineRule="auto"/>
              <w:jc w:val="center"/>
              <w:rPr/>
            </w:pPr>
            <w:r w:rsidDel="00000000" w:rsidR="00000000" w:rsidRPr="00000000">
              <w:rPr>
                <w:sz w:val="19"/>
                <w:szCs w:val="19"/>
                <w:rtl w:val="0"/>
              </w:rPr>
              <w:t xml:space="preserve">134,503</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50">
            <w:pPr>
              <w:spacing w:after="80" w:before="80" w:line="240" w:lineRule="auto"/>
              <w:rPr/>
            </w:pPr>
            <w:r w:rsidDel="00000000" w:rsidR="00000000" w:rsidRPr="00000000">
              <w:rPr>
                <w:sz w:val="19"/>
                <w:szCs w:val="19"/>
                <w:rtl w:val="0"/>
              </w:rPr>
              <w:t xml:space="preserve">Retained for review</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7" w:val="clear"/>
            <w:tcMar>
              <w:top w:w="85.0" w:type="dxa"/>
              <w:left w:w="85.0" w:type="dxa"/>
              <w:bottom w:w="85.0" w:type="dxa"/>
              <w:right w:w="85.0" w:type="dxa"/>
            </w:tcMar>
            <w:vAlign w:val="center"/>
          </w:tcPr>
          <w:p w:rsidR="00000000" w:rsidDel="00000000" w:rsidP="00000000" w:rsidRDefault="00000000" w:rsidRPr="00000000" w14:paraId="00000051">
            <w:pPr>
              <w:spacing w:after="80" w:before="80" w:line="240" w:lineRule="auto"/>
              <w:jc w:val="center"/>
              <w:rPr/>
            </w:pPr>
            <w:r w:rsidDel="00000000" w:rsidR="00000000" w:rsidRPr="00000000">
              <w:rPr>
                <w:sz w:val="19"/>
                <w:szCs w:val="19"/>
                <w:rtl w:val="0"/>
              </w:rPr>
              <w:t xml:space="preserve">6,363</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3 Dashboard and App</w:t>
      </w:r>
    </w:p>
    <w:p w:rsidR="00000000" w:rsidDel="00000000" w:rsidP="00000000" w:rsidRDefault="00000000" w:rsidRPr="00000000" w14:paraId="00000055">
      <w:pPr>
        <w:pStyle w:val="Heading2"/>
        <w:rPr>
          <w:sz w:val="26"/>
          <w:szCs w:val="26"/>
        </w:rPr>
      </w:pPr>
      <w:r w:rsidDel="00000000" w:rsidR="00000000" w:rsidRPr="00000000">
        <w:rPr>
          <w:sz w:val="26"/>
          <w:szCs w:val="26"/>
          <w:rtl w:val="0"/>
        </w:rPr>
        <w:t xml:space="preserve">3.1 Salary benchmark by position level</w:t>
      </w:r>
    </w:p>
    <w:p w:rsidR="00000000" w:rsidDel="00000000" w:rsidP="00000000" w:rsidRDefault="00000000" w:rsidRPr="00000000" w14:paraId="00000056">
      <w:pPr>
        <w:rPr/>
      </w:pPr>
      <w:r w:rsidDel="00000000" w:rsidR="00000000" w:rsidRPr="00000000">
        <w:rPr>
          <w:b w:val="1"/>
          <w:bCs w:val="1"/>
          <w:rtl w:val="0"/>
        </w:rPr>
        <w:t xml:space="preserve">Owner</w:t>
      </w:r>
      <w:r w:rsidDel="00000000" w:rsidR="00000000" w:rsidRPr="00000000">
        <w:rPr>
          <w:rtl w:val="0"/>
        </w:rPr>
        <w:t xml:space="preserve">: Rachelle Congrui Liu (C). </w:t>
      </w:r>
    </w:p>
    <w:p w:rsidR="00000000" w:rsidDel="00000000" w:rsidP="00000000" w:rsidRDefault="00000000" w:rsidRPr="00000000" w14:paraId="00000057">
      <w:pPr>
        <w:rPr/>
      </w:pPr>
      <w:r w:rsidDel="00000000" w:rsidR="00000000" w:rsidRPr="00000000">
        <w:rPr>
          <w:b w:val="1"/>
          <w:bCs w:val="1"/>
          <w:rtl w:val="0"/>
        </w:rPr>
        <w:t xml:space="preserve">Business question</w:t>
      </w:r>
      <w:r w:rsidDel="00000000" w:rsidR="00000000" w:rsidRPr="00000000">
        <w:rPr>
          <w:rtl w:val="0"/>
        </w:rPr>
        <w:t xml:space="preserve">: How do advertised salary benchmarks differ by position level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alibri" w:cs="Calibri" w:eastAsia="Calibri" w:hAnsi="Calibri"/>
          <w:b w:val="1"/>
          <w:bCs w:val="1"/>
          <w:sz w:val="24"/>
          <w:szCs w:val="24"/>
          <w:rtl w:val="0"/>
        </w:rPr>
        <w:t xml:space="preserve">Dashboard：</w:t>
      </w:r>
      <w:hyperlink r:id="rId25">
        <w:r w:rsidDel="00000000" w:rsidR="00000000" w:rsidRPr="00000000">
          <w:rPr>
            <w:color w:val="0000ff"/>
            <w:u w:val="single"/>
            <w:rtl w:val="0"/>
          </w:rPr>
          <w:t xml:space="preserve">https://group5-singapore-it-salary.streamlit.app/</w:t>
        </w:r>
      </w:hyperlink>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1) Data Selection and Calculation: </w:t>
      </w:r>
      <w:r w:rsidDel="00000000" w:rsidR="00000000" w:rsidRPr="00000000">
        <w:rPr>
          <w:rtl w:val="0"/>
        </w:rPr>
        <w:t xml:space="preserve">Each posting’s monthly salary midpoint is calculated as (minimum + maximum salary) ÷ 2. Across 134,503 eligible postings, the overall median midpoint is SGD 6,500, and each bar shows the median midpoint for one of the nine position levels.</w:t>
      </w:r>
    </w:p>
    <w:p w:rsidR="00000000" w:rsidDel="00000000" w:rsidP="00000000" w:rsidRDefault="00000000" w:rsidRPr="00000000" w14:paraId="0000005B">
      <w:pPr>
        <w:numPr>
          <w:ilvl w:val="0"/>
          <w:numId w:val="9"/>
        </w:numPr>
        <w:spacing w:after="0" w:afterAutospacing="0" w:before="240" w:lineRule="auto"/>
        <w:ind w:left="720" w:hanging="360"/>
        <w:rPr>
          <w:sz w:val="22"/>
          <w:szCs w:val="22"/>
        </w:rPr>
      </w:pPr>
      <w:r w:rsidDel="00000000" w:rsidR="00000000" w:rsidRPr="00000000">
        <w:rPr>
          <w:b w:val="1"/>
          <w:bCs w:val="1"/>
          <w:rtl w:val="0"/>
        </w:rPr>
        <w:t xml:space="preserve">Selected postings:</w:t>
      </w:r>
      <w:r w:rsidDel="00000000" w:rsidR="00000000" w:rsidRPr="00000000">
        <w:rPr>
          <w:rtl w:val="0"/>
        </w:rPr>
        <w:t xml:space="preserve"> Count eligible records = </w:t>
      </w:r>
      <w:r w:rsidDel="00000000" w:rsidR="00000000" w:rsidRPr="00000000">
        <w:rPr>
          <w:b w:val="1"/>
          <w:bCs w:val="1"/>
          <w:rtl w:val="0"/>
        </w:rPr>
        <w:t xml:space="preserve">134,503</w:t>
      </w:r>
      <w:r w:rsidDel="00000000" w:rsidR="00000000" w:rsidRPr="00000000">
        <w:rPr>
          <w:rtl w:val="0"/>
        </w:rPr>
        <w:t xml:space="preserve">.</w:t>
      </w:r>
    </w:p>
    <w:p w:rsidR="00000000" w:rsidDel="00000000" w:rsidP="00000000" w:rsidRDefault="00000000" w:rsidRPr="00000000" w14:paraId="0000005C">
      <w:pPr>
        <w:numPr>
          <w:ilvl w:val="0"/>
          <w:numId w:val="9"/>
        </w:numPr>
        <w:spacing w:after="0" w:afterAutospacing="0" w:before="0" w:beforeAutospacing="0" w:lineRule="auto"/>
        <w:ind w:left="720" w:hanging="360"/>
        <w:rPr>
          <w:sz w:val="22"/>
          <w:szCs w:val="22"/>
        </w:rPr>
      </w:pPr>
      <w:r w:rsidDel="00000000" w:rsidR="00000000" w:rsidRPr="00000000">
        <w:rPr>
          <w:b w:val="1"/>
          <w:bCs w:val="1"/>
          <w:rtl w:val="0"/>
        </w:rPr>
        <w:t xml:space="preserve">Salary midpoint Formula :</w:t>
      </w:r>
      <w:r w:rsidDel="00000000" w:rsidR="00000000" w:rsidRPr="00000000">
        <w:rPr>
          <w:rtl w:val="0"/>
        </w:rPr>
        <w:t xml:space="preserve"> (Minimum + Maximum monthly salary) ÷ 2.</w:t>
      </w:r>
    </w:p>
    <w:p w:rsidR="00000000" w:rsidDel="00000000" w:rsidP="00000000" w:rsidRDefault="00000000" w:rsidRPr="00000000" w14:paraId="0000005D">
      <w:pPr>
        <w:numPr>
          <w:ilvl w:val="0"/>
          <w:numId w:val="9"/>
        </w:numPr>
        <w:spacing w:after="0" w:afterAutospacing="0" w:before="0" w:beforeAutospacing="0" w:lineRule="auto"/>
        <w:ind w:left="720" w:hanging="360"/>
        <w:rPr>
          <w:sz w:val="22"/>
          <w:szCs w:val="22"/>
        </w:rPr>
      </w:pPr>
      <w:r w:rsidDel="00000000" w:rsidR="00000000" w:rsidRPr="00000000">
        <w:rPr>
          <w:b w:val="1"/>
          <w:bCs w:val="1"/>
          <w:rtl w:val="0"/>
        </w:rPr>
        <w:t xml:space="preserve">Overall median:</w:t>
      </w:r>
      <w:r w:rsidDel="00000000" w:rsidR="00000000" w:rsidRPr="00000000">
        <w:rPr>
          <w:rtl w:val="0"/>
        </w:rPr>
        <w:t xml:space="preserve"> Median of all selected midpoints = </w:t>
      </w:r>
      <w:r w:rsidDel="00000000" w:rsidR="00000000" w:rsidRPr="00000000">
        <w:rPr>
          <w:b w:val="1"/>
          <w:bCs w:val="1"/>
          <w:rtl w:val="0"/>
        </w:rPr>
        <w:t xml:space="preserve">SGD 6,500</w:t>
      </w:r>
      <w:r w:rsidDel="00000000" w:rsidR="00000000" w:rsidRPr="00000000">
        <w:rPr>
          <w:rtl w:val="0"/>
        </w:rPr>
        <w:t xml:space="preserve">.</w:t>
      </w:r>
    </w:p>
    <w:p w:rsidR="00000000" w:rsidDel="00000000" w:rsidP="00000000" w:rsidRDefault="00000000" w:rsidRPr="00000000" w14:paraId="0000005E">
      <w:pPr>
        <w:numPr>
          <w:ilvl w:val="0"/>
          <w:numId w:val="9"/>
        </w:numPr>
        <w:spacing w:after="0" w:afterAutospacing="0" w:before="0" w:beforeAutospacing="0" w:lineRule="auto"/>
        <w:ind w:left="720" w:hanging="360"/>
        <w:rPr>
          <w:sz w:val="22"/>
          <w:szCs w:val="22"/>
        </w:rPr>
      </w:pPr>
      <w:r w:rsidDel="00000000" w:rsidR="00000000" w:rsidRPr="00000000">
        <w:rPr>
          <w:b w:val="1"/>
          <w:bCs w:val="1"/>
          <w:rtl w:val="0"/>
        </w:rPr>
        <w:t xml:space="preserve">Each bar:</w:t>
      </w:r>
      <w:r w:rsidDel="00000000" w:rsidR="00000000" w:rsidRPr="00000000">
        <w:rPr>
          <w:rtl w:val="0"/>
        </w:rPr>
        <w:t xml:space="preserve"> Median salary midpoint for that position level.</w:t>
      </w:r>
    </w:p>
    <w:p w:rsidR="00000000" w:rsidDel="00000000" w:rsidP="00000000" w:rsidRDefault="00000000" w:rsidRPr="00000000" w14:paraId="0000005F">
      <w:pPr>
        <w:numPr>
          <w:ilvl w:val="0"/>
          <w:numId w:val="9"/>
        </w:numPr>
        <w:spacing w:after="240" w:before="0" w:beforeAutospacing="0" w:lineRule="auto"/>
        <w:ind w:left="720" w:hanging="360"/>
        <w:rPr>
          <w:sz w:val="22"/>
          <w:szCs w:val="22"/>
        </w:rPr>
      </w:pPr>
      <w:r w:rsidDel="00000000" w:rsidR="00000000" w:rsidRPr="00000000">
        <w:rPr>
          <w:b w:val="1"/>
          <w:bCs w:val="1"/>
          <w:rtl w:val="0"/>
        </w:rPr>
        <w:t xml:space="preserve">Q1–Q3:</w:t>
      </w:r>
      <w:r w:rsidDel="00000000" w:rsidR="00000000" w:rsidRPr="00000000">
        <w:rPr>
          <w:rtl w:val="0"/>
        </w:rPr>
        <w:t xml:space="preserve"> 25th–75th percentiles, showing the middle 50%.</w:t>
      </w:r>
    </w:p>
    <w:p w:rsidR="00000000" w:rsidDel="00000000" w:rsidP="00000000" w:rsidRDefault="00000000" w:rsidRPr="00000000" w14:paraId="00000060">
      <w:pPr>
        <w:pStyle w:val="Heading2"/>
        <w:rPr/>
      </w:pPr>
      <w:r w:rsidDel="00000000" w:rsidR="00000000" w:rsidRPr="00000000">
        <w:rPr>
          <w:rtl w:val="0"/>
        </w:rPr>
        <w:t xml:space="preserve">2) Dashboard view or screenshot </w:t>
      </w:r>
    </w:p>
    <w:p w:rsidR="00000000" w:rsidDel="00000000" w:rsidP="00000000" w:rsidRDefault="00000000" w:rsidRPr="00000000" w14:paraId="00000061">
      <w:pPr>
        <w:pStyle w:val="Heading2"/>
        <w:rPr/>
      </w:pPr>
      <w:r w:rsidDel="00000000" w:rsidR="00000000" w:rsidRPr="00000000">
        <w:rPr/>
        <w:drawing>
          <wp:inline distB="114300" distT="114300" distL="114300" distR="114300">
            <wp:extent cx="2965862" cy="2568892"/>
            <wp:effectExtent b="0" l="0" r="0" t="0"/>
            <wp:docPr id="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2965862" cy="2568892"/>
                    </a:xfrm>
                    <a:prstGeom prst="rect"/>
                    <a:ln/>
                  </pic:spPr>
                </pic:pic>
              </a:graphicData>
            </a:graphic>
          </wp:inline>
        </w:drawing>
      </w:r>
      <w:r w:rsidDel="00000000" w:rsidR="00000000" w:rsidRPr="00000000">
        <w:rPr/>
        <w:drawing>
          <wp:inline distB="114300" distT="114300" distL="114300" distR="114300">
            <wp:extent cx="2940729" cy="1740833"/>
            <wp:effectExtent b="0" l="0" r="0" t="0"/>
            <wp:docPr id="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2940729" cy="174083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3) Key Findings and HR Recommendation</w:t>
      </w:r>
    </w:p>
    <w:p w:rsidR="00000000" w:rsidDel="00000000" w:rsidP="00000000" w:rsidRDefault="00000000" w:rsidRPr="00000000" w14:paraId="00000063">
      <w:pPr>
        <w:rPr>
          <w:b w:val="1"/>
          <w:bCs w:val="1"/>
        </w:rPr>
      </w:pPr>
      <w:r w:rsidDel="00000000" w:rsidR="00000000" w:rsidRPr="00000000">
        <w:rPr>
          <w:b w:val="1"/>
          <w:bCs w:val="1"/>
          <w:u w:val="single"/>
          <w:rtl w:val="0"/>
        </w:rPr>
        <w:t xml:space="preserve">Key findings</w:t>
      </w:r>
      <w:r w:rsidDel="00000000" w:rsidR="00000000" w:rsidRPr="00000000">
        <w:rPr>
          <w:rtl w:val="0"/>
        </w:rPr>
      </w:r>
    </w:p>
    <w:p w:rsidR="00000000" w:rsidDel="00000000" w:rsidP="00000000" w:rsidRDefault="00000000" w:rsidRPr="00000000" w14:paraId="00000064">
      <w:pPr>
        <w:numPr>
          <w:ilvl w:val="0"/>
          <w:numId w:val="10"/>
        </w:numPr>
        <w:spacing w:after="0" w:afterAutospacing="0" w:before="240" w:lineRule="auto"/>
        <w:ind w:left="720" w:hanging="360"/>
      </w:pPr>
      <w:r w:rsidDel="00000000" w:rsidR="00000000" w:rsidRPr="00000000">
        <w:rPr>
          <w:b w:val="1"/>
          <w:bCs w:val="1"/>
          <w:rtl w:val="0"/>
        </w:rPr>
        <w:t xml:space="preserve">Overall median salary:</w:t>
      </w:r>
      <w:r w:rsidDel="00000000" w:rsidR="00000000" w:rsidRPr="00000000">
        <w:rPr>
          <w:rtl w:val="0"/>
        </w:rPr>
        <w:t xml:space="preserve"> SGD </w:t>
      </w:r>
      <w:r w:rsidDel="00000000" w:rsidR="00000000" w:rsidRPr="00000000">
        <w:rPr>
          <w:b w:val="1"/>
          <w:bCs w:val="1"/>
          <w:rtl w:val="0"/>
        </w:rPr>
        <w:t xml:space="preserve">6,500/month</w:t>
      </w:r>
      <w:r w:rsidDel="00000000" w:rsidR="00000000" w:rsidRPr="00000000">
        <w:rPr>
          <w:rtl w:val="0"/>
        </w:rPr>
        <w:t xml:space="preserve">.</w:t>
      </w:r>
    </w:p>
    <w:p w:rsidR="00000000" w:rsidDel="00000000" w:rsidP="00000000" w:rsidRDefault="00000000" w:rsidRPr="00000000" w14:paraId="00000065">
      <w:pPr>
        <w:numPr>
          <w:ilvl w:val="0"/>
          <w:numId w:val="10"/>
        </w:numPr>
        <w:spacing w:after="0" w:afterAutospacing="0" w:before="0" w:beforeAutospacing="0" w:lineRule="auto"/>
        <w:ind w:left="720" w:hanging="360"/>
      </w:pPr>
      <w:r w:rsidDel="00000000" w:rsidR="00000000" w:rsidRPr="00000000">
        <w:rPr>
          <w:b w:val="1"/>
          <w:bCs w:val="1"/>
          <w:rtl w:val="0"/>
        </w:rPr>
        <w:t xml:space="preserve">Large pay gap by level:</w:t>
      </w:r>
      <w:r w:rsidDel="00000000" w:rsidR="00000000" w:rsidRPr="00000000">
        <w:rPr>
          <w:rtl w:val="0"/>
        </w:rPr>
        <w:t xml:space="preserve"> Senior Management has the highest median (</w:t>
      </w:r>
      <w:r w:rsidDel="00000000" w:rsidR="00000000" w:rsidRPr="00000000">
        <w:rPr>
          <w:b w:val="1"/>
          <w:bCs w:val="1"/>
          <w:rtl w:val="0"/>
        </w:rPr>
        <w:t xml:space="preserve">SGD 11,500</w:t>
      </w:r>
      <w:r w:rsidDel="00000000" w:rsidR="00000000" w:rsidRPr="00000000">
        <w:rPr>
          <w:rtl w:val="0"/>
        </w:rPr>
        <w:t xml:space="preserve">), while Fresh/Entry Level has the lowest (</w:t>
      </w:r>
      <w:r w:rsidDel="00000000" w:rsidR="00000000" w:rsidRPr="00000000">
        <w:rPr>
          <w:b w:val="1"/>
          <w:bCs w:val="1"/>
          <w:rtl w:val="0"/>
        </w:rPr>
        <w:t xml:space="preserve">SGD 2,900</w:t>
      </w:r>
      <w:r w:rsidDel="00000000" w:rsidR="00000000" w:rsidRPr="00000000">
        <w:rPr>
          <w:rtl w:val="0"/>
        </w:rPr>
        <w:t xml:space="preserve">).</w:t>
      </w:r>
    </w:p>
    <w:p w:rsidR="00000000" w:rsidDel="00000000" w:rsidP="00000000" w:rsidRDefault="00000000" w:rsidRPr="00000000" w14:paraId="00000066">
      <w:pPr>
        <w:numPr>
          <w:ilvl w:val="0"/>
          <w:numId w:val="10"/>
        </w:numPr>
        <w:spacing w:after="240" w:before="0" w:beforeAutospacing="0" w:lineRule="auto"/>
        <w:ind w:left="720" w:hanging="360"/>
      </w:pPr>
      <w:sdt>
        <w:sdtPr>
          <w:id w:val="-1021438782"/>
          <w:tag w:val="goog_rdk_4"/>
        </w:sdtPr>
        <w:sdtContent>
          <w:r w:rsidDel="00000000" w:rsidR="00000000" w:rsidRPr="00000000">
            <w:rPr>
              <w:rFonts w:ascii="Arial Unicode MS" w:cs="Arial Unicode MS" w:eastAsia="Arial Unicode MS" w:hAnsi="Arial Unicode MS"/>
              <w:b w:val="1"/>
              <w:bCs w:val="1"/>
              <w:rtl w:val="0"/>
            </w:rPr>
            <w:t xml:space="preserve">Management title ≠ higher pay:</w:t>
          </w:r>
        </w:sdtContent>
      </w:sdt>
      <w:r w:rsidDel="00000000" w:rsidR="00000000" w:rsidRPr="00000000">
        <w:rPr>
          <w:rtl w:val="0"/>
        </w:rPr>
        <w:t xml:space="preserve"> Manager (</w:t>
      </w:r>
      <w:r w:rsidDel="00000000" w:rsidR="00000000" w:rsidRPr="00000000">
        <w:rPr>
          <w:b w:val="1"/>
          <w:bCs w:val="1"/>
          <w:rtl w:val="0"/>
        </w:rPr>
        <w:t xml:space="preserve">SGD 8,000</w:t>
      </w:r>
      <w:r w:rsidDel="00000000" w:rsidR="00000000" w:rsidRPr="00000000">
        <w:rPr>
          <w:rtl w:val="0"/>
        </w:rPr>
        <w:t xml:space="preserve">) and Professional (</w:t>
      </w:r>
      <w:r w:rsidDel="00000000" w:rsidR="00000000" w:rsidRPr="00000000">
        <w:rPr>
          <w:b w:val="1"/>
          <w:bCs w:val="1"/>
          <w:rtl w:val="0"/>
        </w:rPr>
        <w:t xml:space="preserve">SGD 7,887.50</w:t>
      </w:r>
      <w:r w:rsidDel="00000000" w:rsidR="00000000" w:rsidRPr="00000000">
        <w:rPr>
          <w:rtl w:val="0"/>
        </w:rPr>
        <w:t xml:space="preserve">) differ by only </w:t>
      </w:r>
      <w:r w:rsidDel="00000000" w:rsidR="00000000" w:rsidRPr="00000000">
        <w:rPr>
          <w:b w:val="1"/>
          <w:bCs w:val="1"/>
          <w:rtl w:val="0"/>
        </w:rPr>
        <w:t xml:space="preserve">SGD 112.50</w:t>
      </w:r>
      <w:r w:rsidDel="00000000" w:rsidR="00000000" w:rsidRPr="00000000">
        <w:rPr>
          <w:rtl w:val="0"/>
        </w:rPr>
        <w:t xml:space="preserve">, with overlapping Q1–Q3 ranges.</w:t>
      </w:r>
    </w:p>
    <w:p w:rsidR="00000000" w:rsidDel="00000000" w:rsidP="00000000" w:rsidRDefault="00000000" w:rsidRPr="00000000" w14:paraId="00000067">
      <w:pPr>
        <w:spacing w:after="240" w:before="240" w:lineRule="auto"/>
        <w:ind w:left="0" w:firstLine="0"/>
        <w:rPr>
          <w:b w:val="1"/>
          <w:bCs w:val="1"/>
        </w:rPr>
      </w:pPr>
      <w:r w:rsidDel="00000000" w:rsidR="00000000" w:rsidRPr="00000000">
        <w:rPr>
          <w:b w:val="1"/>
          <w:bCs w:val="1"/>
          <w:u w:val="single"/>
          <w:rtl w:val="0"/>
        </w:rPr>
        <w:t xml:space="preserve">HR recommendations</w:t>
      </w:r>
      <w:r w:rsidDel="00000000" w:rsidR="00000000" w:rsidRPr="00000000">
        <w:rPr>
          <w:b w:val="1"/>
          <w:bCs w:val="1"/>
          <w:rtl w:val="0"/>
        </w:rPr>
        <w:t xml:space="preserve">: </w:t>
      </w:r>
    </w:p>
    <w:p w:rsidR="00000000" w:rsidDel="00000000" w:rsidP="00000000" w:rsidRDefault="00000000" w:rsidRPr="00000000" w14:paraId="00000068">
      <w:pPr>
        <w:numPr>
          <w:ilvl w:val="0"/>
          <w:numId w:val="2"/>
        </w:numPr>
        <w:spacing w:after="0" w:afterAutospacing="0" w:before="240" w:lineRule="auto"/>
        <w:ind w:left="720" w:hanging="360"/>
      </w:pPr>
      <w:sdt>
        <w:sdtPr>
          <w:id w:val="-1382640599"/>
          <w:tag w:val="goog_rdk_5"/>
        </w:sdtPr>
        <w:sdtContent>
          <w:r w:rsidDel="00000000" w:rsidR="00000000" w:rsidRPr="00000000">
            <w:rPr>
              <w:rFonts w:ascii="Arial Unicode MS" w:cs="Arial Unicode MS" w:eastAsia="Arial Unicode MS" w:hAnsi="Arial Unicode MS"/>
              <w:b w:val="1"/>
              <w:bCs w:val="1"/>
              <w:rtl w:val="0"/>
            </w:rPr>
            <w:t xml:space="preserve">Pay for role scope, not title：</w:t>
          </w:r>
        </w:sdtContent>
      </w:sdt>
      <w:r w:rsidDel="00000000" w:rsidR="00000000" w:rsidRPr="00000000">
        <w:rPr>
          <w:rtl w:val="0"/>
        </w:rPr>
        <w:t xml:space="preserve">Manager and Professional salaries are almost identical, so HR should benchmark based on responsibilities and skills, rather than assuming a management title deserves higher pay.</w:t>
      </w:r>
      <w:r w:rsidDel="00000000" w:rsidR="00000000" w:rsidRPr="00000000">
        <w:rPr>
          <w:rtl w:val="0"/>
        </w:rPr>
      </w:r>
    </w:p>
    <w:p w:rsidR="00000000" w:rsidDel="00000000" w:rsidP="00000000" w:rsidRDefault="00000000" w:rsidRPr="00000000" w14:paraId="00000069">
      <w:pPr>
        <w:numPr>
          <w:ilvl w:val="0"/>
          <w:numId w:val="2"/>
        </w:numPr>
        <w:spacing w:after="240" w:before="0" w:beforeAutospacing="0" w:lineRule="auto"/>
        <w:ind w:left="720" w:hanging="360"/>
      </w:pPr>
      <w:sdt>
        <w:sdtPr>
          <w:id w:val="-1903420673"/>
          <w:tag w:val="goog_rdk_6"/>
        </w:sdtPr>
        <w:sdtContent>
          <w:r w:rsidDel="00000000" w:rsidR="00000000" w:rsidRPr="00000000">
            <w:rPr>
              <w:rFonts w:ascii="Arial Unicode MS" w:cs="Arial Unicode MS" w:eastAsia="Arial Unicode MS" w:hAnsi="Arial Unicode MS"/>
              <w:b w:val="1"/>
              <w:bCs w:val="1"/>
              <w:rtl w:val="0"/>
            </w:rPr>
            <w:t xml:space="preserve">Prioritise high-demand talent segments：</w:t>
          </w:r>
        </w:sdtContent>
      </w:sdt>
      <w:r w:rsidDel="00000000" w:rsidR="00000000" w:rsidRPr="00000000">
        <w:rPr>
          <w:rtl w:val="0"/>
        </w:rPr>
        <w:t xml:space="preserve">Use posting volume + salary level together to identify roles where hiring demand is high and adjust recruitment budgets accordingly.</w:t>
      </w:r>
      <w:r w:rsidDel="00000000" w:rsidR="00000000" w:rsidRPr="00000000">
        <w:rPr>
          <w:rtl w:val="0"/>
        </w:rPr>
      </w:r>
    </w:p>
    <w:p w:rsidR="00000000" w:rsidDel="00000000" w:rsidP="00000000" w:rsidRDefault="00000000" w:rsidRPr="00000000" w14:paraId="0000006A">
      <w:pPr>
        <w:spacing w:after="240" w:before="240" w:lineRule="auto"/>
        <w:ind w:left="0" w:firstLine="0"/>
        <w:rPr/>
      </w:pPr>
      <w:r w:rsidDel="00000000" w:rsidR="00000000" w:rsidRPr="00000000">
        <w:rPr>
          <w:rFonts w:ascii="Calibri" w:cs="Calibri" w:eastAsia="Calibri" w:hAnsi="Calibri"/>
          <w:b w:val="1"/>
          <w:bCs w:val="1"/>
          <w:sz w:val="26"/>
          <w:szCs w:val="26"/>
          <w:rtl w:val="0"/>
        </w:rPr>
        <w:t xml:space="preserve">3.2 </w:t>
      </w:r>
      <w:r w:rsidDel="00000000" w:rsidR="00000000" w:rsidRPr="00000000">
        <w:rPr>
          <w:rFonts w:ascii="Calibri" w:cs="Calibri" w:eastAsia="Calibri" w:hAnsi="Calibri"/>
          <w:b w:val="1"/>
          <w:bCs w:val="1"/>
          <w:sz w:val="26"/>
          <w:szCs w:val="26"/>
          <w:rtl w:val="0"/>
        </w:rPr>
        <w:t xml:space="preserve">Experience premium</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Owner: </w:t>
      </w:r>
      <w:r w:rsidDel="00000000" w:rsidR="00000000" w:rsidRPr="00000000">
        <w:rPr>
          <w:rtl w:val="0"/>
        </w:rPr>
        <w:t xml:space="preserve">Jen Ho</w:t>
      </w:r>
    </w:p>
    <w:p w:rsidR="00000000" w:rsidDel="00000000" w:rsidP="00000000" w:rsidRDefault="00000000" w:rsidRPr="00000000" w14:paraId="0000006C">
      <w:pPr>
        <w:rPr/>
      </w:pPr>
      <w:r w:rsidDel="00000000" w:rsidR="00000000" w:rsidRPr="00000000">
        <w:rPr>
          <w:b w:val="1"/>
          <w:bCs w:val="1"/>
          <w:rtl w:val="0"/>
        </w:rPr>
        <w:t xml:space="preserve">Business question: </w:t>
      </w:r>
      <w:r w:rsidDel="00000000" w:rsidR="00000000" w:rsidRPr="00000000">
        <w:rPr>
          <w:rtl w:val="0"/>
        </w:rPr>
        <w:t xml:space="preserve">How does advertised pay vary with required experience?</w:t>
      </w:r>
    </w:p>
    <w:p w:rsidR="00000000" w:rsidDel="00000000" w:rsidP="00000000" w:rsidRDefault="00000000" w:rsidRPr="00000000" w14:paraId="0000006D">
      <w:pPr>
        <w:rPr/>
      </w:pPr>
      <w:r w:rsidDel="00000000" w:rsidR="00000000" w:rsidRPr="00000000">
        <w:rPr>
          <w:rFonts w:ascii="Calibri" w:cs="Calibri" w:eastAsia="Calibri" w:hAnsi="Calibri"/>
          <w:b w:val="1"/>
          <w:bCs w:val="1"/>
          <w:sz w:val="24"/>
          <w:szCs w:val="24"/>
          <w:rtl w:val="0"/>
        </w:rPr>
        <w:t xml:space="preserve">Dashboard：</w:t>
      </w:r>
      <w:r w:rsidDel="00000000" w:rsidR="00000000" w:rsidRPr="00000000">
        <w:rPr>
          <w:rFonts w:ascii="Calibri" w:cs="Calibri" w:eastAsia="Calibri" w:hAnsi="Calibri"/>
          <w:sz w:val="24"/>
          <w:szCs w:val="24"/>
          <w:rtl w:val="0"/>
        </w:rPr>
        <w:t xml:space="preserve">Streamlit and PowerBI desktop</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1) Data selection and calculation</w:t>
      </w:r>
    </w:p>
    <w:p w:rsidR="00000000" w:rsidDel="00000000" w:rsidP="00000000" w:rsidRDefault="00000000" w:rsidRPr="00000000" w14:paraId="0000006F">
      <w:pPr>
        <w:pStyle w:val="Heading2"/>
        <w:rPr>
          <w:rFonts w:ascii="Arial" w:cs="Arial" w:eastAsia="Arial" w:hAnsi="Arial"/>
          <w:b w:val="0"/>
          <w:bCs w:val="0"/>
          <w:sz w:val="21"/>
          <w:szCs w:val="21"/>
        </w:rPr>
      </w:pPr>
      <w:r w:rsidDel="00000000" w:rsidR="00000000" w:rsidRPr="00000000">
        <w:rPr>
          <w:rFonts w:ascii="Arial" w:cs="Arial" w:eastAsia="Arial" w:hAnsi="Arial"/>
          <w:b w:val="0"/>
          <w:bCs w:val="0"/>
          <w:sz w:val="21"/>
          <w:szCs w:val="21"/>
          <w:rtl w:val="0"/>
        </w:rPr>
        <w:t xml:space="preserve">Data Used : </w:t>
      </w:r>
      <w:r w:rsidDel="00000000" w:rsidR="00000000" w:rsidRPr="00000000">
        <w:rPr>
          <w:rFonts w:ascii="Arial" w:cs="Arial" w:eastAsia="Arial" w:hAnsi="Arial"/>
          <w:b w:val="0"/>
          <w:bCs w:val="0"/>
          <w:sz w:val="21"/>
          <w:szCs w:val="21"/>
          <w:rtl w:val="0"/>
        </w:rPr>
        <w:t xml:space="preserve">minimumYearsExperience; average_salary; positionLevels</w:t>
      </w:r>
    </w:p>
    <w:p w:rsidR="00000000" w:rsidDel="00000000" w:rsidP="00000000" w:rsidRDefault="00000000" w:rsidRPr="00000000" w14:paraId="00000070">
      <w:pPr>
        <w:rPr/>
      </w:pPr>
      <w:r w:rsidDel="00000000" w:rsidR="00000000" w:rsidRPr="00000000">
        <w:rPr>
          <w:rtl w:val="0"/>
        </w:rPr>
        <w:t xml:space="preserve">Formula: </w:t>
      </w:r>
    </w:p>
    <w:p w:rsidR="00000000" w:rsidDel="00000000" w:rsidP="00000000" w:rsidRDefault="00000000" w:rsidRPr="00000000" w14:paraId="00000071">
      <w:pPr>
        <w:ind w:firstLine="720"/>
        <w:rPr/>
      </w:pPr>
      <w:r w:rsidDel="00000000" w:rsidR="00000000" w:rsidRPr="00000000">
        <w:rPr>
          <w:rtl w:val="0"/>
        </w:rPr>
        <w:t xml:space="preserve">% Change = (This year salary - previous previous salary) / previous year salary</w:t>
      </w:r>
    </w:p>
    <w:p w:rsidR="00000000" w:rsidDel="00000000" w:rsidP="00000000" w:rsidRDefault="00000000" w:rsidRPr="00000000" w14:paraId="00000072">
      <w:pPr>
        <w:rPr/>
      </w:pPr>
      <w:r w:rsidDel="00000000" w:rsidR="00000000" w:rsidRPr="00000000">
        <w:rPr>
          <w:rtl w:val="0"/>
        </w:rPr>
        <w:t xml:space="preserve">Table plotted based on minimum years of experience - Sample of the data result (Top 6 records)</w:t>
      </w:r>
    </w:p>
    <w:p w:rsidR="00000000" w:rsidDel="00000000" w:rsidP="00000000" w:rsidRDefault="00000000" w:rsidRPr="00000000" w14:paraId="00000073">
      <w:pPr>
        <w:rPr/>
      </w:pPr>
      <w:r w:rsidDel="00000000" w:rsidR="00000000" w:rsidRPr="00000000">
        <w:rPr/>
        <w:drawing>
          <wp:inline distB="114300" distT="114300" distL="114300" distR="114300">
            <wp:extent cx="4119563" cy="2151799"/>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119563" cy="215179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4">
      <w:pPr>
        <w:pStyle w:val="Heading2"/>
        <w:rPr/>
      </w:pPr>
      <w:r w:rsidDel="00000000" w:rsidR="00000000" w:rsidRPr="00000000">
        <w:rPr>
          <w:rtl w:val="0"/>
        </w:rPr>
        <w:t xml:space="preserve">2) </w:t>
      </w:r>
      <w:r w:rsidDel="00000000" w:rsidR="00000000" w:rsidRPr="00000000">
        <w:rPr>
          <w:rtl w:val="0"/>
        </w:rPr>
        <w:t xml:space="preserve">Dashboard view or screenshot</w:t>
      </w:r>
    </w:p>
    <w:p w:rsidR="00000000" w:rsidDel="00000000" w:rsidP="00000000" w:rsidRDefault="00000000" w:rsidRPr="00000000" w14:paraId="00000075">
      <w:pPr>
        <w:rPr/>
      </w:pPr>
      <w:r w:rsidDel="00000000" w:rsidR="00000000" w:rsidRPr="00000000">
        <w:rPr/>
        <w:drawing>
          <wp:inline distB="114300" distT="114300" distL="114300" distR="114300">
            <wp:extent cx="4052888" cy="1843732"/>
            <wp:effectExtent b="0" l="0" r="0" t="0"/>
            <wp:docPr id="6"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4052888" cy="184373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3) Key findings and HR recommendation</w:t>
      </w:r>
    </w:p>
    <w:p w:rsidR="00000000" w:rsidDel="00000000" w:rsidP="00000000" w:rsidRDefault="00000000" w:rsidRPr="00000000" w14:paraId="00000077">
      <w:pPr>
        <w:numPr>
          <w:ilvl w:val="0"/>
          <w:numId w:val="3"/>
        </w:numPr>
        <w:spacing w:after="0" w:afterAutospacing="0" w:lineRule="auto"/>
        <w:ind w:left="720" w:hanging="360"/>
        <w:rPr>
          <w:u w:val="none"/>
        </w:rPr>
      </w:pPr>
      <w:r w:rsidDel="00000000" w:rsidR="00000000" w:rsidRPr="00000000">
        <w:rPr>
          <w:b w:val="1"/>
          <w:bCs w:val="1"/>
          <w:rtl w:val="0"/>
        </w:rPr>
        <w:t xml:space="preserve">Significant salary increase in these years (Years 1, 3, 5, 10):</w:t>
      </w:r>
      <w:r w:rsidDel="00000000" w:rsidR="00000000" w:rsidRPr="00000000">
        <w:rPr>
          <w:rtl w:val="0"/>
        </w:rPr>
        <w:t xml:space="preserve"> Salary growth peaks sharply at specific career inflection points. </w:t>
      </w:r>
      <w:r w:rsidDel="00000000" w:rsidR="00000000" w:rsidRPr="00000000">
        <w:rPr>
          <w:b w:val="1"/>
          <w:bCs w:val="1"/>
          <w:rtl w:val="0"/>
        </w:rPr>
        <w:t xml:space="preserve">Year 1</w:t>
      </w:r>
      <w:r w:rsidDel="00000000" w:rsidR="00000000" w:rsidRPr="00000000">
        <w:rPr>
          <w:rtl w:val="0"/>
        </w:rPr>
        <w:t xml:space="preserve"> (+29.96%) marks the transition out of fresh graduate tiers, </w:t>
      </w:r>
      <w:r w:rsidDel="00000000" w:rsidR="00000000" w:rsidRPr="00000000">
        <w:rPr>
          <w:b w:val="1"/>
          <w:bCs w:val="1"/>
          <w:rtl w:val="0"/>
        </w:rPr>
        <w:t xml:space="preserve">Year 3</w:t>
      </w:r>
      <w:r w:rsidDel="00000000" w:rsidR="00000000" w:rsidRPr="00000000">
        <w:rPr>
          <w:rtl w:val="0"/>
        </w:rPr>
        <w:t xml:space="preserve"> (+30.30%) reflects transition to independent executive roles, and </w:t>
      </w:r>
      <w:r w:rsidDel="00000000" w:rsidR="00000000" w:rsidRPr="00000000">
        <w:rPr>
          <w:b w:val="1"/>
          <w:bCs w:val="1"/>
          <w:rtl w:val="0"/>
        </w:rPr>
        <w:t xml:space="preserve">Years 5, 7, and 10</w:t>
      </w:r>
      <w:r w:rsidDel="00000000" w:rsidR="00000000" w:rsidRPr="00000000">
        <w:rPr>
          <w:rtl w:val="0"/>
        </w:rPr>
        <w:t xml:space="preserve"> represent standard management thresholds where compensation jumps by +SGD 1,000–1,700+.</w:t>
      </w:r>
    </w:p>
    <w:p w:rsidR="00000000" w:rsidDel="00000000" w:rsidP="00000000" w:rsidRDefault="00000000" w:rsidRPr="00000000" w14:paraId="00000078">
      <w:pPr>
        <w:numPr>
          <w:ilvl w:val="0"/>
          <w:numId w:val="3"/>
        </w:numPr>
        <w:spacing w:after="0" w:afterAutospacing="0" w:lineRule="auto"/>
        <w:ind w:left="720" w:hanging="360"/>
        <w:rPr>
          <w:u w:val="none"/>
        </w:rPr>
      </w:pPr>
      <w:r w:rsidDel="00000000" w:rsidR="00000000" w:rsidRPr="00000000">
        <w:rPr>
          <w:b w:val="1"/>
          <w:bCs w:val="1"/>
          <w:rtl w:val="0"/>
        </w:rPr>
        <w:t xml:space="preserve">Plateau Years (Years 2, 6, 8, 9):</w:t>
      </w:r>
      <w:r w:rsidDel="00000000" w:rsidR="00000000" w:rsidRPr="00000000">
        <w:rPr>
          <w:rtl w:val="0"/>
        </w:rPr>
        <w:t xml:space="preserve"> Intermediate years show modest gains (+1.10% to +7.39%), indicating that incremental experience within the same responsibility bracket yields minimal salary adjustments compared to jumping across experience tiers.</w:t>
      </w:r>
      <w:r w:rsidDel="00000000" w:rsidR="00000000" w:rsidRPr="00000000">
        <w:rPr>
          <w:rtl w:val="0"/>
        </w:rPr>
      </w:r>
    </w:p>
    <w:p w:rsidR="00000000" w:rsidDel="00000000" w:rsidP="00000000" w:rsidRDefault="00000000" w:rsidRPr="00000000" w14:paraId="00000079">
      <w:pPr>
        <w:numPr>
          <w:ilvl w:val="0"/>
          <w:numId w:val="3"/>
        </w:numPr>
        <w:spacing w:after="160" w:lineRule="auto"/>
        <w:ind w:left="720" w:hanging="360"/>
        <w:rPr>
          <w:u w:val="none"/>
        </w:rPr>
      </w:pPr>
      <w:r w:rsidDel="00000000" w:rsidR="00000000" w:rsidRPr="00000000">
        <w:rPr>
          <w:b w:val="1"/>
          <w:bCs w:val="1"/>
          <w:rtl w:val="0"/>
        </w:rPr>
        <w:t xml:space="preserve">Early Career Multiplication:</w:t>
      </w:r>
      <w:r w:rsidDel="00000000" w:rsidR="00000000" w:rsidRPr="00000000">
        <w:rPr>
          <w:rtl w:val="0"/>
        </w:rPr>
        <w:t xml:space="preserve"> Between </w:t>
      </w:r>
      <w:r w:rsidDel="00000000" w:rsidR="00000000" w:rsidRPr="00000000">
        <w:rPr>
          <w:b w:val="1"/>
          <w:bCs w:val="1"/>
          <w:rtl w:val="0"/>
        </w:rPr>
        <w:t xml:space="preserve">Year 0</w:t>
      </w:r>
      <w:r w:rsidDel="00000000" w:rsidR="00000000" w:rsidRPr="00000000">
        <w:rPr>
          <w:rtl w:val="0"/>
        </w:rPr>
        <w:t xml:space="preserve"> and </w:t>
      </w:r>
      <w:r w:rsidDel="00000000" w:rsidR="00000000" w:rsidRPr="00000000">
        <w:rPr>
          <w:b w:val="1"/>
          <w:bCs w:val="1"/>
          <w:rtl w:val="0"/>
        </w:rPr>
        <w:t xml:space="preserve">Year 5</w:t>
      </w:r>
      <w:r w:rsidDel="00000000" w:rsidR="00000000" w:rsidRPr="00000000">
        <w:rPr>
          <w:rtl w:val="0"/>
        </w:rPr>
        <w:t xml:space="preserve">, median base pay more than doubles from </w:t>
      </w:r>
      <w:r w:rsidDel="00000000" w:rsidR="00000000" w:rsidRPr="00000000">
        <w:rPr>
          <w:b w:val="1"/>
          <w:bCs w:val="1"/>
          <w:rtl w:val="0"/>
        </w:rPr>
        <w:t xml:space="preserve">SGD 3,100</w:t>
      </w:r>
      <w:r w:rsidDel="00000000" w:rsidR="00000000" w:rsidRPr="00000000">
        <w:rPr>
          <w:rtl w:val="0"/>
        </w:rPr>
        <w:t xml:space="preserve"> to </w:t>
      </w:r>
      <w:r w:rsidDel="00000000" w:rsidR="00000000" w:rsidRPr="00000000">
        <w:rPr>
          <w:b w:val="1"/>
          <w:bCs w:val="1"/>
          <w:rtl w:val="0"/>
        </w:rPr>
        <w:t xml:space="preserve">SGD 8,000</w:t>
      </w:r>
      <w:r w:rsidDel="00000000" w:rsidR="00000000" w:rsidRPr="00000000">
        <w:rPr>
          <w:rtl w:val="0"/>
        </w:rPr>
        <w:t xml:space="preserve">, delivering average yearly gains of ~SGD 1,000.</w:t>
      </w:r>
    </w:p>
    <w:p w:rsidR="00000000" w:rsidDel="00000000" w:rsidP="00000000" w:rsidRDefault="00000000" w:rsidRPr="00000000" w14:paraId="0000007A">
      <w:pPr>
        <w:pStyle w:val="Heading1"/>
        <w:rPr/>
        <w:keepNext/>
      </w:pPr>
      <w:r w:rsidDel="00000000" w:rsidR="00000000" w:rsidRPr="00000000">
        <w:rPr>
          <w:sz w:val="26"/>
          <w:szCs w:val="26"/>
          <w:rtl w:val="0"/>
        </w:rPr>
        <w:t xml:space="preserve">3.3 Contract vs permanent</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Owner:</w:t>
      </w:r>
      <w:r w:rsidDel="00000000" w:rsidR="00000000" w:rsidRPr="00000000">
        <w:rPr>
          <w:rtl w:val="0"/>
        </w:rPr>
        <w:t xml:space="preserve"> Wong Siew Yin</w:t>
      </w:r>
    </w:p>
    <w:p w:rsidR="00000000" w:rsidDel="00000000" w:rsidP="00000000" w:rsidRDefault="00000000" w:rsidRPr="00000000" w14:paraId="0000007C">
      <w:pPr>
        <w:rPr/>
      </w:pPr>
      <w:r w:rsidDel="00000000" w:rsidR="00000000" w:rsidRPr="00000000">
        <w:rPr>
          <w:b w:val="1"/>
          <w:bCs w:val="1"/>
          <w:rtl w:val="0"/>
        </w:rPr>
        <w:t xml:space="preserve">Business question: </w:t>
      </w:r>
      <w:r w:rsidDel="00000000" w:rsidR="00000000" w:rsidRPr="00000000">
        <w:rPr>
          <w:rtl w:val="0"/>
        </w:rPr>
        <w:t xml:space="preserve">What employment mix appears in the market?</w:t>
      </w:r>
    </w:p>
    <w:p w:rsidR="00000000" w:rsidDel="00000000" w:rsidP="00000000" w:rsidRDefault="00000000" w:rsidRPr="00000000" w14:paraId="0000007D">
      <w:pPr>
        <w:rPr/>
      </w:pPr>
      <w:r w:rsidDel="00000000" w:rsidR="00000000" w:rsidRPr="00000000">
        <w:rPr>
          <w:rFonts w:ascii="Calibri" w:cs="Calibri" w:eastAsia="Calibri" w:hAnsi="Calibri"/>
          <w:b w:val="1"/>
          <w:bCs w:val="1"/>
          <w:sz w:val="24"/>
          <w:szCs w:val="24"/>
          <w:rtl w:val="0"/>
        </w:rPr>
        <w:t xml:space="preserve">Dashboard：</w:t>
      </w:r>
      <w:hyperlink r:id="rId30">
        <w:r w:rsidDel="00000000" w:rsidR="00000000" w:rsidRPr="00000000">
          <w:rPr>
            <w:color w:val="1155cc"/>
            <w:u w:val="single"/>
            <w:rtl w:val="0"/>
          </w:rPr>
          <w:t xml:space="preserve">https://group5-singapore-it-salary-sy-qn3.streamlit.app/</w:t>
        </w:r>
      </w:hyperlink>
      <w:r w:rsidDel="00000000" w:rsidR="00000000" w:rsidRPr="00000000">
        <w:rPr>
          <w:rtl w:val="0"/>
        </w:rPr>
      </w:r>
    </w:p>
    <w:p w:rsidR="00000000" w:rsidDel="00000000" w:rsidP="00000000" w:rsidRDefault="00000000" w:rsidRPr="00000000" w14:paraId="0000007E">
      <w:pPr>
        <w:pStyle w:val="Heading2"/>
        <w:keepNext w:val="0"/>
        <w:keepLines w:val="0"/>
        <w:spacing w:after="80" w:before="360" w:lineRule="auto"/>
        <w:rPr>
          <w:rFonts w:ascii="Arial" w:cs="Arial" w:eastAsia="Arial" w:hAnsi="Arial"/>
          <w:sz w:val="34"/>
          <w:szCs w:val="34"/>
        </w:rPr>
      </w:pPr>
      <w:bookmarkStart w:colFirst="0" w:colLast="0" w:name="_heading=h.dcehx39n7x8d" w:id="2"/>
      <w:bookmarkEnd w:id="2"/>
      <w:r w:rsidDel="00000000" w:rsidR="00000000" w:rsidRPr="00000000">
        <w:rPr>
          <w:rFonts w:ascii="Arial" w:cs="Arial" w:eastAsia="Arial" w:hAnsi="Arial"/>
          <w:sz w:val="21"/>
          <w:szCs w:val="21"/>
          <w:rtl w:val="0"/>
        </w:rPr>
        <w:t xml:space="preserve">1) Data selection and calculation</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Two datasets were used for this analysis: all job postings across all industries, used as the market-wide baseline, and IT.</w:t>
      </w:r>
    </w:p>
    <w:p w:rsidR="00000000" w:rsidDel="00000000" w:rsidP="00000000" w:rsidRDefault="00000000" w:rsidRPr="00000000" w14:paraId="00000080">
      <w:pPr>
        <w:rPr>
          <w:b w:val="1"/>
          <w:bCs w:val="1"/>
        </w:rPr>
      </w:pPr>
      <w:r w:rsidDel="00000000" w:rsidR="00000000" w:rsidRPr="00000000">
        <w:rPr>
          <w:b w:val="1"/>
          <w:bCs w:val="1"/>
          <w:rtl w:val="0"/>
        </w:rPr>
        <w:t xml:space="preserve">Calculation method</w:t>
      </w:r>
    </w:p>
    <w:p w:rsidR="00000000" w:rsidDel="00000000" w:rsidP="00000000" w:rsidRDefault="00000000" w:rsidRPr="00000000" w14:paraId="00000081">
      <w:pPr>
        <w:rPr/>
      </w:pPr>
      <w:r w:rsidDel="00000000" w:rsidR="00000000" w:rsidRPr="00000000">
        <w:rPr>
          <w:rtl w:val="0"/>
        </w:rPr>
        <w:t xml:space="preserve">For each dataset, postings were grouped by employment type using pandas' value_counts(), and each type's share of postings was calculated as:</w:t>
      </w:r>
    </w:p>
    <w:p w:rsidR="00000000" w:rsidDel="00000000" w:rsidP="00000000" w:rsidRDefault="00000000" w:rsidRPr="00000000" w14:paraId="00000082">
      <w:pPr>
        <w:rPr/>
      </w:pPr>
      <w:r w:rsidDel="00000000" w:rsidR="00000000" w:rsidRPr="00000000">
        <w:rPr>
          <w:rtl w:val="0"/>
        </w:rPr>
        <w:t xml:space="preserve">Percentage = (Number of postings in that employment type ÷ Total postings in the dataset) × 100</w:t>
      </w:r>
    </w:p>
    <w:p w:rsidR="00000000" w:rsidDel="00000000" w:rsidP="00000000" w:rsidRDefault="00000000" w:rsidRPr="00000000" w14:paraId="00000083">
      <w:pPr>
        <w:rPr/>
      </w:pPr>
      <w:r w:rsidDel="00000000" w:rsidR="00000000" w:rsidRPr="00000000">
        <w:rPr>
          <w:rtl w:val="0"/>
        </w:rPr>
        <w:t xml:space="preserve">Employment types individually representing a small minority of a dataset's postings were combined into a single "Other" category. Counts and percentages were then recalculated on this regrouped set. The resulting charts show the distribution of employment types, by posting count and by percentage, for both the all-industries baseline and the IT dataset.</w:t>
      </w:r>
    </w:p>
    <w:p w:rsidR="00000000" w:rsidDel="00000000" w:rsidP="00000000" w:rsidRDefault="00000000" w:rsidRPr="00000000" w14:paraId="00000084">
      <w:pPr>
        <w:pStyle w:val="Heading2"/>
        <w:keepNext w:val="0"/>
        <w:keepLines w:val="0"/>
        <w:spacing w:after="80" w:before="360" w:lineRule="auto"/>
        <w:rPr>
          <w:rFonts w:ascii="Arial" w:cs="Arial" w:eastAsia="Arial" w:hAnsi="Arial"/>
          <w:sz w:val="34"/>
          <w:szCs w:val="34"/>
        </w:rPr>
      </w:pPr>
      <w:bookmarkStart w:colFirst="0" w:colLast="0" w:name="_heading=h.exrrukjy43fo" w:id="3"/>
      <w:bookmarkEnd w:id="3"/>
      <w:r w:rsidDel="00000000" w:rsidR="00000000" w:rsidRPr="00000000">
        <w:rPr>
          <w:rFonts w:ascii="Arial" w:cs="Arial" w:eastAsia="Arial" w:hAnsi="Arial"/>
          <w:sz w:val="21"/>
          <w:szCs w:val="21"/>
          <w:rtl w:val="0"/>
        </w:rPr>
        <w:t xml:space="preserve">2) Dashboard view or screenshot</w:t>
      </w:r>
      <w:r w:rsidDel="00000000" w:rsidR="00000000" w:rsidRPr="00000000">
        <w:rPr>
          <w:rtl w:val="0"/>
        </w:rPr>
      </w:r>
    </w:p>
    <w:p w:rsidR="00000000" w:rsidDel="00000000" w:rsidP="00000000" w:rsidRDefault="00000000" w:rsidRPr="00000000" w14:paraId="00000085">
      <w:pPr>
        <w:spacing w:after="0" w:line="276" w:lineRule="auto"/>
        <w:rPr>
          <w:b w:val="1"/>
          <w:bCs w:val="1"/>
          <w:sz w:val="34"/>
          <w:szCs w:val="34"/>
        </w:rPr>
      </w:pPr>
      <w:r w:rsidDel="00000000" w:rsidR="00000000" w:rsidRPr="00000000">
        <w:rPr>
          <w:b w:val="1"/>
          <w:bCs w:val="1"/>
          <w:sz w:val="34"/>
          <w:szCs w:val="34"/>
        </w:rPr>
        <w:drawing>
          <wp:inline distB="114300" distT="114300" distL="114300" distR="114300">
            <wp:extent cx="4510640" cy="2324714"/>
            <wp:effectExtent b="0" l="0" r="0" t="0"/>
            <wp:docPr id="7" name="image6.png"/>
            <a:graphic>
              <a:graphicData uri="http://schemas.openxmlformats.org/drawingml/2006/picture">
                <pic:pic>
                  <pic:nvPicPr>
                    <pic:cNvPr id="0" name="image6.png"/>
                    <pic:cNvPicPr preferRelativeResize="0"/>
                  </pic:nvPicPr>
                  <pic:blipFill>
                    <a:blip r:embed="rId31"/>
                    <a:srcRect b="0" l="0" r="0" t="4747"/>
                    <a:stretch>
                      <a:fillRect/>
                    </a:stretch>
                  </pic:blipFill>
                  <pic:spPr>
                    <a:xfrm>
                      <a:off x="0" y="0"/>
                      <a:ext cx="4510640" cy="2324714"/>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0" w:line="276" w:lineRule="auto"/>
        <w:rPr>
          <w:rFonts w:ascii="Arial" w:cs="Arial" w:eastAsia="Arial" w:hAnsi="Arial"/>
          <w:sz w:val="34"/>
          <w:szCs w:val="34"/>
        </w:rPr>
      </w:pPr>
      <w:r w:rsidDel="00000000" w:rsidR="00000000" w:rsidRPr="00000000">
        <w:rPr>
          <w:b w:val="1"/>
          <w:bCs w:val="1"/>
          <w:rtl w:val="0"/>
        </w:rPr>
        <w:t xml:space="preserve">3) Key findings and HR recommendation</w:t>
      </w:r>
      <w:r w:rsidDel="00000000" w:rsidR="00000000" w:rsidRPr="00000000">
        <w:rPr>
          <w:rtl w:val="0"/>
        </w:rPr>
      </w:r>
    </w:p>
    <w:p w:rsidR="00000000" w:rsidDel="00000000" w:rsidP="00000000" w:rsidRDefault="00000000" w:rsidRPr="00000000" w14:paraId="00000087">
      <w:pPr>
        <w:rPr>
          <w:u w:val="single"/>
        </w:rPr>
      </w:pPr>
      <w:r w:rsidDel="00000000" w:rsidR="00000000" w:rsidRPr="00000000">
        <w:rPr>
          <w:b w:val="1"/>
          <w:bCs w:val="1"/>
          <w:u w:val="single"/>
          <w:rtl w:val="0"/>
        </w:rPr>
        <w:t xml:space="preserve">Key findings</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Permanent hiring is still more common in both groups, but the gap is much smaller in IT. Market-wide, there are about 3.3 Permanent postings for every 1 Contract posting (43.9% vs 13.3%). In IT, that drops to about 1.3 to 1 (41.0% vs 31.2%). Contract hiring is more than twice as common in IT as in the rest of the market, and it's close to becoming as common as Permanent hiring, rather than being a small minority option.</w:t>
      </w:r>
    </w:p>
    <w:p w:rsidR="00000000" w:rsidDel="00000000" w:rsidP="00000000" w:rsidRDefault="00000000" w:rsidRPr="00000000" w14:paraId="00000089">
      <w:pPr>
        <w:rPr>
          <w:u w:val="single"/>
        </w:rPr>
      </w:pPr>
      <w:r w:rsidDel="00000000" w:rsidR="00000000" w:rsidRPr="00000000">
        <w:rPr>
          <w:b w:val="1"/>
          <w:bCs w:val="1"/>
          <w:u w:val="single"/>
          <w:rtl w:val="0"/>
        </w:rPr>
        <w:t xml:space="preserve">HR recommendation</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With contract roles making up 31.2% of IT postings compared to just 13.3% across the market, and Permanent still leading in both, HR and hiring teams need to plan for contract hiring as a standard part of recruiting for IT, not treat it as a one-off exception. Compensation should still be benchmarked separately for contract and permanent roles, since the two involve different hiring and budgeting decisions </w:t>
      </w: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sz w:val="26"/>
          <w:szCs w:val="26"/>
          <w:rtl w:val="0"/>
        </w:rPr>
        <w:t xml:space="preserve">3.4 Which IT job categories are high demand and hard to fill</w:t>
      </w: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Owner:</w:t>
      </w:r>
      <w:r w:rsidDel="00000000" w:rsidR="00000000" w:rsidRPr="00000000">
        <w:rPr>
          <w:rtl w:val="0"/>
        </w:rPr>
        <w:t xml:space="preserve"> Adelene Soh Puay Siam</w:t>
      </w:r>
    </w:p>
    <w:p w:rsidR="00000000" w:rsidDel="00000000" w:rsidP="00000000" w:rsidRDefault="00000000" w:rsidRPr="00000000" w14:paraId="0000008D">
      <w:pPr>
        <w:rPr/>
      </w:pPr>
      <w:r w:rsidDel="00000000" w:rsidR="00000000" w:rsidRPr="00000000">
        <w:rPr>
          <w:b w:val="1"/>
          <w:bCs w:val="1"/>
          <w:rtl w:val="0"/>
        </w:rPr>
        <w:t xml:space="preserve">Business question:</w:t>
      </w:r>
      <w:r w:rsidDel="00000000" w:rsidR="00000000" w:rsidRPr="00000000">
        <w:rPr>
          <w:rtl w:val="0"/>
        </w:rPr>
        <w:t xml:space="preserve"> Which IT Job categories are high demand and hard to fill</w:t>
      </w:r>
    </w:p>
    <w:p w:rsidR="00000000" w:rsidDel="00000000" w:rsidP="00000000" w:rsidRDefault="00000000" w:rsidRPr="00000000" w14:paraId="0000008E">
      <w:pPr>
        <w:rPr>
          <w:color w:val="1155cc"/>
          <w:u w:val="single"/>
        </w:rPr>
      </w:pPr>
      <w:r w:rsidDel="00000000" w:rsidR="00000000" w:rsidRPr="00000000">
        <w:rPr>
          <w:rFonts w:ascii="Calibri" w:cs="Calibri" w:eastAsia="Calibri" w:hAnsi="Calibri"/>
          <w:b w:val="1"/>
          <w:bCs w:val="1"/>
          <w:sz w:val="24"/>
          <w:szCs w:val="24"/>
          <w:rtl w:val="0"/>
        </w:rPr>
        <w:t xml:space="preserve">Dashboard：</w:t>
      </w:r>
      <w:hyperlink r:id="rId32">
        <w:r w:rsidDel="00000000" w:rsidR="00000000" w:rsidRPr="00000000">
          <w:rPr>
            <w:color w:val="1155cc"/>
            <w:u w:val="single"/>
            <w:rtl w:val="0"/>
          </w:rPr>
          <w:t xml:space="preserve">https://group5-singapore-it-salary-sy-qn4.streamlit.app/</w:t>
        </w:r>
      </w:hyperlink>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rtl w:val="0"/>
        </w:rPr>
        <w:t xml:space="preserve">1）Data selection and calculation</w:t>
      </w:r>
    </w:p>
    <w:p w:rsidR="00000000" w:rsidDel="00000000" w:rsidP="00000000" w:rsidRDefault="00000000" w:rsidRPr="00000000" w14:paraId="00000090">
      <w:pPr>
        <w:rPr/>
      </w:pPr>
      <w:r w:rsidDel="00000000" w:rsidR="00000000" w:rsidRPr="00000000">
        <w:rPr>
          <w:rtl w:val="0"/>
        </w:rPr>
        <w:t xml:space="preserve">The IT postings are broken down into 7 ‘it_job_category’ buckets. </w:t>
      </w:r>
    </w:p>
    <w:p w:rsidR="00000000" w:rsidDel="00000000" w:rsidP="00000000" w:rsidRDefault="00000000" w:rsidRPr="00000000" w14:paraId="00000091">
      <w:pPr>
        <w:rPr/>
      </w:pPr>
      <w:r w:rsidDel="00000000" w:rsidR="00000000" w:rsidRPr="00000000">
        <w:rPr>
          <w:rtl w:val="0"/>
        </w:rPr>
        <w:t xml:space="preserve">To flag a category as “hard to fill”, three signals are combined (each converted to a 0-100 rank score across the 7 categories, then averaged into a ‘hard_to_fill_index’):</w:t>
      </w:r>
    </w:p>
    <w:p w:rsidR="00000000" w:rsidDel="00000000" w:rsidP="00000000" w:rsidRDefault="00000000" w:rsidRPr="00000000" w14:paraId="00000092">
      <w:pPr>
        <w:numPr>
          <w:ilvl w:val="0"/>
          <w:numId w:val="4"/>
        </w:numPr>
        <w:spacing w:after="0" w:afterAutospacing="0"/>
        <w:ind w:left="720" w:hanging="360"/>
        <w:rPr>
          <w:u w:val="none"/>
        </w:rPr>
      </w:pPr>
      <w:r w:rsidDel="00000000" w:rsidR="00000000" w:rsidRPr="00000000">
        <w:rPr>
          <w:rtl w:val="0"/>
        </w:rPr>
        <w:t xml:space="preserve">Demand : number of job postings (more postings = more hiring demand).</w:t>
      </w:r>
    </w:p>
    <w:p w:rsidR="00000000" w:rsidDel="00000000" w:rsidP="00000000" w:rsidRDefault="00000000" w:rsidRPr="00000000" w14:paraId="00000093">
      <w:pPr>
        <w:numPr>
          <w:ilvl w:val="0"/>
          <w:numId w:val="4"/>
        </w:numPr>
        <w:spacing w:after="0" w:afterAutospacing="0"/>
        <w:ind w:left="720" w:hanging="360"/>
        <w:rPr>
          <w:u w:val="none"/>
        </w:rPr>
      </w:pPr>
      <w:r w:rsidDel="00000000" w:rsidR="00000000" w:rsidRPr="00000000">
        <w:rPr>
          <w:rtl w:val="0"/>
        </w:rPr>
        <w:t xml:space="preserve">Scarcity : applicants per vacancy (‘total_applications / total_vacancies’); the fewer applicants per open role, the scarcer the candidate pool.</w:t>
      </w:r>
    </w:p>
    <w:p w:rsidR="00000000" w:rsidDel="00000000" w:rsidP="00000000" w:rsidRDefault="00000000" w:rsidRPr="00000000" w14:paraId="00000094">
      <w:pPr>
        <w:numPr>
          <w:ilvl w:val="0"/>
          <w:numId w:val="4"/>
        </w:numPr>
        <w:ind w:left="720" w:hanging="360"/>
        <w:rPr>
          <w:u w:val="none"/>
        </w:rPr>
      </w:pPr>
      <w:r w:rsidDel="00000000" w:rsidR="00000000" w:rsidRPr="00000000">
        <w:rPr>
          <w:rtl w:val="0"/>
        </w:rPr>
        <w:t xml:space="preserve">Backlog - % of postings still ‘open’ (not yet ‘Closed’/’Re-open’); a high proportion left open signals employers are struggling to close out the role.</w:t>
      </w:r>
    </w:p>
    <w:p w:rsidR="00000000" w:rsidDel="00000000" w:rsidP="00000000" w:rsidRDefault="00000000" w:rsidRPr="00000000" w14:paraId="00000095">
      <w:pPr>
        <w:rPr/>
      </w:pPr>
      <w:r w:rsidDel="00000000" w:rsidR="00000000" w:rsidRPr="00000000">
        <w:rPr>
          <w:rtl w:val="0"/>
        </w:rPr>
        <w:t xml:space="preserve">“metadata_repostCount’ (reporting = a re-advertised, unfilled role) is reported alongside as a supporting signal, though it’s rare in this dataset (94% of postings were never reposted) so it’s not weighted into the index.</w:t>
      </w:r>
    </w:p>
    <w:p w:rsidR="00000000" w:rsidDel="00000000" w:rsidP="00000000" w:rsidRDefault="00000000" w:rsidRPr="00000000" w14:paraId="00000096">
      <w:pPr>
        <w:pStyle w:val="Heading2"/>
        <w:rPr/>
      </w:pPr>
      <w:r w:rsidDel="00000000" w:rsidR="00000000" w:rsidRPr="00000000">
        <w:rPr>
          <w:rtl w:val="0"/>
        </w:rPr>
        <w:t xml:space="preserve">2）Dashboard view or screenshot</w:t>
      </w:r>
    </w:p>
    <w:p w:rsidR="00000000" w:rsidDel="00000000" w:rsidP="00000000" w:rsidRDefault="00000000" w:rsidRPr="00000000" w14:paraId="00000097">
      <w:pPr>
        <w:rPr/>
      </w:pPr>
      <w:r w:rsidDel="00000000" w:rsidR="00000000" w:rsidRPr="00000000">
        <w:rPr/>
        <w:drawing>
          <wp:inline distB="114300" distT="114300" distL="114300" distR="114300">
            <wp:extent cx="5529263" cy="2047875"/>
            <wp:effectExtent b="0" l="0" r="0" t="0"/>
            <wp:docPr id="8"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529263"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6500813" cy="2314575"/>
            <wp:effectExtent b="0" l="0" r="0" t="0"/>
            <wp:docPr id="4"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6500813"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drawing>
          <wp:inline distB="114300" distT="114300" distL="114300" distR="114300">
            <wp:extent cx="6188400" cy="2590800"/>
            <wp:effectExtent b="0" l="0" r="0" t="0"/>
            <wp:docPr id="2"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61884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tl w:val="0"/>
        </w:rPr>
        <w:t xml:space="preserve">3）Key findings and HR recommendation</w:t>
      </w:r>
    </w:p>
    <w:p w:rsidR="00000000" w:rsidDel="00000000" w:rsidP="00000000" w:rsidRDefault="00000000" w:rsidRPr="00000000" w14:paraId="0000009C">
      <w:pPr>
        <w:rPr>
          <w:b w:val="1"/>
          <w:bCs w:val="1"/>
          <w:u w:val="single"/>
        </w:rPr>
      </w:pPr>
      <w:r w:rsidDel="00000000" w:rsidR="00000000" w:rsidRPr="00000000">
        <w:rPr>
          <w:b w:val="1"/>
          <w:bCs w:val="1"/>
          <w:u w:val="single"/>
          <w:rtl w:val="0"/>
        </w:rPr>
        <w:t xml:space="preserve">Key findings</w:t>
      </w: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Software &amp; Application Development</w:t>
      </w:r>
      <w:r w:rsidDel="00000000" w:rsidR="00000000" w:rsidRPr="00000000">
        <w:rPr>
          <w:rtl w:val="0"/>
        </w:rPr>
        <w:t xml:space="preserve"> - is the clearest high-demand, hard-to-fill category, the most postings after the “Other IT” catch-all, one of the lowest applicants-per-vacancy (0.70) of any specific specialism, and 86.7% of its postings are still ‘Open’.</w:t>
      </w:r>
    </w:p>
    <w:p w:rsidR="00000000" w:rsidDel="00000000" w:rsidP="00000000" w:rsidRDefault="00000000" w:rsidRPr="00000000" w14:paraId="0000009E">
      <w:pPr>
        <w:rPr/>
      </w:pPr>
      <w:r w:rsidDel="00000000" w:rsidR="00000000" w:rsidRPr="00000000">
        <w:rPr>
          <w:b w:val="1"/>
          <w:bCs w:val="1"/>
          <w:rtl w:val="0"/>
        </w:rPr>
        <w:t xml:space="preserve">Infrastructure &amp; Cloud </w:t>
      </w:r>
      <w:r w:rsidDel="00000000" w:rsidR="00000000" w:rsidRPr="00000000">
        <w:rPr>
          <w:rtl w:val="0"/>
        </w:rPr>
        <w:t xml:space="preserve">- has the single scarcest candidate pool in the dataset (0.6 applicants-per- vacancy - the lowest of all 7 categories) combined with strong demand (2nd-highest posting volume), making it the #2 priority.</w:t>
      </w:r>
    </w:p>
    <w:p w:rsidR="00000000" w:rsidDel="00000000" w:rsidP="00000000" w:rsidRDefault="00000000" w:rsidRPr="00000000" w14:paraId="0000009F">
      <w:pPr>
        <w:rPr/>
      </w:pPr>
      <w:r w:rsidDel="00000000" w:rsidR="00000000" w:rsidRPr="00000000">
        <w:rPr>
          <w:b w:val="1"/>
          <w:bCs w:val="1"/>
          <w:rtl w:val="0"/>
        </w:rPr>
        <w:t xml:space="preserve">Data &amp; Analytics </w:t>
      </w:r>
      <w:r w:rsidDel="00000000" w:rsidR="00000000" w:rsidRPr="00000000">
        <w:rPr>
          <w:rtl w:val="0"/>
        </w:rPr>
        <w:t xml:space="preserve">- is a special case: it has the “best” applicant supply (2.44 applicant/vacancy) yet the highest share of postings still open (87.9&amp;). That combination points to a </w:t>
      </w:r>
      <w:r w:rsidDel="00000000" w:rsidR="00000000" w:rsidRPr="00000000">
        <w:rPr>
          <w:i w:val="1"/>
          <w:iCs w:val="1"/>
          <w:rtl w:val="0"/>
        </w:rPr>
        <w:t xml:space="preserve">qualification/skills mismatch, </w:t>
      </w:r>
      <w:r w:rsidDel="00000000" w:rsidR="00000000" w:rsidRPr="00000000">
        <w:rPr>
          <w:rtl w:val="0"/>
        </w:rPr>
        <w:t xml:space="preserve">not a sourcing- volume problem.</w:t>
      </w:r>
    </w:p>
    <w:p w:rsidR="00000000" w:rsidDel="00000000" w:rsidP="00000000" w:rsidRDefault="00000000" w:rsidRPr="00000000" w14:paraId="000000A0">
      <w:pPr>
        <w:rPr/>
      </w:pPr>
      <w:r w:rsidDel="00000000" w:rsidR="00000000" w:rsidRPr="00000000">
        <w:rPr>
          <w:b w:val="1"/>
          <w:bCs w:val="1"/>
          <w:rtl w:val="0"/>
        </w:rPr>
        <w:t xml:space="preserve">IT Support &amp; Systems</w:t>
      </w:r>
      <w:r w:rsidDel="00000000" w:rsidR="00000000" w:rsidRPr="00000000">
        <w:rPr>
          <w:rtl w:val="0"/>
        </w:rPr>
        <w:t xml:space="preserve"> - is the easiest category to fill (lowest ‘hard_to_fill_index’, lowest pay, fastest close-out).</w:t>
      </w:r>
    </w:p>
    <w:p w:rsidR="00000000" w:rsidDel="00000000" w:rsidP="00000000" w:rsidRDefault="00000000" w:rsidRPr="00000000" w14:paraId="000000A1">
      <w:pPr>
        <w:rPr/>
      </w:pPr>
      <w:r w:rsidDel="00000000" w:rsidR="00000000" w:rsidRPr="00000000">
        <w:rPr>
          <w:b w:val="1"/>
          <w:bCs w:val="1"/>
          <w:rtl w:val="0"/>
        </w:rPr>
        <w:t xml:space="preserve">Other IT </w:t>
      </w:r>
      <w:r w:rsidDel="00000000" w:rsidR="00000000" w:rsidRPr="00000000">
        <w:rPr>
          <w:rtl w:val="0"/>
        </w:rPr>
        <w:t xml:space="preserve">- is the largest bucket by raw volume (65k postings) but is a catch-all label rather than a real specialisation - its applicants-per-vacancy (1.19) is healthier than Software &amp; Application Development and IT Support &amp; Systems, so raw volume alone overstates how “hard to fill” it really is. This is a data-labeling limitation and would need further review.</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rFonts w:ascii="Arial" w:cs="Arial" w:eastAsia="Arial" w:hAnsi="Arial"/>
          <w:sz w:val="21"/>
          <w:szCs w:val="21"/>
          <w:u w:val="single"/>
        </w:rPr>
      </w:pPr>
      <w:bookmarkStart w:colFirst="0" w:colLast="0" w:name="_heading=h.5sw67fmzgtg5" w:id="4"/>
      <w:bookmarkEnd w:id="4"/>
      <w:r w:rsidDel="00000000" w:rsidR="00000000" w:rsidRPr="00000000">
        <w:rPr>
          <w:rFonts w:ascii="Arial" w:cs="Arial" w:eastAsia="Arial" w:hAnsi="Arial"/>
          <w:sz w:val="21"/>
          <w:szCs w:val="21"/>
          <w:u w:val="single"/>
          <w:rtl w:val="0"/>
        </w:rPr>
        <w:t xml:space="preserve">HR recommendation</w:t>
      </w:r>
    </w:p>
    <w:p w:rsidR="00000000" w:rsidDel="00000000" w:rsidP="00000000" w:rsidRDefault="00000000" w:rsidRPr="00000000" w14:paraId="000000A4">
      <w:pPr>
        <w:numPr>
          <w:ilvl w:val="0"/>
          <w:numId w:val="6"/>
        </w:numPr>
        <w:spacing w:after="0" w:afterAutospacing="0"/>
        <w:ind w:left="720" w:hanging="360"/>
        <w:rPr>
          <w:u w:val="none"/>
        </w:rPr>
      </w:pPr>
      <w:r w:rsidDel="00000000" w:rsidR="00000000" w:rsidRPr="00000000">
        <w:rPr>
          <w:rtl w:val="0"/>
        </w:rPr>
        <w:t xml:space="preserve">Software &amp; Application Development - top priority, sourcing/pipeline problem</w:t>
      </w:r>
    </w:p>
    <w:p w:rsidR="00000000" w:rsidDel="00000000" w:rsidP="00000000" w:rsidRDefault="00000000" w:rsidRPr="00000000" w14:paraId="000000A5">
      <w:pPr>
        <w:numPr>
          <w:ilvl w:val="0"/>
          <w:numId w:val="5"/>
        </w:numPr>
        <w:spacing w:after="0" w:afterAutospacing="0"/>
        <w:ind w:left="1440" w:hanging="360"/>
        <w:rPr>
          <w:u w:val="none"/>
        </w:rPr>
      </w:pPr>
      <w:r w:rsidDel="00000000" w:rsidR="00000000" w:rsidRPr="00000000">
        <w:rPr>
          <w:rtl w:val="0"/>
        </w:rPr>
        <w:t xml:space="preserve">Widest possible sourcing: expand beyond local applicant pools (0.70 applicants/vacancy is the tightest) - partner with universities/bootcamps, consider overseas/remote hires, employee referral bonuses.</w:t>
      </w:r>
    </w:p>
    <w:p w:rsidR="00000000" w:rsidDel="00000000" w:rsidP="00000000" w:rsidRDefault="00000000" w:rsidRPr="00000000" w14:paraId="000000A6">
      <w:pPr>
        <w:numPr>
          <w:ilvl w:val="0"/>
          <w:numId w:val="5"/>
        </w:numPr>
        <w:spacing w:after="0" w:afterAutospacing="0"/>
        <w:ind w:left="1440" w:hanging="360"/>
        <w:rPr>
          <w:u w:val="none"/>
        </w:rPr>
      </w:pPr>
      <w:r w:rsidDel="00000000" w:rsidR="00000000" w:rsidRPr="00000000">
        <w:rPr>
          <w:rtl w:val="0"/>
        </w:rPr>
        <w:t xml:space="preserve">Review compensation competitiveness against market rate - 86.7% of postings stay open, suggesting offers aren’t converting.</w:t>
      </w:r>
    </w:p>
    <w:p w:rsidR="00000000" w:rsidDel="00000000" w:rsidP="00000000" w:rsidRDefault="00000000" w:rsidRPr="00000000" w14:paraId="000000A7">
      <w:pPr>
        <w:numPr>
          <w:ilvl w:val="0"/>
          <w:numId w:val="5"/>
        </w:numPr>
        <w:ind w:left="1440" w:hanging="360"/>
        <w:rPr>
          <w:u w:val="none"/>
        </w:rPr>
      </w:pPr>
      <w:r w:rsidDel="00000000" w:rsidR="00000000" w:rsidRPr="00000000">
        <w:rPr>
          <w:rtl w:val="0"/>
        </w:rPr>
        <w:t xml:space="preserve">Shorten time-to-hire (streamline interview loops) since roles sit open a long time, every extra week increases risk of losing candidates to competitors.</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numPr>
          <w:ilvl w:val="0"/>
          <w:numId w:val="6"/>
        </w:numPr>
        <w:spacing w:after="0" w:afterAutospacing="0"/>
        <w:ind w:left="720" w:hanging="360"/>
        <w:rPr>
          <w:u w:val="none"/>
        </w:rPr>
        <w:keepNext/>
      </w:pPr>
      <w:r w:rsidDel="00000000" w:rsidR="00000000" w:rsidRPr="00000000">
        <w:rPr>
          <w:rtl w:val="0"/>
        </w:rPr>
        <w:t xml:space="preserve">Infrastructure &amp; Cloud - #2 priority, acute scarcity problem</w:t>
      </w:r>
    </w:p>
    <w:p w:rsidR="00000000" w:rsidDel="00000000" w:rsidP="00000000" w:rsidRDefault="00000000" w:rsidRPr="00000000" w14:paraId="000000AA">
      <w:pPr>
        <w:numPr>
          <w:ilvl w:val="1"/>
          <w:numId w:val="6"/>
        </w:numPr>
        <w:spacing w:after="0" w:afterAutospacing="0"/>
        <w:ind w:left="1440" w:hanging="360"/>
        <w:rPr>
          <w:u w:val="none"/>
        </w:rPr>
      </w:pPr>
      <w:r w:rsidDel="00000000" w:rsidR="00000000" w:rsidRPr="00000000">
        <w:rPr>
          <w:rtl w:val="0"/>
        </w:rPr>
        <w:t xml:space="preserve">This has the scariest talent pool overall (0.60 applicants/vacancy) - treat as a build-vs-buy problem: invest in upskilling/reskilling internal IT support staff into cloud roles rather than relying solely on external hiring.</w:t>
      </w:r>
    </w:p>
    <w:p w:rsidR="00000000" w:rsidDel="00000000" w:rsidP="00000000" w:rsidRDefault="00000000" w:rsidRPr="00000000" w14:paraId="000000AB">
      <w:pPr>
        <w:numPr>
          <w:ilvl w:val="1"/>
          <w:numId w:val="6"/>
        </w:numPr>
        <w:spacing w:after="0" w:afterAutospacing="0"/>
        <w:ind w:left="1440" w:hanging="360"/>
        <w:rPr>
          <w:u w:val="none"/>
        </w:rPr>
      </w:pPr>
      <w:r w:rsidDel="00000000" w:rsidR="00000000" w:rsidRPr="00000000">
        <w:rPr>
          <w:rtl w:val="0"/>
        </w:rPr>
        <w:t xml:space="preserve">Consider certifications-sponsorship programs (AWS/Azure/GCP) to grow the internal pipeline.</w:t>
      </w:r>
    </w:p>
    <w:p w:rsidR="00000000" w:rsidDel="00000000" w:rsidP="00000000" w:rsidRDefault="00000000" w:rsidRPr="00000000" w14:paraId="000000AC">
      <w:pPr>
        <w:numPr>
          <w:ilvl w:val="1"/>
          <w:numId w:val="6"/>
        </w:numPr>
        <w:ind w:left="1440" w:hanging="360"/>
        <w:rPr>
          <w:u w:val="none"/>
        </w:rPr>
      </w:pPr>
      <w:r w:rsidDel="00000000" w:rsidR="00000000" w:rsidRPr="00000000">
        <w:rPr>
          <w:rtl w:val="0"/>
        </w:rPr>
        <w:t xml:space="preserve">Explore contractor/managed-service partnerships to bridge gaps while internal capability is built.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numPr>
          <w:ilvl w:val="0"/>
          <w:numId w:val="6"/>
        </w:numPr>
        <w:spacing w:after="0" w:afterAutospacing="0"/>
        <w:ind w:left="720" w:hanging="360"/>
        <w:rPr>
          <w:u w:val="none"/>
        </w:rPr>
      </w:pPr>
      <w:r w:rsidDel="00000000" w:rsidR="00000000" w:rsidRPr="00000000">
        <w:rPr>
          <w:rtl w:val="0"/>
        </w:rPr>
        <w:t xml:space="preserve">Data &amp; Analytics - skills/qualification mismatch, not a sourcing problem</w:t>
      </w:r>
    </w:p>
    <w:p w:rsidR="00000000" w:rsidDel="00000000" w:rsidP="00000000" w:rsidRDefault="00000000" w:rsidRPr="00000000" w14:paraId="000000AF">
      <w:pPr>
        <w:numPr>
          <w:ilvl w:val="1"/>
          <w:numId w:val="6"/>
        </w:numPr>
        <w:spacing w:after="0" w:afterAutospacing="0"/>
        <w:ind w:left="1440" w:hanging="360"/>
        <w:rPr>
          <w:u w:val="none"/>
        </w:rPr>
      </w:pPr>
      <w:r w:rsidDel="00000000" w:rsidR="00000000" w:rsidRPr="00000000">
        <w:rPr>
          <w:rtl w:val="0"/>
        </w:rPr>
        <w:t xml:space="preserve">Applicant supply is healthy (2.44/vacancy) but 87.9% of postings stay open - the issue is candidates aren’t meeting the bar, not too few candidates.</w:t>
      </w:r>
    </w:p>
    <w:p w:rsidR="00000000" w:rsidDel="00000000" w:rsidP="00000000" w:rsidRDefault="00000000" w:rsidRPr="00000000" w14:paraId="000000B0">
      <w:pPr>
        <w:numPr>
          <w:ilvl w:val="1"/>
          <w:numId w:val="6"/>
        </w:numPr>
        <w:ind w:left="1440" w:hanging="360"/>
        <w:rPr>
          <w:u w:val="none"/>
        </w:rPr>
      </w:pPr>
      <w:r w:rsidDel="00000000" w:rsidR="00000000" w:rsidRPr="00000000">
        <w:rPr>
          <w:rtl w:val="0"/>
        </w:rPr>
        <w:t xml:space="preserve">Recommend to re-examine job requirements - are they overspecified or misaligned with what the role actually needs?</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numPr>
          <w:ilvl w:val="0"/>
          <w:numId w:val="6"/>
        </w:numPr>
        <w:spacing w:after="0" w:afterAutospacing="0"/>
        <w:ind w:left="720" w:hanging="360"/>
      </w:pPr>
      <w:r w:rsidDel="00000000" w:rsidR="00000000" w:rsidRPr="00000000">
        <w:rPr>
          <w:rtl w:val="0"/>
        </w:rPr>
        <w:t xml:space="preserve">“Other IT” - fix the data before acting on it</w:t>
      </w:r>
    </w:p>
    <w:p w:rsidR="00000000" w:rsidDel="00000000" w:rsidP="00000000" w:rsidRDefault="00000000" w:rsidRPr="00000000" w14:paraId="000000B3">
      <w:pPr>
        <w:numPr>
          <w:ilvl w:val="1"/>
          <w:numId w:val="6"/>
        </w:numPr>
        <w:spacing w:after="0" w:afterAutospacing="0"/>
        <w:ind w:left="1440" w:hanging="360"/>
        <w:rPr>
          <w:u w:val="none"/>
        </w:rPr>
      </w:pPr>
      <w:r w:rsidDel="00000000" w:rsidR="00000000" w:rsidRPr="00000000">
        <w:rPr>
          <w:rtl w:val="0"/>
        </w:rPr>
        <w:t xml:space="preserve">Don’t treat this as a single hiring priority - it’s a labeling artifact, not a real specialism.</w:t>
      </w:r>
    </w:p>
    <w:p w:rsidR="00000000" w:rsidDel="00000000" w:rsidP="00000000" w:rsidRDefault="00000000" w:rsidRPr="00000000" w14:paraId="000000B4">
      <w:pPr>
        <w:numPr>
          <w:ilvl w:val="1"/>
          <w:numId w:val="6"/>
        </w:numPr>
        <w:ind w:left="1440" w:hanging="360"/>
        <w:rPr>
          <w:u w:val="none"/>
        </w:rPr>
      </w:pPr>
      <w:r w:rsidDel="00000000" w:rsidR="00000000" w:rsidRPr="00000000">
        <w:rPr>
          <w:rtl w:val="0"/>
        </w:rPr>
        <w:t xml:space="preserve">Recommend working with the data/HRIS team to re-tag postings into proper specialisms so future hard-to-fill analysis is actionable.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numPr>
          <w:ilvl w:val="0"/>
          <w:numId w:val="6"/>
        </w:numPr>
        <w:spacing w:after="0" w:afterAutospacing="0"/>
        <w:ind w:left="720" w:hanging="360"/>
      </w:pPr>
      <w:r w:rsidDel="00000000" w:rsidR="00000000" w:rsidRPr="00000000">
        <w:rPr>
          <w:rtl w:val="0"/>
        </w:rPr>
        <w:t xml:space="preserve">IT Support &amp; Systems - deprioritize</w:t>
      </w:r>
    </w:p>
    <w:p w:rsidR="00000000" w:rsidDel="00000000" w:rsidP="00000000" w:rsidRDefault="00000000" w:rsidRPr="00000000" w14:paraId="000000B7">
      <w:pPr>
        <w:numPr>
          <w:ilvl w:val="1"/>
          <w:numId w:val="6"/>
        </w:numPr>
        <w:ind w:left="1440" w:hanging="360"/>
        <w:rPr>
          <w:u w:val="none"/>
        </w:rPr>
      </w:pPr>
      <w:r w:rsidDel="00000000" w:rsidR="00000000" w:rsidRPr="00000000">
        <w:rPr>
          <w:rtl w:val="0"/>
        </w:rPr>
        <w:t xml:space="preserve">Lowest hard-to-fill index and fastest close-out; no urgent action needed. Keep sourcing channels as-is.</w:t>
      </w: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4. Presentation Challenges and Learnings</w:t>
      </w:r>
    </w:p>
    <w:p w:rsidR="00000000" w:rsidDel="00000000" w:rsidP="00000000" w:rsidRDefault="00000000" w:rsidRPr="00000000" w14:paraId="000000B9">
      <w:pPr>
        <w:pStyle w:val="Heading2"/>
        <w:rPr/>
      </w:pPr>
      <w:r w:rsidDel="00000000" w:rsidR="00000000" w:rsidRPr="00000000">
        <w:rPr>
          <w:rtl w:val="0"/>
        </w:rPr>
        <w:t xml:space="preserve">Challenges and learnings</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b w:val="1"/>
          <w:bCs w:val="1"/>
          <w:rtl w:val="0"/>
        </w:rPr>
        <w:t xml:space="preserve">Salary Data Requires Multiple Checks</w:t>
      </w:r>
      <w:r w:rsidDel="00000000" w:rsidR="00000000" w:rsidRPr="00000000">
        <w:rPr>
          <w:b w:val="1"/>
          <w:bCs w:val="1"/>
          <w:rtl w:val="0"/>
        </w:rPr>
        <w:t xml:space="preserve">.</w:t>
      </w: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 </w:t>
      </w:r>
      <w:r w:rsidDel="00000000" w:rsidR="00000000" w:rsidRPr="00000000">
        <w:rPr>
          <w:rtl w:val="0"/>
        </w:rPr>
        <w:t xml:space="preserve">Salary midpoint alone cannot determine whether a record is reasonable. Some postings may have an unusually low minimum salary, a very high maximum salary, or an excessively wide salary range. Therefore, both IQR screening and salary-band checks are used. Flagged records are not necessarily errors, so the original records and review reasons are retained.</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Labels need context.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Source position levels represent different career tracks rather than a strict promotion ladder. Title-keyword classification depends on matching order and may misclassify ambiguous roles. Similar functions should be compared before attributing salary differences to seniority.</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Consistent denominators matter.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multi-category posting must not be counted repeatedly as distinct demand. Use unique posting IDs after category expansion. An all-industry comparator for the employment-mix topic requires the wider source population, not only the IT master dataset.</w:t>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40" w:before="0" w:line="264"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Advertisements have limits.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data records offered salary ranges rather than accepted compensation. Posting counts show advertised demand and cannot establish candidate scarcity. Experience-pay differences can also reflect job function and seniority. The historical period limits application to current hiring.</w:t>
      </w:r>
    </w:p>
    <w:p w:rsidR="00000000" w:rsidDel="00000000" w:rsidP="00000000" w:rsidRDefault="00000000" w:rsidRPr="00000000" w14:paraId="000000BE">
      <w:pPr>
        <w:pStyle w:val="Heading2"/>
        <w:rPr/>
      </w:pPr>
      <w:r w:rsidDel="00000000" w:rsidR="00000000" w:rsidRPr="00000000">
        <w:rPr>
          <w:rtl w:val="0"/>
        </w:rPr>
        <w:t xml:space="preserve">Next steps</w:t>
      </w:r>
    </w:p>
    <w:p w:rsidR="00000000" w:rsidDel="00000000" w:rsidP="00000000" w:rsidRDefault="00000000" w:rsidRPr="00000000" w14:paraId="000000BF">
      <w:pPr>
        <w:rPr/>
      </w:pPr>
      <w:r w:rsidDel="00000000" w:rsidR="00000000" w:rsidRPr="00000000">
        <w:rPr>
          <w:rtl w:val="0"/>
        </w:rPr>
        <w:t xml:space="preserve">Review how results change under alternative salary thresholds, manually validate a sample of keyword classifications and refresh the dataset before current hiring decisions. </w:t>
      </w:r>
      <w:r w:rsidDel="00000000" w:rsidR="00000000" w:rsidRPr="00000000">
        <w:rPr>
          <w:rtl w:val="0"/>
        </w:rPr>
      </w:r>
    </w:p>
    <w:sectPr>
      <w:footerReference r:id="rId36" w:type="default"/>
      <w:pgSz w:h="16848" w:w="11952"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16"/>
        <w:szCs w:val="16"/>
        <w:u w:val="none"/>
        <w:shd w:fill="auto" w:val="clear"/>
        <w:vertAlign w:val="baseline"/>
        <w:rtl w:val="0"/>
      </w:rPr>
      <w:t xml:space="preserve">Group 5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4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00" w:lineRule="auto"/>
    </w:pPr>
    <w:rPr>
      <w:rFonts w:ascii="Calibri" w:cs="Calibri" w:eastAsia="Calibri" w:hAnsi="Calibri"/>
      <w:b w:val="1"/>
      <w:bCs w:val="1"/>
      <w:color w:val="000000"/>
      <w:sz w:val="34"/>
      <w:szCs w:val="34"/>
    </w:rPr>
  </w:style>
  <w:style w:type="paragraph" w:styleId="Heading2">
    <w:name w:val="heading 2"/>
    <w:basedOn w:val="Normal"/>
    <w:next w:val="Normal"/>
    <w:pPr>
      <w:keepNext w:val="1"/>
      <w:keepLines w:val="1"/>
      <w:spacing w:after="140" w:before="200" w:lineRule="auto"/>
    </w:pPr>
    <w:rPr>
      <w:rFonts w:ascii="Calibri" w:cs="Calibri" w:eastAsia="Calibri" w:hAnsi="Calibri"/>
      <w:b w:val="1"/>
      <w:bCs w:val="1"/>
      <w:color w:val="000000"/>
      <w:sz w:val="24"/>
      <w:szCs w:val="24"/>
    </w:rPr>
  </w:style>
  <w:style w:type="paragraph" w:styleId="Heading3">
    <w:name w:val="heading 3"/>
    <w:basedOn w:val="Normal"/>
    <w:next w:val="Normal"/>
    <w:pPr>
      <w:keepNext w:val="1"/>
      <w:keepLines w:val="1"/>
      <w:spacing w:after="140" w:before="200" w:lineRule="auto"/>
    </w:pPr>
    <w:rPr>
      <w:rFonts w:ascii="Calibri" w:cs="Calibri" w:eastAsia="Calibri" w:hAnsi="Calibri"/>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spacing w:after="140" w:before="200" w:line="240" w:lineRule="auto"/>
    </w:pPr>
    <w:rPr>
      <w:rFonts w:ascii="Calibri" w:cs="Calibri" w:eastAsia="Calibri" w:hAnsi="Calibri"/>
      <w:color w:val="000000"/>
      <w:sz w:val="50"/>
      <w:szCs w:val="50"/>
    </w:rPr>
  </w:style>
  <w:style w:type="paragraph" w:styleId="8">
    <w:name w:val="heading 7"/>
    <w:basedOn w:val="1"/>
    <w:next w:val="1"/>
    <w:link w:val="154"/>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paragraph" w:styleId="9">
    <w:name w:val="heading 8"/>
    <w:basedOn w:val="1"/>
    <w:next w:val="1"/>
    <w:link w:val="155"/>
    <w:uiPriority w:val="9"/>
    <w:semiHidden w:val="1"/>
    <w:unhideWhenUsed w:val="1"/>
    <w:qFormat w:val="1"/>
    <w:pPr>
      <w:keepNext w:val="1"/>
      <w:keepLines w:val="1"/>
      <w:spacing w:after="0" w:before="200"/>
      <w:outlineLvl w:val="7"/>
    </w:pPr>
    <w:rPr>
      <w:rFonts w:asciiTheme="majorHAnsi" w:cstheme="majorBidi" w:eastAsiaTheme="majorEastAsia" w:hAnsiTheme="majorHAnsi"/>
      <w:color w:val="4f81bd" w:themeColor="accent1"/>
      <w:sz w:val="20"/>
      <w:szCs w:val="20"/>
      <w14:textFill>
        <w14:solidFill>
          <w14:schemeClr w14:val="accent1"/>
        </w14:solidFill>
      </w14:textFill>
    </w:rPr>
  </w:style>
  <w:style w:type="paragraph" w:styleId="10">
    <w:name w:val="heading 9"/>
    <w:basedOn w:val="1"/>
    <w:next w:val="1"/>
    <w:link w:val="156"/>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character" w:styleId="11" w:default="1">
    <w:name w:val="Default Paragraph Font"/>
    <w:uiPriority w:val="1"/>
    <w:semiHidden w:val="1"/>
    <w:unhideWhenUsed w:val="1"/>
  </w:style>
  <w:style w:type="table" w:styleId="12" w:default="1">
    <w:name w:val="Normal Table"/>
    <w:uiPriority w:val="99"/>
    <w:semiHidden w:val="1"/>
    <w:unhideWhenUsed w:val="1"/>
    <w:tblPr>
      <w:tblCellMar>
        <w:top w:w="0.0" w:type="dxa"/>
        <w:left w:w="108.0" w:type="dxa"/>
        <w:bottom w:w="0.0" w:type="dxa"/>
        <w:right w:w="108.0" w:type="dxa"/>
      </w:tblCellMar>
    </w:tblPr>
  </w:style>
  <w:style w:type="paragraph" w:styleId="13">
    <w:name w:val="Body Text"/>
    <w:basedOn w:val="1"/>
    <w:link w:val="145"/>
    <w:uiPriority w:val="99"/>
    <w:unhideWhenUsed w:val="1"/>
    <w:pPr>
      <w:spacing w:after="120"/>
    </w:pPr>
  </w:style>
  <w:style w:type="paragraph" w:styleId="14">
    <w:name w:val="Body Text 2"/>
    <w:basedOn w:val="1"/>
    <w:link w:val="146"/>
    <w:uiPriority w:val="99"/>
    <w:unhideWhenUsed w:val="1"/>
    <w:pPr>
      <w:spacing w:after="120" w:line="480" w:lineRule="auto"/>
    </w:pPr>
  </w:style>
  <w:style w:type="paragraph" w:styleId="15">
    <w:name w:val="Body Text 3"/>
    <w:basedOn w:val="1"/>
    <w:link w:val="147"/>
    <w:uiPriority w:val="99"/>
    <w:unhideWhenUsed w:val="1"/>
    <w:pPr>
      <w:spacing w:after="120"/>
    </w:pPr>
    <w:rPr>
      <w:sz w:val="16"/>
      <w:szCs w:val="16"/>
    </w:rPr>
  </w:style>
  <w:style w:type="paragraph" w:styleId="16">
    <w:name w:val="caption"/>
    <w:basedOn w:val="1"/>
    <w:next w:val="1"/>
    <w:uiPriority w:val="35"/>
    <w:semiHidden w:val="1"/>
    <w:unhideWhenUsed w:val="1"/>
    <w:qFormat w:val="1"/>
    <w:pPr>
      <w:spacing w:after="140" w:line="240" w:lineRule="auto"/>
    </w:pPr>
    <w:rPr>
      <w:rFonts w:ascii="Arial" w:hAnsi="Arial"/>
      <w:b w:val="1"/>
      <w:bCs w:val="1"/>
      <w:color w:val="000000"/>
      <w:sz w:val="18"/>
      <w:szCs w:val="18"/>
    </w:rPr>
  </w:style>
  <w:style w:type="character" w:styleId="17">
    <w:name w:val="Emphasis"/>
    <w:basedOn w:val="11"/>
    <w:uiPriority w:val="20"/>
    <w:qFormat w:val="1"/>
    <w:rPr>
      <w:i w:val="1"/>
      <w:iCs w:val="1"/>
    </w:rPr>
  </w:style>
  <w:style w:type="paragraph" w:styleId="18">
    <w:name w:val="footer"/>
    <w:basedOn w:val="1"/>
    <w:link w:val="137"/>
    <w:uiPriority w:val="99"/>
    <w:unhideWhenUsed w:val="1"/>
    <w:pPr>
      <w:tabs>
        <w:tab w:val="center" w:pos="4680"/>
        <w:tab w:val="right" w:pos="9360"/>
      </w:tabs>
      <w:spacing w:after="0" w:line="240" w:lineRule="auto"/>
    </w:pPr>
  </w:style>
  <w:style w:type="paragraph" w:styleId="19">
    <w:name w:val="header"/>
    <w:basedOn w:val="1"/>
    <w:link w:val="136"/>
    <w:uiPriority w:val="99"/>
    <w:unhideWhenUsed w:val="1"/>
    <w:pPr>
      <w:tabs>
        <w:tab w:val="center" w:pos="4680"/>
        <w:tab w:val="right" w:pos="9360"/>
      </w:tabs>
      <w:spacing w:after="0" w:line="240" w:lineRule="auto"/>
    </w:pPr>
  </w:style>
  <w:style w:type="character" w:styleId="20">
    <w:name w:val="Hyperlink"/>
    <w:basedOn w:val="11"/>
    <w:uiPriority w:val="99"/>
    <w:semiHidden w:val="1"/>
    <w:unhideWhenUsed w:val="1"/>
    <w:rPr>
      <w:color w:val="0000ff"/>
      <w:u w:val="single"/>
    </w:rPr>
  </w:style>
  <w:style w:type="paragraph" w:styleId="21">
    <w:name w:val="List"/>
    <w:basedOn w:val="1"/>
    <w:uiPriority w:val="99"/>
    <w:unhideWhenUsed w:val="1"/>
    <w:pPr>
      <w:ind w:left="360" w:hanging="360"/>
      <w:contextualSpacing w:val="1"/>
    </w:pPr>
  </w:style>
  <w:style w:type="paragraph" w:styleId="22">
    <w:name w:val="List 2"/>
    <w:basedOn w:val="1"/>
    <w:uiPriority w:val="99"/>
    <w:unhideWhenUsed w:val="1"/>
    <w:pPr>
      <w:ind w:left="720" w:hanging="360"/>
      <w:contextualSpacing w:val="1"/>
    </w:pPr>
  </w:style>
  <w:style w:type="paragraph" w:styleId="23">
    <w:name w:val="List 3"/>
    <w:basedOn w:val="1"/>
    <w:uiPriority w:val="99"/>
    <w:unhideWhenUsed w:val="1"/>
    <w:pPr>
      <w:ind w:left="1080" w:hanging="360"/>
      <w:contextualSpacing w:val="1"/>
    </w:pPr>
  </w:style>
  <w:style w:type="paragraph" w:styleId="24">
    <w:name w:val="List Bullet"/>
    <w:basedOn w:val="1"/>
    <w:uiPriority w:val="99"/>
    <w:unhideWhenUsed w:val="1"/>
    <w:pPr>
      <w:numPr>
        <w:ilvl w:val="0"/>
        <w:numId w:val="1"/>
      </w:numPr>
      <w:spacing w:after="140"/>
      <w:contextualSpacing w:val="1"/>
    </w:pPr>
    <w:rPr>
      <w:rFonts w:ascii="Arial" w:hAnsi="Arial"/>
      <w:color w:val="000000"/>
    </w:rPr>
  </w:style>
  <w:style w:type="paragraph" w:styleId="25">
    <w:name w:val="List Bullet 2"/>
    <w:basedOn w:val="1"/>
    <w:uiPriority w:val="99"/>
    <w:unhideWhenUsed w:val="1"/>
    <w:pPr>
      <w:numPr>
        <w:ilvl w:val="0"/>
        <w:numId w:val="2"/>
      </w:numPr>
      <w:contextualSpacing w:val="1"/>
    </w:pPr>
  </w:style>
  <w:style w:type="paragraph" w:styleId="26">
    <w:name w:val="List Bullet 3"/>
    <w:basedOn w:val="1"/>
    <w:uiPriority w:val="99"/>
    <w:unhideWhenUsed w:val="1"/>
    <w:pPr>
      <w:numPr>
        <w:ilvl w:val="0"/>
        <w:numId w:val="3"/>
      </w:numPr>
      <w:contextualSpacing w:val="1"/>
    </w:pPr>
  </w:style>
  <w:style w:type="paragraph" w:styleId="27">
    <w:name w:val="List Continue"/>
    <w:basedOn w:val="1"/>
    <w:uiPriority w:val="99"/>
    <w:unhideWhenUsed w:val="1"/>
    <w:pPr>
      <w:spacing w:after="120"/>
      <w:ind w:left="360"/>
      <w:contextualSpacing w:val="1"/>
    </w:pPr>
  </w:style>
  <w:style w:type="paragraph" w:styleId="28">
    <w:name w:val="List Continue 2"/>
    <w:basedOn w:val="1"/>
    <w:uiPriority w:val="99"/>
    <w:unhideWhenUsed w:val="1"/>
    <w:pPr>
      <w:spacing w:after="120"/>
      <w:ind w:left="720"/>
      <w:contextualSpacing w:val="1"/>
    </w:pPr>
  </w:style>
  <w:style w:type="paragraph" w:styleId="29">
    <w:name w:val="List Continue 3"/>
    <w:basedOn w:val="1"/>
    <w:uiPriority w:val="99"/>
    <w:unhideWhenUsed w:val="1"/>
    <w:pPr>
      <w:spacing w:after="120"/>
      <w:ind w:left="1080"/>
      <w:contextualSpacing w:val="1"/>
    </w:pPr>
  </w:style>
  <w:style w:type="paragraph" w:styleId="30">
    <w:name w:val="List Number"/>
    <w:basedOn w:val="1"/>
    <w:uiPriority w:val="99"/>
    <w:unhideWhenUsed w:val="1"/>
    <w:pPr>
      <w:numPr>
        <w:ilvl w:val="0"/>
        <w:numId w:val="4"/>
      </w:numPr>
      <w:spacing w:after="140"/>
      <w:contextualSpacing w:val="1"/>
    </w:pPr>
    <w:rPr>
      <w:rFonts w:ascii="Arial" w:hAnsi="Arial"/>
      <w:color w:val="000000"/>
    </w:rPr>
  </w:style>
  <w:style w:type="paragraph" w:styleId="31">
    <w:name w:val="List Number 2"/>
    <w:basedOn w:val="1"/>
    <w:uiPriority w:val="99"/>
    <w:unhideWhenUsed w:val="1"/>
    <w:pPr>
      <w:numPr>
        <w:ilvl w:val="0"/>
        <w:numId w:val="5"/>
      </w:numPr>
      <w:contextualSpacing w:val="1"/>
    </w:pPr>
  </w:style>
  <w:style w:type="paragraph" w:styleId="32">
    <w:name w:val="List Number 3"/>
    <w:basedOn w:val="1"/>
    <w:uiPriority w:val="99"/>
    <w:unhideWhenUsed w:val="1"/>
    <w:pPr>
      <w:numPr>
        <w:ilvl w:val="0"/>
        <w:numId w:val="6"/>
      </w:numPr>
      <w:contextualSpacing w:val="1"/>
    </w:pPr>
  </w:style>
  <w:style w:type="paragraph" w:styleId="33">
    <w:name w:val="macro"/>
    <w:link w:val="148"/>
    <w:uiPriority w:val="99"/>
    <w:unhideWhenUsed w:val="1"/>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eastAsiaTheme="minorEastAsia"/>
      <w:sz w:val="20"/>
      <w:szCs w:val="20"/>
      <w:lang w:bidi="ar-SA" w:eastAsia="en-US" w:val="en-US"/>
    </w:rPr>
  </w:style>
  <w:style w:type="character" w:styleId="34">
    <w:name w:val="Strong"/>
    <w:basedOn w:val="11"/>
    <w:uiPriority w:val="22"/>
    <w:qFormat w:val="1"/>
    <w:rPr>
      <w:b w:val="1"/>
      <w:bCs w:val="1"/>
    </w:rPr>
  </w:style>
  <w:style w:type="table" w:styleId="36">
    <w:name w:val="Table Grid"/>
    <w:basedOn w:val="12"/>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38">
    <w:name w:val="Light Shading"/>
    <w:basedOn w:val="12"/>
    <w:uiPriority w:val="60"/>
    <w:pPr>
      <w:spacing w:after="0" w:line="240" w:lineRule="auto"/>
    </w:pPr>
    <w:rPr>
      <w:color w:val="000000" w:themeColor="text1" w:themeShade="0000BF"/>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left w:space="0" w:sz="0" w:val="nil"/>
          <w:right w:space="0" w:sz="0" w:val="nil"/>
          <w:insideH w:space="0" w:sz="0" w:val="nil"/>
          <w:insideV w:space="0" w:sz="0" w:val="nil"/>
        </w:tcBorders>
        <w:shd w:color="auto" w:fill="bfbfbf" w:themeFill="text1" w:themeFillTint="00003F" w:val="clear"/>
      </w:tcPr>
    </w:tblStylePr>
  </w:style>
  <w:style w:type="table" w:styleId="39">
    <w:name w:val="Light Shading Accent 1"/>
    <w:basedOn w:val="12"/>
    <w:uiPriority w:val="60"/>
    <w:pPr>
      <w:spacing w:after="0" w:line="240" w:lineRule="auto"/>
    </w:pPr>
    <w:rPr>
      <w:color w:val="376092" w:themeColor="accent1" w:themeShade="0000BF"/>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40">
    <w:name w:val="Light Shading Accent 2"/>
    <w:basedOn w:val="12"/>
    <w:uiPriority w:val="60"/>
    <w:pPr>
      <w:spacing w:after="0" w:line="240" w:lineRule="auto"/>
    </w:pPr>
    <w:rPr>
      <w:color w:val="953735" w:themeColor="accent2" w:themeShade="0000BF"/>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left w:space="0" w:sz="0" w:val="nil"/>
          <w:right w:space="0" w:sz="0" w:val="nil"/>
          <w:insideH w:space="0" w:sz="0" w:val="nil"/>
          <w:insideV w:space="0" w:sz="0" w:val="nil"/>
        </w:tcBorders>
        <w:shd w:color="auto" w:fill="efd3d3" w:themeFill="accent2" w:themeFillTint="00003F" w:val="clear"/>
      </w:tcPr>
    </w:tblStylePr>
  </w:style>
  <w:style w:type="table" w:styleId="41">
    <w:name w:val="Light Shading Accent 3"/>
    <w:basedOn w:val="12"/>
    <w:uiPriority w:val="60"/>
    <w:pPr>
      <w:spacing w:after="0" w:line="240" w:lineRule="auto"/>
    </w:pPr>
    <w:rPr>
      <w:color w:val="77933c" w:themeColor="accent3" w:themeShade="0000BF"/>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2">
    <w:name w:val="Light Shading Accent 4"/>
    <w:basedOn w:val="12"/>
    <w:uiPriority w:val="60"/>
    <w:pPr>
      <w:spacing w:after="0" w:line="240" w:lineRule="auto"/>
    </w:pPr>
    <w:rPr>
      <w:color w:val="604a7b" w:themeColor="accent4" w:themeShade="0000BF"/>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43">
    <w:name w:val="Light Shading Accent 5"/>
    <w:basedOn w:val="12"/>
    <w:uiPriority w:val="60"/>
    <w:pPr>
      <w:spacing w:after="0" w:line="240" w:lineRule="auto"/>
    </w:pPr>
    <w:rPr>
      <w:color w:val="31859c" w:themeColor="accent5" w:themeShade="0000BF"/>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left w:space="0" w:sz="0" w:val="nil"/>
          <w:right w:space="0" w:sz="0" w:val="nil"/>
          <w:insideH w:space="0" w:sz="0" w:val="nil"/>
          <w:insideV w:space="0" w:sz="0" w:val="nil"/>
        </w:tcBorders>
        <w:shd w:color="auto" w:fill="d2eaf0" w:themeFill="accent5" w:themeFillTint="00003F" w:val="clear"/>
      </w:tcPr>
    </w:tblStylePr>
  </w:style>
  <w:style w:type="table" w:styleId="44">
    <w:name w:val="Light Shading Accent 6"/>
    <w:basedOn w:val="12"/>
    <w:uiPriority w:val="60"/>
    <w:pPr>
      <w:spacing w:after="0" w:line="240" w:lineRule="auto"/>
    </w:pPr>
    <w:rPr>
      <w:color w:val="e46c0a" w:themeColor="accent6" w:themeShade="0000BF"/>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left w:space="0" w:sz="0" w:val="nil"/>
          <w:right w:space="0" w:sz="0" w:val="nil"/>
          <w:insideH w:space="0" w:sz="0" w:val="nil"/>
          <w:insideV w:space="0" w:sz="0" w:val="nil"/>
        </w:tcBorders>
        <w:shd w:color="auto" w:fill="fde5d1" w:themeFill="accent6" w:themeFillTint="00003F" w:val="clear"/>
      </w:tcPr>
    </w:tblStylePr>
  </w:style>
  <w:style w:type="table" w:styleId="45">
    <w:name w:val="Light List"/>
    <w:basedOn w:val="12"/>
    <w:uiPriority w:val="6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46">
    <w:name w:val="Light List Accent 1"/>
    <w:basedOn w:val="12"/>
    <w:uiPriority w:val="6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47">
    <w:name w:val="Light List Accent 2"/>
    <w:basedOn w:val="12"/>
    <w:uiPriority w:val="6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48">
    <w:name w:val="Light List Accent 3"/>
    <w:basedOn w:val="12"/>
    <w:uiPriority w:val="6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9">
    <w:name w:val="Light List Accent 4"/>
    <w:basedOn w:val="12"/>
    <w:uiPriority w:val="6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12"/>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51">
    <w:name w:val="Light List Accent 6"/>
    <w:basedOn w:val="12"/>
    <w:uiPriority w:val="6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52">
    <w:name w:val="Light Grid"/>
    <w:basedOn w:val="12"/>
    <w:uiPriority w:val="62"/>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type="table" w:styleId="53">
    <w:name w:val="Light Grid Accent 1"/>
    <w:basedOn w:val="12"/>
    <w:uiPriority w:val="62"/>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type="table" w:styleId="54">
    <w:name w:val="Light Grid Accent 2"/>
    <w:basedOn w:val="12"/>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type="table" w:styleId="55">
    <w:name w:val="Light Grid Accent 3"/>
    <w:basedOn w:val="12"/>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type="table" w:styleId="56">
    <w:name w:val="Light Grid Accent 4"/>
    <w:basedOn w:val="12"/>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type="table" w:styleId="57">
    <w:name w:val="Light Grid Accent 5"/>
    <w:basedOn w:val="12"/>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type="table" w:styleId="58">
    <w:name w:val="Light Grid Accent 6"/>
    <w:basedOn w:val="12"/>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type="table" w:styleId="59">
    <w:name w:val="Medium Shading 1"/>
    <w:basedOn w:val="12"/>
    <w:uiPriority w:val="63"/>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3f3f3f" w:space="0" w:sz="6" w:themeColor="text1" w:themeTint="0000BF" w:val="doub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fbfbf" w:themeFill="text1" w:themeFillTint="00003F" w:val="clear"/>
      </w:tcPr>
    </w:tblStylePr>
    <w:tblStylePr w:type="band1Horz">
      <w:tblPr/>
      <w:tcPr>
        <w:tcBorders>
          <w:insideH w:space="0" w:sz="0" w:val="nil"/>
          <w:insideV w:space="0" w:sz="0" w:val="nil"/>
        </w:tcBorders>
        <w:shd w:color="auto" w:fill="bfbfbf" w:themeFill="text1" w:themeFillTint="00003F" w:val="clear"/>
      </w:tcPr>
    </w:tblStylePr>
    <w:tblStylePr w:type="band2Horz">
      <w:tblPr/>
      <w:tcPr>
        <w:tcBorders>
          <w:insideH w:space="0" w:sz="0" w:val="nil"/>
          <w:insideV w:space="0" w:sz="0" w:val="nil"/>
        </w:tcBorders>
      </w:tcPr>
    </w:tblStylePr>
  </w:style>
  <w:style w:type="table" w:styleId="60">
    <w:name w:val="Medium Shading 1 Accent 1"/>
    <w:basedOn w:val="12"/>
    <w:uiPriority w:val="63"/>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61">
    <w:name w:val="Medium Shading 1 Accent 2"/>
    <w:basedOn w:val="12"/>
    <w:uiPriority w:val="63"/>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3" w:themeFill="accent2" w:themeFillTint="00003F" w:val="clear"/>
      </w:tcPr>
    </w:tblStylePr>
    <w:tblStylePr w:type="band1Horz">
      <w:tblPr/>
      <w:tcPr>
        <w:tcBorders>
          <w:insideH w:space="0" w:sz="0" w:val="nil"/>
          <w:insideV w:space="0" w:sz="0" w:val="nil"/>
        </w:tcBorders>
        <w:shd w:color="auto" w:fill="efd3d3" w:themeFill="accent2" w:themeFillTint="00003F" w:val="clear"/>
      </w:tcPr>
    </w:tblStylePr>
    <w:tblStylePr w:type="band2Horz">
      <w:tblPr/>
      <w:tcPr>
        <w:tcBorders>
          <w:insideH w:space="0" w:sz="0" w:val="nil"/>
          <w:insideV w:space="0" w:sz="0" w:val="nil"/>
        </w:tcBorders>
      </w:tcPr>
    </w:tblStylePr>
  </w:style>
  <w:style w:type="table" w:styleId="62">
    <w:name w:val="Medium Shading 1 Accent 3"/>
    <w:basedOn w:val="12"/>
    <w:uiPriority w:val="63"/>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4cc82" w:space="0" w:sz="6" w:themeColor="accent3" w:themeTint="0000BF" w:val="doub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63">
    <w:name w:val="Medium Shading 1 Accent 4"/>
    <w:basedOn w:val="12"/>
    <w:uiPriority w:val="63"/>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64">
    <w:name w:val="Medium Shading 1 Accent 5"/>
    <w:basedOn w:val="12"/>
    <w:uiPriority w:val="63"/>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0" w:themeFill="accent5" w:themeFillTint="00003F" w:val="clear"/>
      </w:tcPr>
    </w:tblStylePr>
    <w:tblStylePr w:type="band1Horz">
      <w:tblPr/>
      <w:tcPr>
        <w:tcBorders>
          <w:insideH w:space="0" w:sz="0" w:val="nil"/>
          <w:insideV w:space="0" w:sz="0" w:val="nil"/>
        </w:tcBorders>
        <w:shd w:color="auto" w:fill="d2eaf0" w:themeFill="accent5" w:themeFillTint="00003F" w:val="clear"/>
      </w:tcPr>
    </w:tblStylePr>
    <w:tblStylePr w:type="band2Horz">
      <w:tblPr/>
      <w:tcPr>
        <w:tcBorders>
          <w:insideH w:space="0" w:sz="0" w:val="nil"/>
          <w:insideV w:space="0" w:sz="0" w:val="nil"/>
        </w:tcBorders>
      </w:tcPr>
    </w:tblStylePr>
  </w:style>
  <w:style w:type="table" w:styleId="65">
    <w:name w:val="Medium Shading 1 Accent 6"/>
    <w:basedOn w:val="12"/>
    <w:uiPriority w:val="63"/>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5d1" w:themeFill="accent6" w:themeFillTint="00003F" w:val="clear"/>
      </w:tcPr>
    </w:tblStylePr>
    <w:tblStylePr w:type="band1Horz">
      <w:tblPr/>
      <w:tcPr>
        <w:tcBorders>
          <w:insideH w:space="0" w:sz="0" w:val="nil"/>
          <w:insideV w:space="0" w:sz="0" w:val="nil"/>
        </w:tcBorders>
        <w:shd w:color="auto" w:fill="fde5d1" w:themeFill="accent6" w:themeFillTint="00003F" w:val="clear"/>
      </w:tcPr>
    </w:tblStylePr>
    <w:tblStylePr w:type="band2Horz">
      <w:tblPr/>
      <w:tcPr>
        <w:tcBorders>
          <w:insideH w:space="0" w:sz="0" w:val="nil"/>
          <w:insideV w:space="0" w:sz="0" w:val="nil"/>
        </w:tcBorders>
      </w:tcPr>
    </w:tblStylePr>
  </w:style>
  <w:style w:type="table" w:styleId="66">
    <w:name w:val="Medium Shading 2"/>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7">
    <w:name w:val="Medium Shading 2 Accent 1"/>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8">
    <w:name w:val="Medium Shading 2 Accent 2"/>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9">
    <w:name w:val="Medium Shading 2 Accent 3"/>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0">
    <w:name w:val="Medium Shading 2 Accent 4"/>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1">
    <w:name w:val="Medium Shading 2 Accent 5"/>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2">
    <w:name w:val="Medium Shading 2 Accent 6"/>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bfbfbf" w:themeFill="text1" w:themeFillTint="00003F" w:val="clear"/>
      </w:tcPr>
    </w:tblStylePr>
    <w:tblStylePr w:type="band1Horz">
      <w:tblPr/>
      <w:tcPr>
        <w:shd w:color="auto" w:fill="bfbfbf" w:themeFill="text1" w:themeFillTint="00003F" w:val="clear"/>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00003F" w:val="clear"/>
      </w:tcPr>
    </w:tblStylePr>
    <w:tblStylePr w:type="band1Horz">
      <w:tblPr/>
      <w:tcPr>
        <w:shd w:color="auto" w:fill="efd3d3" w:themeFill="accent2" w:themeFillTint="00003F" w:val="clear"/>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00003F" w:val="clear"/>
      </w:tcPr>
    </w:tblStylePr>
    <w:tblStylePr w:type="band1Horz">
      <w:tblPr/>
      <w:tcPr>
        <w:shd w:color="auto" w:fill="d2eaf0" w:themeFill="accent5" w:themeFillTint="00003F" w:val="clear"/>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00003F" w:val="clear"/>
      </w:tcPr>
    </w:tblStylePr>
    <w:tblStylePr w:type="band1Horz">
      <w:tblPr/>
      <w:tcPr>
        <w:shd w:color="auto" w:fill="fde5d1" w:themeFill="accent6" w:themeFillTint="00003F" w:val="clear"/>
      </w:tcPr>
    </w:tblStylePr>
  </w:style>
  <w:style w:type="table" w:styleId="80">
    <w:name w:val="Medium List 2"/>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top w:space="0" w:sz="0" w:val="nil"/>
          <w:bottom w:space="0" w:sz="0" w:val="nil"/>
          <w:insideH w:space="0" w:sz="0" w:val="nil"/>
          <w:insideV w:space="0" w:sz="0" w:val="nil"/>
        </w:tcBorders>
        <w:shd w:color="auto" w:fill="bfbfbf"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1">
    <w:name w:val="Medium List 2 Accent 1"/>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2">
    <w:name w:val="Medium List 2 Accent 2"/>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top w:space="0" w:sz="0" w:val="nil"/>
          <w:bottom w:space="0" w:sz="0" w:val="nil"/>
          <w:insideH w:space="0" w:sz="0" w:val="nil"/>
          <w:insideV w:space="0" w:sz="0" w:val="nil"/>
        </w:tcBorders>
        <w:shd w:color="auto" w:fill="efd3d3"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3">
    <w:name w:val="Medium List 2 Accent 3"/>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4">
    <w:name w:val="Medium List 2 Accent 4"/>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5">
    <w:name w:val="Medium List 2 Accent 5"/>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top w:space="0" w:sz="0" w:val="nil"/>
          <w:bottom w:space="0" w:sz="0" w:val="nil"/>
          <w:insideH w:space="0" w:sz="0" w:val="nil"/>
          <w:insideV w:space="0" w:sz="0" w:val="nil"/>
        </w:tcBorders>
        <w:shd w:color="auto" w:fill="d2eaf0"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6">
    <w:name w:val="Medium List 2 Accent 6"/>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top w:space="0" w:sz="0" w:val="nil"/>
          <w:bottom w:space="0" w:sz="0" w:val="nil"/>
          <w:insideH w:space="0" w:sz="0" w:val="nil"/>
          <w:insideV w:space="0" w:sz="0" w:val="nil"/>
        </w:tcBorders>
        <w:shd w:color="auto" w:fill="fde5d1"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7">
    <w:name w:val="Medium Grid 1"/>
    <w:basedOn w:val="12"/>
    <w:uiPriority w:val="67"/>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insideV w:color="3f3f3f" w:space="0" w:sz="8" w:themeColor="text1" w:themeTint="0000BF"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rPr>
    </w:tblStylePr>
    <w:tblStylePr w:type="lastRow">
      <w:rPr>
        <w:b w:val="1"/>
        <w:bCs w:val="1"/>
      </w:rPr>
      <w:tblPr/>
      <w:tcPr>
        <w:tcBorders>
          <w:top w:color="3f3f3f"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88">
    <w:name w:val="Medium Grid 1 Accent 1"/>
    <w:basedOn w:val="12"/>
    <w:uiPriority w:val="67"/>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89">
    <w:name w:val="Medium Grid 1 Accent 2"/>
    <w:basedOn w:val="12"/>
    <w:uiPriority w:val="67"/>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90">
    <w:name w:val="Medium Grid 1 Accent 3"/>
    <w:basedOn w:val="12"/>
    <w:uiPriority w:val="67"/>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insideV w:color="b4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4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91">
    <w:name w:val="Medium Grid 1 Accent 4"/>
    <w:basedOn w:val="12"/>
    <w:uiPriority w:val="67"/>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92">
    <w:name w:val="Medium Grid 1 Accent 5"/>
    <w:basedOn w:val="12"/>
    <w:uiPriority w:val="67"/>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93">
    <w:name w:val="Medium Grid 1 Accent 6"/>
    <w:basedOn w:val="12"/>
    <w:uiPriority w:val="67"/>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94">
    <w:name w:val="Medium Grid 2"/>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color w:val="000000" w:themeColor="text1"/>
        <w14:textFill>
          <w14:solidFill>
            <w14:schemeClr w14:val="tx1"/>
          </w14:solidFill>
        </w14:textFill>
      </w:rPr>
      <w:tblPr/>
      <w:tcPr>
        <w:shd w:color="auto" w:fill="e5e5e5" w:themeFill="tex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7f7f7f" w:themeFill="text1" w:themeFillTint="00007F" w:val="clear"/>
      </w:tcPr>
    </w:tblStylePr>
    <w:tblStylePr w:type="band1Horz">
      <w:tblPr/>
      <w:tcPr>
        <w:tcBorders>
          <w:insideH w:space="0" w:sz="6" w:val="single"/>
          <w:insideV w:space="0" w:sz="6" w:val="single"/>
        </w:tcBorders>
        <w:shd w:color="auto" w:fill="7f7f7f" w:themeFill="text1" w:themeFillTint="00007F" w:val="clear"/>
      </w:tcPr>
    </w:tblStylePr>
    <w:tblStylePr w:type="nwCell">
      <w:tblPr/>
      <w:tcPr>
        <w:shd w:color="auto" w:fill="ffffff" w:themeFill="background1" w:val="clear"/>
      </w:tcPr>
    </w:tblStylePr>
  </w:style>
  <w:style w:type="table" w:styleId="95">
    <w:name w:val="Medium Grid 2 Accent 1"/>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14:textFill>
          <w14:solidFill>
            <w14:schemeClr w14:val="tx1"/>
          </w14:solidFill>
        </w14:textFill>
      </w:rPr>
      <w:tblPr/>
      <w:tcPr>
        <w:shd w:color="auto" w:fill="edf2f8" w:themeFill="accen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c0de" w:themeFill="accent1" w:themeFillTint="00007F" w:val="clear"/>
      </w:tcPr>
    </w:tblStylePr>
    <w:tblStylePr w:type="band1Horz">
      <w:tblPr/>
      <w:tcPr>
        <w:tcBorders>
          <w:insideH w:space="0" w:sz="6" w:val="single"/>
          <w:insideV w:space="0" w:sz="6" w:val="single"/>
        </w:tcBorders>
        <w:shd w:color="auto" w:fill="a7c0de" w:themeFill="accent1" w:themeFillTint="00007F" w:val="clear"/>
      </w:tcPr>
    </w:tblStylePr>
    <w:tblStylePr w:type="nwCell">
      <w:tblPr/>
      <w:tcPr>
        <w:shd w:color="auto" w:fill="ffffff" w:themeFill="background1" w:val="clear"/>
      </w:tcPr>
    </w:tblStylePr>
  </w:style>
  <w:style w:type="table" w:styleId="96">
    <w:name w:val="Medium Grid 2 Accent 2"/>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color w:val="000000" w:themeColor="text1"/>
        <w14:textFill>
          <w14:solidFill>
            <w14:schemeClr w14:val="tx1"/>
          </w14:solidFill>
        </w14:textFill>
      </w:rPr>
      <w:tblPr/>
      <w:tcPr>
        <w:shd w:color="auto" w:fill="f8eded" w:themeFill="accent2"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space="0" w:sz="6" w:val="single"/>
          <w:insideV w:space="0" w:sz="6" w:val="single"/>
        </w:tcBorders>
        <w:shd w:color="auto" w:fill="dfa7a6" w:themeFill="accent2" w:themeFillTint="00007F" w:val="clear"/>
      </w:tcPr>
    </w:tblStylePr>
    <w:tblStylePr w:type="nwCell">
      <w:tblPr/>
      <w:tcPr>
        <w:shd w:color="auto" w:fill="ffffff" w:themeFill="background1" w:val="clear"/>
      </w:tcPr>
    </w:tblStylePr>
  </w:style>
  <w:style w:type="table" w:styleId="97">
    <w:name w:val="Medium Grid 2 Accent 3"/>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14:textFill>
          <w14:solidFill>
            <w14:schemeClr w14:val="tx1"/>
          </w14:solidFill>
        </w14:textFill>
      </w:rPr>
      <w:tblPr/>
      <w:tcPr>
        <w:shd w:color="auto" w:fill="f5f8ee" w:themeFill="accent3"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space="0" w:sz="6" w:val="single"/>
          <w:insideV w:space="0" w:sz="6" w:val="single"/>
        </w:tcBorders>
        <w:shd w:color="auto" w:fill="cdddac" w:themeFill="accent3" w:themeFillTint="00007F" w:val="clear"/>
      </w:tcPr>
    </w:tblStylePr>
    <w:tblStylePr w:type="nwCell">
      <w:tblPr/>
      <w:tcPr>
        <w:shd w:color="auto" w:fill="ffffff" w:themeFill="background1" w:val="clear"/>
      </w:tcPr>
    </w:tblStylePr>
  </w:style>
  <w:style w:type="table" w:styleId="98">
    <w:name w:val="Medium Grid 2 Accent 4"/>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14:textFill>
          <w14:solidFill>
            <w14:schemeClr w14:val="tx1"/>
          </w14:solidFill>
        </w14:textFill>
      </w:rPr>
      <w:tblPr/>
      <w:tcPr>
        <w:shd w:color="auto" w:fill="f2eff5" w:themeFill="accent4"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space="0" w:sz="6" w:val="single"/>
          <w:insideV w:space="0" w:sz="6" w:val="single"/>
        </w:tcBorders>
        <w:shd w:color="auto" w:fill="bfb1d0" w:themeFill="accent4" w:themeFillTint="00007F" w:val="clear"/>
      </w:tcPr>
    </w:tblStylePr>
    <w:tblStylePr w:type="nwCell">
      <w:tblPr/>
      <w:tcPr>
        <w:shd w:color="auto" w:fill="ffffff" w:themeFill="background1" w:val="clear"/>
      </w:tcPr>
    </w:tblStylePr>
  </w:style>
  <w:style w:type="table" w:styleId="99">
    <w:name w:val="Medium Grid 2 Accent 5"/>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color w:val="000000" w:themeColor="text1"/>
        <w14:textFill>
          <w14:solidFill>
            <w14:schemeClr w14:val="tx1"/>
          </w14:solidFill>
        </w14:textFill>
      </w:rPr>
      <w:tblPr/>
      <w:tcPr>
        <w:shd w:color="auto" w:fill="edf6f9" w:themeFill="accent5"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space="0" w:sz="6" w:val="single"/>
          <w:insideV w:space="0" w:sz="6" w:val="single"/>
        </w:tcBorders>
        <w:shd w:color="auto" w:fill="a5d5e2" w:themeFill="accent5" w:themeFillTint="00007F" w:val="clear"/>
      </w:tcPr>
    </w:tblStylePr>
    <w:tblStylePr w:type="nwCell">
      <w:tblPr/>
      <w:tcPr>
        <w:shd w:color="auto" w:fill="ffffff" w:themeFill="background1" w:val="clear"/>
      </w:tcPr>
    </w:tblStylePr>
  </w:style>
  <w:style w:type="table" w:styleId="100">
    <w:name w:val="Medium Grid 2 Accent 6"/>
    <w:basedOn w:val="12"/>
    <w:uiPriority w:val="68"/>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color w:val="000000" w:themeColor="text1"/>
        <w14:textFill>
          <w14:solidFill>
            <w14:schemeClr w14:val="tx1"/>
          </w14:solidFill>
        </w14:textFill>
      </w:rPr>
      <w:tblPr/>
      <w:tcPr>
        <w:shd w:color="auto" w:fill="fef4ec" w:themeFill="accent6"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space="0" w:sz="6" w:val="single"/>
          <w:insideV w:space="0" w:sz="6" w:val="single"/>
        </w:tcBorders>
        <w:shd w:color="auto" w:fill="fbcaa2" w:themeFill="accent6" w:themeFillTint="00007F" w:val="clear"/>
      </w:tcPr>
    </w:tblStylePr>
    <w:tblStylePr w:type="nwCell">
      <w:tblPr/>
      <w:tcPr>
        <w:shd w:color="auto" w:fill="ffffff" w:themeFill="background1" w:val="clear"/>
      </w:tcPr>
    </w:tblStylePr>
  </w:style>
  <w:style w:type="table" w:styleId="101">
    <w:name w:val="Medium Grid 3"/>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00000" w:themeFill="tex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00000" w:themeFill="tex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f7f7f"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00007F" w:val="clear"/>
      </w:tcPr>
    </w:tblStylePr>
  </w:style>
  <w:style w:type="table" w:styleId="102">
    <w:name w:val="Medium Grid 3 Accent 1"/>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f81bd" w:themeFill="accen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f81bd" w:themeFill="accen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c0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00007F" w:val="clear"/>
      </w:tcPr>
    </w:tblStylePr>
  </w:style>
  <w:style w:type="table" w:styleId="103">
    <w:name w:val="Medium Grid 3 Accent 2"/>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c0504d" w:themeFill="accent2"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c0504d" w:themeFill="accent2"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00007F" w:val="clear"/>
      </w:tcPr>
    </w:tblStylePr>
  </w:style>
  <w:style w:type="table" w:styleId="104">
    <w:name w:val="Medium Grid 3 Accent 3"/>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9bbb59" w:themeFill="accent3"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9bbb59" w:themeFill="accent3"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00007F" w:val="clear"/>
      </w:tcPr>
    </w:tblStylePr>
  </w:style>
  <w:style w:type="table" w:styleId="105">
    <w:name w:val="Medium Grid 3 Accent 4"/>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8064a2" w:themeFill="accent4"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8064a2" w:themeFill="accent4"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00007F" w:val="clear"/>
      </w:tcPr>
    </w:tblStylePr>
  </w:style>
  <w:style w:type="table" w:styleId="106">
    <w:name w:val="Medium Grid 3 Accent 5"/>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bacc6" w:themeFill="accent5"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bacc6" w:themeFill="accent5"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00007F" w:val="clear"/>
      </w:tcPr>
    </w:tblStylePr>
  </w:style>
  <w:style w:type="table" w:styleId="107">
    <w:name w:val="Medium Grid 3 Accent 6"/>
    <w:basedOn w:val="1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f79646" w:themeFill="accent6"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f79646" w:themeFill="accent6"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00007F" w:val="clear"/>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1"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60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60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7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7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7"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0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9"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9"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5e5e5"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000000" w:themeFill="tex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000000" w:themeFill="tex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7f7f7f" w:themeFill="tex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b4d74" w:themeFill="accen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b4d74" w:themeFill="accen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b4d74" w:themeFill="accent1" w:themeFillShade="000099" w:val="clear"/>
      </w:tcPr>
    </w:tblStylePr>
    <w:tblStylePr w:type="band1Vert">
      <w:tblPr/>
      <w:tcPr>
        <w:shd w:color="auto" w:fill="b8cce4" w:themeFill="accent1" w:themeFillTint="000066" w:val="clear"/>
      </w:tcPr>
    </w:tblStylePr>
    <w:tblStylePr w:type="band1Horz">
      <w:tblPr/>
      <w:tcPr>
        <w:shd w:color="auto" w:fill="a7c0de" w:themeFill="accen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772c2a" w:themeFill="accent2"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772c2a" w:themeFill="accent2"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5e7530" w:themeFill="accent3"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5e7530" w:themeFill="accent3"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5"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4c3a62" w:themeFill="accent4"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4c3a62" w:themeFill="accent4"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4c3a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76a7c" w:themeFill="accent5"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76a7c" w:themeFill="accent5"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b65607" w:themeFill="accent6"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b65607" w:themeFill="accent6"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b65607"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5e5e5" w:themeFill="tex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fbfbf" w:themeFill="text1" w:themeFillTint="00003F" w:val="clear"/>
      </w:tcPr>
    </w:tblStylePr>
    <w:tblStylePr w:type="band1Horz">
      <w:tblPr/>
      <w:tcPr>
        <w:shd w:color="auto" w:fill="cccccc" w:themeFill="text1" w:themeFillTint="000033" w:val="clear"/>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3" w:themeFill="accent2" w:themeFillTint="00003F" w:val="clear"/>
      </w:tcPr>
    </w:tblStylePr>
    <w:tblStylePr w:type="band1Horz">
      <w:tblPr/>
      <w:tcPr>
        <w:shd w:color="auto" w:fill="f2dbdb" w:themeFill="accent2" w:themeFillTint="000033" w:val="clear"/>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664e82" w:themeFill="accent4" w:themeFillShade="0000CC" w:val="clear"/>
      </w:tcPr>
    </w:tblStylePr>
    <w:tblStylePr w:type="lastRow">
      <w:rPr>
        <w:b w:val="1"/>
        <w:bCs w:val="1"/>
        <w:color w:val="664f83"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2eff5" w:themeFill="accent4"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7e9c40" w:themeFill="accent3" w:themeFillShade="0000CC" w:val="clear"/>
      </w:tcPr>
    </w:tblStylePr>
    <w:tblStylePr w:type="lastRow">
      <w:rPr>
        <w:b w:val="1"/>
        <w:bCs w:val="1"/>
        <w:color w:val="7e9d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f3730a" w:themeFill="accent6" w:themeFillShade="0000CC" w:val="clear"/>
      </w:tcPr>
    </w:tblStylePr>
    <w:tblStylePr w:type="lastRow">
      <w:rPr>
        <w:b w:val="1"/>
        <w:bCs w:val="1"/>
        <w:color w:val="f3740b"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0" w:themeFill="accent5" w:themeFillTint="00003F" w:val="clear"/>
      </w:tcPr>
    </w:tblStylePr>
    <w:tblStylePr w:type="band1Horz">
      <w:tblPr/>
      <w:tcPr>
        <w:shd w:color="auto" w:fill="daeef3" w:themeFill="accent5" w:themeFillTint="000033" w:val="clear"/>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348da5" w:themeFill="accent5" w:themeFillShade="0000CC" w:val="clear"/>
      </w:tcPr>
    </w:tblStylePr>
    <w:tblStylePr w:type="lastRow">
      <w:rPr>
        <w:b w:val="1"/>
        <w:bCs w:val="1"/>
        <w:color w:val="358ea6"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5d1" w:themeFill="accent6" w:themeFillTint="00003F" w:val="clear"/>
      </w:tcPr>
    </w:tblStylePr>
    <w:tblStylePr w:type="band1Horz">
      <w:tblPr/>
      <w:tcPr>
        <w:shd w:color="auto" w:fill="fde9d9" w:themeFill="accent6" w:themeFillTint="000033" w:val="clear"/>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14:textFill>
          <w14:solidFill>
            <w14:schemeClr w14:val="tx1"/>
          </w14:solidFill>
        </w14:textFill>
      </w:rPr>
      <w:tblPr/>
      <w:tcPr>
        <w:shd w:color="auto" w:fill="999999" w:themeFill="text1" w:themeFillTint="000066" w:val="clear"/>
      </w:tcPr>
    </w:tblStylePr>
    <w:tblStylePr w:type="firstCol">
      <w:rPr>
        <w:color w:val="ffffff" w:themeColor="background1"/>
        <w14:textFill>
          <w14:solidFill>
            <w14:schemeClr w14:val="bg1"/>
          </w14:solidFill>
        </w14:textFill>
      </w:rPr>
      <w:tblPr/>
      <w:tcPr>
        <w:shd w:color="auto" w:fill="000000" w:themeFill="text1" w:themeFillShade="0000BF" w:val="clear"/>
      </w:tcPr>
    </w:tblStylePr>
    <w:tblStylePr w:type="lastCol">
      <w:rPr>
        <w:color w:val="ffffff" w:themeColor="background1"/>
        <w14:textFill>
          <w14:solidFill>
            <w14:schemeClr w14:val="bg1"/>
          </w14:solidFill>
        </w14:textFill>
      </w:rPr>
      <w:tblPr/>
      <w:tcPr>
        <w:shd w:color="auto" w:fill="000000" w:themeFill="text1" w:themeFillShade="0000BF" w:val="clear"/>
      </w:tc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14:textFill>
          <w14:solidFill>
            <w14:schemeClr w14:val="tx1"/>
          </w14:solidFill>
        </w14:textFill>
      </w:rPr>
      <w:tblPr/>
      <w:tcPr>
        <w:shd w:color="auto" w:fill="b8cce4" w:themeFill="accent1" w:themeFillTint="000066" w:val="clear"/>
      </w:tcPr>
    </w:tblStylePr>
    <w:tblStylePr w:type="firstCol">
      <w:rPr>
        <w:color w:val="ffffff" w:themeColor="background1"/>
        <w14:textFill>
          <w14:solidFill>
            <w14:schemeClr w14:val="bg1"/>
          </w14:solidFill>
        </w14:textFill>
      </w:rPr>
      <w:tblPr/>
      <w:tcPr>
        <w:shd w:color="auto" w:fill="366091" w:themeFill="accent1" w:themeFillShade="0000BF" w:val="clear"/>
      </w:tcPr>
    </w:tblStylePr>
    <w:tblStylePr w:type="lastCol">
      <w:rPr>
        <w:color w:val="ffffff" w:themeColor="background1"/>
        <w14:textFill>
          <w14:solidFill>
            <w14:schemeClr w14:val="bg1"/>
          </w14:solidFill>
        </w14:textFill>
      </w:rPr>
      <w:tblPr/>
      <w:tcPr>
        <w:shd w:color="auto" w:fill="366091" w:themeFill="accent1" w:themeFillShade="0000BF" w:val="clear"/>
      </w:tc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14:textFill>
          <w14:solidFill>
            <w14:schemeClr w14:val="tx1"/>
          </w14:solidFill>
        </w14:textFill>
      </w:rPr>
      <w:tblPr/>
      <w:tcPr>
        <w:shd w:color="auto" w:fill="e5b8b7" w:themeFill="accent2" w:themeFillTint="000066" w:val="clear"/>
      </w:tcPr>
    </w:tblStylePr>
    <w:tblStylePr w:type="firstCol">
      <w:rPr>
        <w:color w:val="ffffff" w:themeColor="background1"/>
        <w14:textFill>
          <w14:solidFill>
            <w14:schemeClr w14:val="bg1"/>
          </w14:solidFill>
        </w14:textFill>
      </w:rPr>
      <w:tblPr/>
      <w:tcPr>
        <w:shd w:color="auto" w:fill="943734" w:themeFill="accent2" w:themeFillShade="0000BF" w:val="clear"/>
      </w:tcPr>
    </w:tblStylePr>
    <w:tblStylePr w:type="lastCol">
      <w:rPr>
        <w:color w:val="ffffff" w:themeColor="background1"/>
        <w14:textFill>
          <w14:solidFill>
            <w14:schemeClr w14:val="bg1"/>
          </w14:solidFill>
        </w14:textFill>
      </w:rPr>
      <w:tblPr/>
      <w:tcPr>
        <w:shd w:color="auto" w:fill="9437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14:textFill>
          <w14:solidFill>
            <w14:schemeClr w14:val="tx1"/>
          </w14:solidFill>
        </w14:textFill>
      </w:rPr>
      <w:tblPr/>
      <w:tcPr>
        <w:shd w:color="auto" w:fill="d6e3bc" w:themeFill="accent3" w:themeFillTint="000066" w:val="clear"/>
      </w:tcPr>
    </w:tblStylePr>
    <w:tblStylePr w:type="firstCol">
      <w:rPr>
        <w:color w:val="ffffff" w:themeColor="background1"/>
        <w14:textFill>
          <w14:solidFill>
            <w14:schemeClr w14:val="bg1"/>
          </w14:solidFill>
        </w14:textFill>
      </w:rPr>
      <w:tblPr/>
      <w:tcPr>
        <w:shd w:color="auto" w:fill="76923c" w:themeFill="accent3" w:themeFillShade="0000BF" w:val="clear"/>
      </w:tcPr>
    </w:tblStylePr>
    <w:tblStylePr w:type="lastCol">
      <w:rPr>
        <w:color w:val="ffffff" w:themeColor="background1"/>
        <w14:textFill>
          <w14:solidFill>
            <w14:schemeClr w14:val="bg1"/>
          </w14:solidFill>
        </w14:textFill>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14:textFill>
          <w14:solidFill>
            <w14:schemeClr w14:val="tx1"/>
          </w14:solidFill>
        </w14:textFill>
      </w:rPr>
      <w:tblPr/>
      <w:tcPr>
        <w:shd w:color="auto" w:fill="ccc0d9" w:themeFill="accent4" w:themeFillTint="000066" w:val="clear"/>
      </w:tcPr>
    </w:tblStylePr>
    <w:tblStylePr w:type="firstCol">
      <w:rPr>
        <w:color w:val="ffffff" w:themeColor="background1"/>
        <w14:textFill>
          <w14:solidFill>
            <w14:schemeClr w14:val="bg1"/>
          </w14:solidFill>
        </w14:textFill>
      </w:rPr>
      <w:tblPr/>
      <w:tcPr>
        <w:shd w:color="auto" w:fill="5f497a" w:themeFill="accent4" w:themeFillShade="0000BF" w:val="clear"/>
      </w:tcPr>
    </w:tblStylePr>
    <w:tblStylePr w:type="lastCol">
      <w:rPr>
        <w:color w:val="ffffff" w:themeColor="background1"/>
        <w14:textFill>
          <w14:solidFill>
            <w14:schemeClr w14:val="bg1"/>
          </w14:solidFill>
        </w14:textFill>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14:textFill>
          <w14:solidFill>
            <w14:schemeClr w14:val="tx1"/>
          </w14:solidFill>
        </w14:textFill>
      </w:rPr>
      <w:tblPr/>
      <w:tcPr>
        <w:shd w:color="auto" w:fill="b6dde8" w:themeFill="accent5" w:themeFillTint="000066" w:val="clear"/>
      </w:tcPr>
    </w:tblStylePr>
    <w:tblStylePr w:type="firstCol">
      <w:rPr>
        <w:color w:val="ffffff" w:themeColor="background1"/>
        <w14:textFill>
          <w14:solidFill>
            <w14:schemeClr w14:val="bg1"/>
          </w14:solidFill>
        </w14:textFill>
      </w:rPr>
      <w:tblPr/>
      <w:tcPr>
        <w:shd w:color="auto" w:fill="31849b" w:themeFill="accent5" w:themeFillShade="0000BF" w:val="clear"/>
      </w:tcPr>
    </w:tblStylePr>
    <w:tblStylePr w:type="lastCol">
      <w:rPr>
        <w:color w:val="ffffff" w:themeColor="background1"/>
        <w14:textFill>
          <w14:solidFill>
            <w14:schemeClr w14:val="bg1"/>
          </w14:solidFill>
        </w14:textFill>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14:textFill>
          <w14:solidFill>
            <w14:schemeClr w14:val="tx1"/>
          </w14:solidFill>
        </w14:textFill>
      </w:rPr>
      <w:tblPr/>
      <w:tcPr>
        <w:shd w:color="auto" w:fill="fbd4b4" w:themeFill="accent6" w:themeFillTint="000066" w:val="clear"/>
      </w:tcPr>
    </w:tblStylePr>
    <w:tblStylePr w:type="firstCol">
      <w:rPr>
        <w:color w:val="ffffff" w:themeColor="background1"/>
        <w14:textFill>
          <w14:solidFill>
            <w14:schemeClr w14:val="bg1"/>
          </w14:solidFill>
        </w14:textFill>
      </w:rPr>
      <w:tblPr/>
      <w:tcPr>
        <w:shd w:color="auto" w:fill="e36c09" w:themeFill="accent6" w:themeFillShade="0000BF" w:val="clear"/>
      </w:tcPr>
    </w:tblStylePr>
    <w:tblStylePr w:type="lastCol">
      <w:rPr>
        <w:color w:val="ffffff" w:themeColor="background1"/>
        <w14:textFill>
          <w14:solidFill>
            <w14:schemeClr w14:val="bg1"/>
          </w14:solidFill>
        </w14:textFill>
      </w:rPr>
      <w:tblPr/>
      <w:tcPr>
        <w:shd w:color="auto" w:fill="e36c09"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136" w:customStyle="1">
    <w:name w:val="Header Char"/>
    <w:basedOn w:val="11"/>
    <w:link w:val="19"/>
    <w:uiPriority w:val="99"/>
  </w:style>
  <w:style w:type="character" w:styleId="137" w:customStyle="1">
    <w:name w:val="Footer Char"/>
    <w:basedOn w:val="11"/>
    <w:link w:val="18"/>
    <w:uiPriority w:val="99"/>
  </w:style>
  <w:style w:type="paragraph" w:styleId="138">
    <w:name w:val="No Spacing"/>
    <w:uiPriority w:val="1"/>
    <w:qFormat w:val="1"/>
    <w:pPr>
      <w:spacing w:after="0" w:line="240" w:lineRule="auto"/>
    </w:pPr>
    <w:rPr>
      <w:rFonts w:asciiTheme="minorHAnsi" w:cstheme="minorBidi" w:eastAsiaTheme="minorEastAsia" w:hAnsiTheme="minorHAnsi"/>
      <w:sz w:val="22"/>
      <w:szCs w:val="22"/>
      <w:lang w:bidi="ar-SA" w:eastAsia="en-US" w:val="en-US"/>
    </w:rPr>
  </w:style>
  <w:style w:type="character" w:styleId="139" w:customStyle="1">
    <w:name w:val="Heading 1 Char"/>
    <w:basedOn w:val="11"/>
    <w:link w:val="2"/>
    <w:uiPriority w:val="9"/>
    <w:rPr>
      <w:rFonts w:asciiTheme="majorHAnsi" w:cstheme="majorBidi" w:eastAsiaTheme="majorEastAsia" w:hAnsiTheme="majorHAnsi"/>
      <w:b w:val="1"/>
      <w:bCs w:val="1"/>
      <w:color w:val="376092" w:themeColor="accent1" w:themeShade="0000BF"/>
      <w:sz w:val="28"/>
      <w:szCs w:val="28"/>
    </w:rPr>
  </w:style>
  <w:style w:type="character" w:styleId="140" w:customStyle="1">
    <w:name w:val="Heading 2 Char"/>
    <w:basedOn w:val="11"/>
    <w:link w:val="3"/>
    <w:uiPriority w:val="9"/>
    <w:rPr>
      <w:rFonts w:asciiTheme="majorHAnsi" w:cstheme="majorBidi" w:eastAsiaTheme="majorEastAsia" w:hAnsiTheme="majorHAnsi"/>
      <w:b w:val="1"/>
      <w:bCs w:val="1"/>
      <w:color w:val="4f81bd" w:themeColor="accent1"/>
      <w:sz w:val="26"/>
      <w:szCs w:val="26"/>
      <w14:textFill>
        <w14:solidFill>
          <w14:schemeClr w14:val="accent1"/>
        </w14:solidFill>
      </w14:textFill>
    </w:rPr>
  </w:style>
  <w:style w:type="character" w:styleId="141" w:customStyle="1">
    <w:name w:val="Heading 3 Char"/>
    <w:basedOn w:val="11"/>
    <w:link w:val="4"/>
    <w:uiPriority w:val="9"/>
    <w:rPr>
      <w:rFonts w:asciiTheme="majorHAnsi" w:cstheme="majorBidi" w:eastAsiaTheme="majorEastAsia" w:hAnsiTheme="majorHAnsi"/>
      <w:b w:val="1"/>
      <w:bCs w:val="1"/>
      <w:color w:val="4f81bd" w:themeColor="accent1"/>
      <w14:textFill>
        <w14:solidFill>
          <w14:schemeClr w14:val="accent1"/>
        </w14:solidFill>
      </w14:textFill>
    </w:rPr>
  </w:style>
  <w:style w:type="character" w:styleId="142" w:customStyle="1">
    <w:name w:val="Title Char"/>
    <w:basedOn w:val="11"/>
    <w:link w:val="37"/>
    <w:uiPriority w:val="10"/>
    <w:rPr>
      <w:rFonts w:asciiTheme="majorHAnsi" w:cstheme="majorBidi" w:eastAsiaTheme="majorEastAsia" w:hAnsiTheme="majorHAnsi"/>
      <w:color w:val="17375e" w:themeColor="text2" w:themeShade="0000BF"/>
      <w:spacing w:val="5"/>
      <w:kern w:val="28"/>
      <w:sz w:val="52"/>
      <w:szCs w:val="52"/>
    </w:rPr>
  </w:style>
  <w:style w:type="character" w:styleId="143" w:customStyle="1">
    <w:name w:val="Subtitle Char"/>
    <w:basedOn w:val="11"/>
    <w:link w:val="35"/>
    <w:uiPriority w:val="11"/>
    <w:rPr>
      <w:rFonts w:asciiTheme="majorHAnsi" w:cstheme="majorBidi" w:eastAsiaTheme="majorEastAsia" w:hAnsiTheme="majorHAnsi"/>
      <w:i w:val="1"/>
      <w:iCs w:val="1"/>
      <w:color w:val="4f81bd" w:themeColor="accent1"/>
      <w:spacing w:val="15"/>
      <w:sz w:val="24"/>
      <w:szCs w:val="24"/>
      <w14:textFill>
        <w14:solidFill>
          <w14:schemeClr w14:val="accent1"/>
        </w14:solidFill>
      </w14:textFill>
    </w:rPr>
  </w:style>
  <w:style w:type="paragraph" w:styleId="144">
    <w:name w:val="List Paragraph"/>
    <w:basedOn w:val="1"/>
    <w:uiPriority w:val="34"/>
    <w:qFormat w:val="1"/>
    <w:pPr>
      <w:ind w:left="720"/>
      <w:contextualSpacing w:val="1"/>
    </w:pPr>
  </w:style>
  <w:style w:type="character" w:styleId="145" w:customStyle="1">
    <w:name w:val="Body Text Char"/>
    <w:basedOn w:val="11"/>
    <w:link w:val="13"/>
    <w:uiPriority w:val="99"/>
  </w:style>
  <w:style w:type="character" w:styleId="146" w:customStyle="1">
    <w:name w:val="Body Text 2 Char"/>
    <w:basedOn w:val="11"/>
    <w:link w:val="14"/>
    <w:uiPriority w:val="99"/>
  </w:style>
  <w:style w:type="character" w:styleId="147" w:customStyle="1">
    <w:name w:val="Body Text 3 Char"/>
    <w:basedOn w:val="11"/>
    <w:link w:val="15"/>
    <w:uiPriority w:val="99"/>
    <w:rPr>
      <w:sz w:val="16"/>
      <w:szCs w:val="16"/>
    </w:rPr>
  </w:style>
  <w:style w:type="character" w:styleId="148" w:customStyle="1">
    <w:name w:val="Macro Text Char"/>
    <w:basedOn w:val="11"/>
    <w:link w:val="33"/>
    <w:uiPriority w:val="99"/>
    <w:rPr>
      <w:rFonts w:ascii="Courier" w:hAnsi="Courier"/>
      <w:sz w:val="20"/>
      <w:szCs w:val="20"/>
    </w:rPr>
  </w:style>
  <w:style w:type="paragraph" w:styleId="149">
    <w:name w:val="Quote"/>
    <w:basedOn w:val="1"/>
    <w:next w:val="1"/>
    <w:link w:val="150"/>
    <w:uiPriority w:val="29"/>
    <w:qFormat w:val="1"/>
    <w:rPr>
      <w:i w:val="1"/>
      <w:iCs w:val="1"/>
      <w:color w:val="000000" w:themeColor="text1"/>
      <w14:textFill>
        <w14:solidFill>
          <w14:schemeClr w14:val="tx1"/>
        </w14:solidFill>
      </w14:textFill>
    </w:rPr>
  </w:style>
  <w:style w:type="character" w:styleId="150" w:customStyle="1">
    <w:name w:val="Quote Char"/>
    <w:basedOn w:val="11"/>
    <w:link w:val="149"/>
    <w:uiPriority w:val="29"/>
    <w:rPr>
      <w:i w:val="1"/>
      <w:iCs w:val="1"/>
      <w:color w:val="000000" w:themeColor="text1"/>
      <w14:textFill>
        <w14:solidFill>
          <w14:schemeClr w14:val="tx1"/>
        </w14:solidFill>
      </w14:textFill>
    </w:rPr>
  </w:style>
  <w:style w:type="character" w:styleId="151" w:customStyle="1">
    <w:name w:val="Heading 4 Char"/>
    <w:basedOn w:val="11"/>
    <w:link w:val="5"/>
    <w:uiPriority w:val="9"/>
    <w:semiHidden w:val="1"/>
    <w:rPr>
      <w:rFonts w:asciiTheme="majorHAnsi" w:cstheme="majorBidi" w:eastAsiaTheme="majorEastAsia" w:hAnsiTheme="majorHAnsi"/>
      <w:b w:val="1"/>
      <w:bCs w:val="1"/>
      <w:i w:val="1"/>
      <w:iCs w:val="1"/>
      <w:color w:val="4f81bd" w:themeColor="accent1"/>
      <w14:textFill>
        <w14:solidFill>
          <w14:schemeClr w14:val="accent1"/>
        </w14:solidFill>
      </w14:textFill>
    </w:rPr>
  </w:style>
  <w:style w:type="character" w:styleId="152" w:customStyle="1">
    <w:name w:val="Heading 5 Char"/>
    <w:basedOn w:val="11"/>
    <w:link w:val="6"/>
    <w:uiPriority w:val="9"/>
    <w:semiHidden w:val="1"/>
    <w:rPr>
      <w:rFonts w:asciiTheme="majorHAnsi" w:cstheme="majorBidi" w:eastAsiaTheme="majorEastAsia" w:hAnsiTheme="majorHAnsi"/>
      <w:color w:val="254061" w:themeColor="accent1" w:themeShade="000080"/>
    </w:rPr>
  </w:style>
  <w:style w:type="character" w:styleId="153" w:customStyle="1">
    <w:name w:val="Heading 6 Char"/>
    <w:basedOn w:val="11"/>
    <w:link w:val="7"/>
    <w:uiPriority w:val="9"/>
    <w:semiHidden w:val="1"/>
    <w:rPr>
      <w:rFonts w:asciiTheme="majorHAnsi" w:cstheme="majorBidi" w:eastAsiaTheme="majorEastAsia" w:hAnsiTheme="majorHAnsi"/>
      <w:i w:val="1"/>
      <w:iCs w:val="1"/>
      <w:color w:val="254061" w:themeColor="accent1" w:themeShade="000080"/>
    </w:rPr>
  </w:style>
  <w:style w:type="character" w:styleId="154" w:customStyle="1">
    <w:name w:val="Heading 7 Char"/>
    <w:basedOn w:val="11"/>
    <w:link w:val="8"/>
    <w:uiPriority w:val="9"/>
    <w:semiHidden w:val="1"/>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character" w:styleId="155" w:customStyle="1">
    <w:name w:val="Heading 8 Char"/>
    <w:basedOn w:val="11"/>
    <w:link w:val="9"/>
    <w:uiPriority w:val="9"/>
    <w:semiHidden w:val="1"/>
    <w:rPr>
      <w:rFonts w:asciiTheme="majorHAnsi" w:cstheme="majorBidi" w:eastAsiaTheme="majorEastAsia" w:hAnsiTheme="majorHAnsi"/>
      <w:color w:val="4f81bd" w:themeColor="accent1"/>
      <w:sz w:val="20"/>
      <w:szCs w:val="20"/>
      <w14:textFill>
        <w14:solidFill>
          <w14:schemeClr w14:val="accent1"/>
        </w14:solidFill>
      </w14:textFill>
    </w:rPr>
  </w:style>
  <w:style w:type="character" w:styleId="156" w:customStyle="1">
    <w:name w:val="Heading 9 Char"/>
    <w:basedOn w:val="11"/>
    <w:link w:val="10"/>
    <w:uiPriority w:val="9"/>
    <w:semiHidden w:val="1"/>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paragraph" w:styleId="157">
    <w:name w:val="Intense Quote"/>
    <w:basedOn w:val="1"/>
    <w:next w:val="1"/>
    <w:link w:val="158"/>
    <w:uiPriority w:val="30"/>
    <w:qFormat w:val="1"/>
    <w:pPr>
      <w:pBdr>
        <w:bottom w:color="4f81bd" w:space="4" w:sz="4" w:themeColor="accent1" w:val="single"/>
      </w:pBdr>
      <w:spacing w:after="280" w:before="200"/>
      <w:ind w:left="936" w:right="936"/>
    </w:pPr>
    <w:rPr>
      <w:b w:val="1"/>
      <w:bCs w:val="1"/>
      <w:i w:val="1"/>
      <w:iCs w:val="1"/>
      <w:color w:val="4f81bd" w:themeColor="accent1"/>
      <w14:textFill>
        <w14:solidFill>
          <w14:schemeClr w14:val="accent1"/>
        </w14:solidFill>
      </w14:textFill>
    </w:rPr>
  </w:style>
  <w:style w:type="character" w:styleId="158" w:customStyle="1">
    <w:name w:val="Intense Quote Char"/>
    <w:basedOn w:val="11"/>
    <w:link w:val="157"/>
    <w:uiPriority w:val="30"/>
    <w:rPr>
      <w:b w:val="1"/>
      <w:bCs w:val="1"/>
      <w:i w:val="1"/>
      <w:iCs w:val="1"/>
      <w:color w:val="4f81bd" w:themeColor="accent1"/>
      <w14:textFill>
        <w14:solidFill>
          <w14:schemeClr w14:val="accent1"/>
        </w14:solidFill>
      </w14:textFill>
    </w:rPr>
  </w:style>
  <w:style w:type="character" w:styleId="159" w:customStyle="1">
    <w:name w:val="Subtle Emphasis"/>
    <w:basedOn w:val="11"/>
    <w:uiPriority w:val="19"/>
    <w:qFormat w:val="1"/>
    <w:rPr>
      <w:i w:val="1"/>
      <w:iCs w:val="1"/>
      <w:color w:val="808080" w:themeColor="text1" w:themeTint="000080"/>
      <w14:textFill>
        <w14:solidFill>
          <w14:schemeClr w14:val="tx1">
            <w14:lumMod w14:val="50000"/>
            <w14:lumOff w14:val="50000"/>
          </w14:schemeClr>
        </w14:solidFill>
      </w14:textFill>
    </w:rPr>
  </w:style>
  <w:style w:type="character" w:styleId="160" w:customStyle="1">
    <w:name w:val="Intense Emphasis"/>
    <w:basedOn w:val="11"/>
    <w:uiPriority w:val="21"/>
    <w:qFormat w:val="1"/>
    <w:rPr>
      <w:b w:val="1"/>
      <w:bCs w:val="1"/>
      <w:i w:val="1"/>
      <w:iCs w:val="1"/>
      <w:color w:val="4f81bd" w:themeColor="accent1"/>
      <w14:textFill>
        <w14:solidFill>
          <w14:schemeClr w14:val="accent1"/>
        </w14:solidFill>
      </w14:textFill>
    </w:rPr>
  </w:style>
  <w:style w:type="character" w:styleId="161" w:customStyle="1">
    <w:name w:val="Subtle Reference"/>
    <w:basedOn w:val="11"/>
    <w:uiPriority w:val="31"/>
    <w:qFormat w:val="1"/>
    <w:rPr>
      <w:smallCaps w:val="1"/>
      <w:color w:val="c0504d" w:themeColor="accent2"/>
      <w:u w:val="single"/>
      <w14:textFill>
        <w14:solidFill>
          <w14:schemeClr w14:val="accent2"/>
        </w14:solidFill>
      </w14:textFill>
    </w:rPr>
  </w:style>
  <w:style w:type="character" w:styleId="162" w:customStyle="1">
    <w:name w:val="Intense Reference"/>
    <w:basedOn w:val="11"/>
    <w:uiPriority w:val="32"/>
    <w:qFormat w:val="1"/>
    <w:rPr>
      <w:b w:val="1"/>
      <w:bCs w:val="1"/>
      <w:smallCaps w:val="1"/>
      <w:color w:val="c0504d" w:themeColor="accent2"/>
      <w:spacing w:val="5"/>
      <w:u w:val="single"/>
      <w14:textFill>
        <w14:solidFill>
          <w14:schemeClr w14:val="accent2"/>
        </w14:solidFill>
      </w14:textFill>
    </w:rPr>
  </w:style>
  <w:style w:type="character" w:styleId="163" w:customStyle="1">
    <w:name w:val="Book Title"/>
    <w:basedOn w:val="11"/>
    <w:uiPriority w:val="33"/>
    <w:qFormat w:val="1"/>
    <w:rPr>
      <w:b w:val="1"/>
      <w:bCs w:val="1"/>
      <w:smallCaps w:val="1"/>
      <w:spacing w:val="5"/>
    </w:rPr>
  </w:style>
  <w:style w:type="paragraph" w:styleId="164" w:customStyle="1">
    <w:name w:val="TOC Heading"/>
    <w:basedOn w:val="2"/>
    <w:next w:val="1"/>
    <w:uiPriority w:val="39"/>
    <w:semiHidden w:val="1"/>
    <w:unhideWhenUsed w:val="1"/>
    <w:qFormat w:val="1"/>
    <w:pPr>
      <w:outlineLvl w:val="9"/>
    </w:pPr>
  </w:style>
  <w:style w:type="paragraph" w:styleId="Subtitle">
    <w:name w:val="Subtitle"/>
    <w:basedOn w:val="Normal"/>
    <w:next w:val="Normal"/>
    <w:pPr>
      <w:spacing w:after="140" w:before="200" w:lineRule="auto"/>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85913286lcr/group5-project1-assignment/blob/sy/streamlit_dashboard.py" TargetMode="External"/><Relationship Id="rId22" Type="http://schemas.openxmlformats.org/officeDocument/2006/relationships/hyperlink" Target="https://github.com/85913286lcr/group5-project1-assignment/blob/Adelene---Branch2/Notebook4.ipynb" TargetMode="External"/><Relationship Id="rId21" Type="http://schemas.openxmlformats.org/officeDocument/2006/relationships/hyperlink" Target="https://group5-singapore-it-salary-sy-qn3.streamlit.app/" TargetMode="External"/><Relationship Id="rId24" Type="http://schemas.openxmlformats.org/officeDocument/2006/relationships/hyperlink" Target="https://group5-singapore-it-salary-sy-qn4.streamlit.app/" TargetMode="External"/><Relationship Id="rId23" Type="http://schemas.openxmlformats.org/officeDocument/2006/relationships/hyperlink" Target="https://github.com/85913286lcr/group5-project1-assignment/blob/Adelene---Branch2/hard_to_fill_dashboard.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85913286lcr/group5-project1-assignment/blob/main/README.md" TargetMode="External"/><Relationship Id="rId26" Type="http://schemas.openxmlformats.org/officeDocument/2006/relationships/image" Target="media/image8.png"/><Relationship Id="rId25" Type="http://schemas.openxmlformats.org/officeDocument/2006/relationships/hyperlink" Target="https://group5-singapore-it-salary.streamlit.app/" TargetMode="External"/><Relationship Id="rId28" Type="http://schemas.openxmlformats.org/officeDocument/2006/relationships/image" Target="media/image1.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hyperlink" Target="https://docs.google.com/document/d/1Uo7CpArw0mvacBRzmZuVIDbpNFVWeuHd/edit" TargetMode="External"/><Relationship Id="rId8" Type="http://schemas.openxmlformats.org/officeDocument/2006/relationships/hyperlink" Target="https://docs.google.com/presentation/d/1_DSNvv86eaT9B9iyIP112l0rxU1EICiX/edit?slide=id.p6#slide=id.p6" TargetMode="External"/><Relationship Id="rId31" Type="http://schemas.openxmlformats.org/officeDocument/2006/relationships/image" Target="media/image6.png"/><Relationship Id="rId30" Type="http://schemas.openxmlformats.org/officeDocument/2006/relationships/hyperlink" Target="https://group5-singapore-it-salary-sy-qn3.streamlit.app/" TargetMode="External"/><Relationship Id="rId11" Type="http://schemas.openxmlformats.org/officeDocument/2006/relationships/hyperlink" Target="https://github.com/85913286lcr/group5-project1-assignment/blob/Rachelle-LIU/Final/Team_Data_Cleaning_Final.ipynb" TargetMode="External"/><Relationship Id="rId33" Type="http://schemas.openxmlformats.org/officeDocument/2006/relationships/image" Target="media/image4.png"/><Relationship Id="rId10" Type="http://schemas.openxmlformats.org/officeDocument/2006/relationships/hyperlink" Target="https://github.com/85913286lcr/group5-project1-assignment/blob/main/README.md" TargetMode="External"/><Relationship Id="rId32" Type="http://schemas.openxmlformats.org/officeDocument/2006/relationships/hyperlink" Target="https://group5-singapore-it-salary-sy-qn4.streamlit.app/" TargetMode="External"/><Relationship Id="rId13" Type="http://schemas.openxmlformats.org/officeDocument/2006/relationships/hyperlink" Target="https://github.com/85913286lcr/group5-project1-assignment/blob/Rachelle-LIU/Final/Rachelle_salarycase_by_position_level.ipynb" TargetMode="External"/><Relationship Id="rId35" Type="http://schemas.openxmlformats.org/officeDocument/2006/relationships/image" Target="media/image2.png"/><Relationship Id="rId12" Type="http://schemas.openxmlformats.org/officeDocument/2006/relationships/hyperlink" Target="https://github.com/85913286lcr/group5-project1-assignment/blob/Rachelle-LIU/Final/jobs_clean.csv" TargetMode="External"/><Relationship Id="rId34" Type="http://schemas.openxmlformats.org/officeDocument/2006/relationships/image" Target="media/image5.png"/><Relationship Id="rId15" Type="http://schemas.openxmlformats.org/officeDocument/2006/relationships/hyperlink" Target="https://group5-singapore-it-salary.streamlit.app/#salary-benchmark-by-position-level" TargetMode="External"/><Relationship Id="rId14" Type="http://schemas.openxmlformats.org/officeDocument/2006/relationships/hyperlink" Target="https://github.com/85913286lcr/group5-project1-assignment/blob/Rachelle-LIU/Final/Rachelle%20Streamlit%20_salarycase_by_position_level.py" TargetMode="External"/><Relationship Id="rId36" Type="http://schemas.openxmlformats.org/officeDocument/2006/relationships/footer" Target="footer1.xml"/><Relationship Id="rId17" Type="http://schemas.openxmlformats.org/officeDocument/2006/relationships/hyperlink" Target="https://github.com/85913286lcr/group5-project1-assignment/blob/JenHo/JC%20File/Anaysis.ipynb" TargetMode="External"/><Relationship Id="rId16" Type="http://schemas.openxmlformats.org/officeDocument/2006/relationships/hyperlink" Target="https://github.com/85913286lcr/group5-project1-assignment/blob/JenHo/JC%20File/Anaysis.ipynb" TargetMode="External"/><Relationship Id="rId19" Type="http://schemas.openxmlformats.org/officeDocument/2006/relationships/hyperlink" Target="https://github.com/85913286lcr/group5-project1-assignment/blob/sy/SY_Bus_Qn_data_analysis_.ipynb" TargetMode="External"/><Relationship Id="rId18" Type="http://schemas.openxmlformats.org/officeDocument/2006/relationships/hyperlink" Target="https://github.com/85913286lcr/group5-project1-assignment/blob/JenHo/JC%20File/JC_Streamlit.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CFChXCZRi2RU1a5wcHEc1B13M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Mg5oLnFuZ2NjZWdmcHg5ajIOaC52anFwMXJ0ZW5udG0yDmguZGNlaHgzOW43eDhkMg5oLmV4cnJ1a2p5NDNmbzIOaC41c3c2N2Ztemd0ZzU4AHIhMVVvN0NwQXJ3MG12YWNCUnptWnVWSURicE5GVldldU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2013-12-24T06:45:00Z</dcterms:created>
  <dc:creator>Group 5</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801B5B0548BB4742A115A96AE2BB27FC_42</vt:lpwstr>
  </property>
</Properties>
</file>