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 w:line="300" w:lineRule="auto"/>
      </w:pPr>
      <w:r>
        <w:rPr>
          <w:rFonts w:ascii="Microsoft YaHei" w:hAnsi="Microsoft YaHei" w:eastAsia="Microsoft YaHei"/>
          <w:b/>
          <w:i w:val="0"/>
          <w:color w:val="2E74B5"/>
          <w:sz w:val="20"/>
        </w:rPr>
        <w:t>RESEARCH SYSTEM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i w:val="0"/>
          <w:color w:val="17365D"/>
          <w:sz w:val="52"/>
        </w:rPr>
        <w:t>Research 研究系统说明</w:t>
      </w:r>
    </w:p>
    <w:p>
      <w:pPr>
        <w:spacing w:before="0" w:after="320" w:line="300" w:lineRule="auto"/>
      </w:pPr>
      <w:r>
        <w:rPr>
          <w:rFonts w:ascii="Microsoft YaHei" w:hAnsi="Microsoft YaHei" w:eastAsia="Microsoft YaHei"/>
          <w:b w:val="0"/>
          <w:i w:val="0"/>
          <w:color w:val="5B6573"/>
          <w:sz w:val="24"/>
        </w:rPr>
        <w:t>Universe · Factor · Alpha · Requirement · Run · Backtest</w:t>
      </w: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  <w:tblInd w:w="120" w:type="dxa"/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1F8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文档目的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9"/>
              </w:rPr>
              <w:t>说明当前项目中可复现、可审计的量化 Research 工作流与模块边界。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1F8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适用范围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9"/>
              </w:rPr>
              <w:t>DataTube Quant Research V1 已实现能力；不覆盖未落地的功能。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1F8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系统边界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9"/>
              </w:rPr>
              <w:t>Research Backtest 是本地历史重放，不创建、批准或发送实盘订单。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1F8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实现基线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9"/>
              </w:rPr>
              <w:t>以 2026-07-16 项目验证基线及现有代码为准。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  <w:tblInd w:w="120" w:type="dxa"/>
      </w:tblPr>
      <w:tblGrid>
        <w:gridCol w:w="9360"/>
      </w:tblGrid>
      <w:tr>
        <w:tc>
          <w:tcPr>
            <w:tcW w:type="dxa" w:w="9360"/>
            <w:shd w:fill="E8F2F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60" w:line="30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21"/>
              </w:rPr>
              <w:t>一句话概览</w:t>
            </w:r>
          </w:p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9"/>
              </w:rPr>
              <w:t>研究人员先确定可交易标的集合（Universe），将原始数据转为可解释指标（Factor），以横截面组合形成排序信号（Alpha），由 Requirement 编译数据语义和覆盖，再在冻结数据与执行规则下创建 Run / Backtest；每一步均保留版本、哈希和谱系。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2E74B5"/>
          <w:sz w:val="30"/>
        </w:rPr>
        <w:t>1. 系统定位与边界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B1F24"/>
          <w:sz w:val="21"/>
        </w:rPr>
        <w:t>Research 是持续演化的定义网络；Run 则是该网络在某个时点的确定性解析和冻结。研究对象可在工作区继续演进，而一次 Run 的输入、授权、数据 Manifest 与产出不可被后续编辑改写。</w:t>
      </w: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  <w:tblInd w:w="120" w:type="dxa"/>
      </w:tblPr>
      <w:tblGrid>
        <w:gridCol w:w="1800"/>
        <w:gridCol w:w="3900"/>
        <w:gridCol w:w="3660"/>
      </w:tblGrid>
      <w:tr>
        <w:trPr>
          <w:tblHeader w:val="true"/>
        </w:trPr>
        <w:tc>
          <w:tcPr>
            <w:tcW w:type="dxa" w:w="180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链路</w:t>
            </w:r>
          </w:p>
        </w:tc>
        <w:tc>
          <w:tcPr>
            <w:tcW w:type="dxa" w:w="390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用途</w:t>
            </w:r>
          </w:p>
        </w:tc>
        <w:tc>
          <w:tcPr>
            <w:tcW w:type="dxa" w:w="366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与本系统关系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Research Backtest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7"/>
              </w:rPr>
              <w:t>基于冻结 Manifest、Universe、Factor、Alpha 及执行假设进行历史模拟。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7"/>
              </w:rPr>
              <w:t>本文核心链路；产出订单、净值、指标与谱系。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Legacy Strategy Backtest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7"/>
              </w:rPr>
              <w:t>策略代码的历史回放。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7"/>
              </w:rPr>
              <w:t>独立链路，不得以其结果替代 Research Backtest。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VirtualRunner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7"/>
              </w:rPr>
              <w:t>虚拟执行或运行态模拟。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7"/>
              </w:rPr>
              <w:t>独立链路，不等同于历史回测。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Real Execution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7"/>
              </w:rPr>
              <w:t>真实交易执行。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7"/>
              </w:rPr>
              <w:t>不由 Research 系统创建、批准或触发。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B1F24"/>
          <w:sz w:val="21"/>
        </w:rPr>
        <w:t>Research 资产分为工作区内的本地对象与发布到 Library 的不可变版本。发布后的 Library 版本可被其他 Research 以只读引用使用；如需修改，应 Copy and Edit 生成新的工作对象，而不是覆盖已发布版本。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2E74B5"/>
          <w:sz w:val="30"/>
        </w:rPr>
        <w:t>2. 总体流程：从定义到可审计回测</w:t>
      </w: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  <w:tblInd w:w="120" w:type="dxa"/>
      </w:tblPr>
      <w:tblGrid>
        <w:gridCol w:w="9360"/>
      </w:tblGrid>
      <w:tr>
        <w:tc>
          <w:tcPr>
            <w:tcW w:type="dxa" w:w="9360"/>
            <w:shd w:fill="E8F2F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60" w:line="30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21"/>
              </w:rPr>
              <w:t>正式研究链</w:t>
            </w:r>
          </w:p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9"/>
              </w:rPr>
              <w:t>Data Requirement → Dataset Catalog → 内容寻址 Parquet → Dataset Manifest → 物理校验 → Universe Snapshot → Factor Artifact → Alpha Artifact → Portfolio Targets → NEXT_BAR_OPEN 执行 → Orders / Equity / Backtest Result → Artifact Lineage / Pin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B1F24"/>
          <w:sz w:val="21"/>
        </w:rPr>
        <w:t>默认工作台以 Overview / Universe / Factor / Alpha / Data / Runs 组织。Requirements、解析计划、预览与 Frozen Bundle 在后台承担确定性和审计职责，避免把内部术语暴露在主工作流。</w:t>
      </w: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  <w:tblInd w:w="120" w:type="dxa"/>
      </w:tblPr>
      <w:tblGrid>
        <w:gridCol w:w="1350"/>
        <w:gridCol w:w="2450"/>
        <w:gridCol w:w="2600"/>
        <w:gridCol w:w="2960"/>
      </w:tblGrid>
      <w:tr>
        <w:trPr>
          <w:tblHeader w:val="true"/>
        </w:trPr>
        <w:tc>
          <w:tcPr>
            <w:tcW w:type="dxa" w:w="135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阶段</w:t>
            </w:r>
          </w:p>
        </w:tc>
        <w:tc>
          <w:tcPr>
            <w:tcW w:type="dxa" w:w="245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输入</w:t>
            </w:r>
          </w:p>
        </w:tc>
        <w:tc>
          <w:tcPr>
            <w:tcW w:type="dxa" w:w="260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主要产出</w:t>
            </w:r>
          </w:p>
        </w:tc>
        <w:tc>
          <w:tcPr>
            <w:tcW w:type="dxa" w:w="296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关键控制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定义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7"/>
              </w:rPr>
              <w:t>Universe / Factor / Alpha / Requirement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7"/>
              </w:rPr>
              <w:t>版本化的 Definition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7"/>
              </w:rPr>
              <w:t>同名同版本规则冲突拒绝；发布版本不可原地修改。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数据解析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7"/>
              </w:rPr>
              <w:t>RequirementSet、Catalog、授权范围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7"/>
              </w:rPr>
              <w:t>Run Inputs Preview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7"/>
              </w:rPr>
              <w:t>语义兼容合并；覆盖和 Manifest 解析可失效。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运行冻结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7"/>
              </w:rPr>
              <w:t>Preview、当前授权与预算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7"/>
              </w:rPr>
              <w:t>Frozen Bundle、QUEUED Run、Outbox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7"/>
              </w:rPr>
              <w:t>单一事务，任一步失败即回滚。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计算与回测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7"/>
              </w:rPr>
              <w:t>冻结 Bundle、完整 Bar、执行/组合规则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7"/>
              </w:rPr>
              <w:t>Artifacts、订单、净值和指标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7"/>
              </w:rPr>
              <w:t>可重放；Code Hash 或输入变化不复用旧产出。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2E74B5"/>
          <w:sz w:val="30"/>
        </w:rPr>
        <w:t>3. Universe：定义“在哪些标的上研究”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B1F24"/>
          <w:sz w:val="21"/>
        </w:rPr>
        <w:t>Universe 负责把候选标的变成某一时点真实可用的成员集合。系统支持静态列表与按成交额 Top-N 两类定义；定义不可原地修改，运行使用的是点时快照而非动态名称。</w:t>
      </w: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  <w:tblInd w:w="120" w:type="dxa"/>
      </w:tblPr>
      <w:tblGrid>
        <w:gridCol w:w="1850"/>
        <w:gridCol w:w="2900"/>
        <w:gridCol w:w="2750"/>
        <w:gridCol w:w="1860"/>
      </w:tblGrid>
      <w:tr>
        <w:trPr>
          <w:tblHeader w:val="true"/>
        </w:trPr>
        <w:tc>
          <w:tcPr>
            <w:tcW w:type="dxa" w:w="185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290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必要参数</w:t>
            </w:r>
          </w:p>
        </w:tc>
        <w:tc>
          <w:tcPr>
            <w:tcW w:type="dxa" w:w="275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解析方式</w:t>
            </w:r>
          </w:p>
        </w:tc>
        <w:tc>
          <w:tcPr>
            <w:tcW w:type="dxa" w:w="186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适用场景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STATIC_LIST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7"/>
              </w:rPr>
              <w:t>instrument_ids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7"/>
              </w:rPr>
              <w:t>直接使用规范化、去重后的标的列表。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7"/>
              </w:rPr>
              <w:t>固定标的篮子，如 BTCUSDT、ETHUSDT 等。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TOP_N_BY_TURNOVER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7"/>
              </w:rPr>
              <w:t>candidate_instrument_ids、top_n、lookback_bars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7"/>
              </w:rPr>
              <w:t>在指定回看窗口计算平均成交额，按值降序、标的 ID 稳定排序后取前 N。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7"/>
              </w:rPr>
              <w:t>流动性筛选后的动态候选池。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B1F24"/>
          <w:sz w:val="21"/>
        </w:rPr>
        <w:t>Universe Snapshot 至少固化 universe_snapshot_id、definition_id、as_of_time、实际 instrument_ids、selection_inputs、selection_rule_version、dataset_manifest_ids 与 fingerprint。Factor/Alpha 产出、组合目标与回测结果均可绑定该 Snapshot。</w:t>
      </w: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  <w:tblInd w:w="120" w:type="dxa"/>
      </w:tblPr>
      <w:tblGrid>
        <w:gridCol w:w="9360"/>
      </w:tblGrid>
      <w:tr>
        <w:tc>
          <w:tcPr>
            <w:tcW w:type="dxa" w:w="9360"/>
            <w:shd w:fill="E8F2F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60" w:line="30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21"/>
              </w:rPr>
              <w:t>关键原则</w:t>
            </w:r>
          </w:p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9"/>
              </w:rPr>
              <w:t>UI 输入的 BTCUSDT 等上游符号需先经 Instrument Registry 解析为规范化 Instrument ID，再进入 Requirement、Coverage 与 Manifest Resolver，防止同一标的因身份不一致而被误判为缺数据。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2E74B5"/>
          <w:sz w:val="30"/>
        </w:rPr>
        <w:t>4. Factor：将数据转为可解释的原子信号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B1F24"/>
          <w:sz w:val="21"/>
        </w:rPr>
        <w:t>FactorSpec 显式描述输入、算子、窗口、频率、计算维度、最小观测数、缺失规则、时间对齐、可用时点、未完成 Bar 规则、输出单位与方向，以及 Engine Version / Code Hash。因而相同名称并不等于相同计算语义。</w:t>
      </w: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  <w:tblInd w:w="120" w:type="dxa"/>
      </w:tblPr>
      <w:tblGrid>
        <w:gridCol w:w="1800"/>
        <w:gridCol w:w="3550"/>
        <w:gridCol w:w="4010"/>
      </w:tblGrid>
      <w:tr>
        <w:trPr>
          <w:tblHeader w:val="true"/>
        </w:trPr>
        <w:tc>
          <w:tcPr>
            <w:tcW w:type="dxa" w:w="180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类别</w:t>
            </w:r>
          </w:p>
        </w:tc>
        <w:tc>
          <w:tcPr>
            <w:tcW w:type="dxa" w:w="355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当前算子</w:t>
            </w:r>
          </w:p>
        </w:tc>
        <w:tc>
          <w:tcPr>
            <w:tcW w:type="dxa" w:w="401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变化与比值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7"/>
              </w:rPr>
              <w:t>pct_change / difference / ratio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7"/>
              </w:rPr>
              <w:t>描述价格或字段间的变化、差异与比例。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滚动统计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7"/>
              </w:rPr>
              <w:t>rolling_mean / rolling_std / rolling_return_std / ema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7"/>
              </w:rPr>
              <w:t>依赖窗口和预热观测；EMA 使用 SMA Seed 后递推。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趋势交叉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7"/>
              </w:rPr>
              <w:t>ma_crossover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7"/>
              </w:rPr>
              <w:t>fast_window &lt; slow_window；金叉为 +1、死叉为 -1、其他为 0；需要 slow_window + 1 个观测。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B1F24"/>
          <w:sz w:val="21"/>
        </w:rPr>
        <w:t>时间语义是 Factor 的核心约束：完整 Bar 的 Close 只能在 Bar Close 后参与计算，Factor 通过 factor_as_of_time 和 available_time 描述“何时已知”。不能把尚未闭合或尚不可用的数据混入信号。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B1F24"/>
          <w:sz w:val="21"/>
        </w:rPr>
        <w:t>Factor Evaluation 用未来收益检验信息质量：信号在 available_time=T 可用，从第一根 bar_start ≥ T 的未来 Bar Open 建仓，到第 h 根未来 Bar Close 结束。输出包括 Coverage、缺失率、分布、异常值、稳定性、Rank IC、分位组合收益和 High-Low Spread。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2E74B5"/>
          <w:sz w:val="30"/>
        </w:rPr>
        <w:t>5. Alpha：将多个 Factor 合成为横截面排序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B1F24"/>
          <w:sz w:val="21"/>
        </w:rPr>
        <w:t>Alpha 是在同一 Universe Snapshot 内对多个 Factor 进行加权和变换后的横截面评分。当前明确使用 CS_RANK，并分离 raw_score、rank 与 percentile，避免将原始值、名次和百分位混为同一字段。</w:t>
      </w: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  <w:tblInd w:w="120" w:type="dxa"/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1F8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示例表达式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9"/>
              </w:rPr>
              <w:t>0.7 × cs_rank(momentum_20) − 0.3 × cs_rank(volatility_20)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1F8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AlphaSpec 关键字段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9"/>
              </w:rPr>
              <w:t>Universe Snapshot、最低横截面数量、Coverage、Missing Policy、组件权重、变换、Engine Version 与 Code Hash。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1F8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输出含义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9"/>
              </w:rPr>
              <w:t>raw_score 为合成分数；rank 为名次；percentile 为相对位置；后续 Portfolio 以排序或阈值选择目标标的。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1F8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缺失处理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9"/>
              </w:rPr>
              <w:t>由 Missing Policy 显式定义；覆盖不足或横截面数量不足时，不应伪造可交易信号。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B1F24"/>
          <w:sz w:val="21"/>
        </w:rPr>
        <w:t>Alpha Evaluation 输出分数分布、连续排名稳定性、Top/Bottom 收益、Long-Short Spread、Top-N 成员换手、1/6/24 Bar 持有期衰减、成本后估计收益以及牛/熊/震荡阶段表现。这些诊断用于判断信号稳健性，不构成收益承诺。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2E74B5"/>
          <w:sz w:val="30"/>
        </w:rPr>
        <w:t>6. Requirement：把研究语义编译成数据需求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B1F24"/>
          <w:sz w:val="21"/>
        </w:rPr>
        <w:t>Requirement 不是简单的数据下载清单，而是 Factor、Alpha、Universe、Backtest 与 Evaluation 对数据的依赖声明。RequirementCompiler 将声明展开、追踪来源并编译为冻结的 RequirementSet，再由 Catalog / Manifest Coverage 判断数据是否可用。</w:t>
      </w: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  <w:tblInd w:w="120" w:type="dxa"/>
      </w:tblPr>
      <w:tblGrid>
        <w:gridCol w:w="9360"/>
      </w:tblGrid>
      <w:tr>
        <w:tc>
          <w:tcPr>
            <w:tcW w:type="dxa" w:w="9360"/>
            <w:shd w:fill="E8F2F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60" w:line="30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21"/>
              </w:rPr>
              <w:t>编译链</w:t>
            </w:r>
          </w:p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9"/>
              </w:rPr>
              <w:t>Declared Requirement → 语义展开与依赖追踪 → Resolved RequirementSet → Catalog / Manifest Coverage → Effective Requirement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  <w:tblInd w:w="120" w:type="dxa"/>
      </w:tblPr>
      <w:tblGrid>
        <w:gridCol w:w="1650"/>
        <w:gridCol w:w="2520"/>
        <w:gridCol w:w="5190"/>
      </w:tblGrid>
      <w:tr>
        <w:trPr>
          <w:tblHeader w:val="true"/>
        </w:trPr>
        <w:tc>
          <w:tcPr>
            <w:tcW w:type="dxa" w:w="165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控制项</w:t>
            </w:r>
          </w:p>
        </w:tc>
        <w:tc>
          <w:tcPr>
            <w:tcW w:type="dxa" w:w="252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作用</w:t>
            </w:r>
          </w:p>
        </w:tc>
        <w:tc>
          <w:tcPr>
            <w:tcW w:type="dxa" w:w="519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系统规则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语义合并键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7"/>
              </w:rPr>
              <w:t>判断两项需求是否可共享数据。</w:t>
            </w:r>
          </w:p>
        </w:tc>
        <w:tc>
          <w:tcPr>
            <w:tcW w:type="dxa" w:w="5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7"/>
              </w:rPr>
              <w:t>必须同时兼容 data_type、frequency、adjustment、time_semantics、point_in_time_policy、quality_policy、source_policy。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字段与预热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7"/>
              </w:rPr>
              <w:t>合并兼容的需求。</w:t>
            </w:r>
          </w:p>
        </w:tc>
        <w:tc>
          <w:tcPr>
            <w:tcW w:type="dxa" w:w="5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7"/>
              </w:rPr>
              <w:t>可合并字段与最大预热观测数；不可兼容则保持独立。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版本与谱系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7"/>
              </w:rPr>
              <w:t>记录需求从何而来。</w:t>
            </w:r>
          </w:p>
        </w:tc>
        <w:tc>
          <w:tcPr>
            <w:tcW w:type="dxa" w:w="5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7"/>
              </w:rPr>
              <w:t>输入或语义变化创建新版本，旧版本标记 SUPERSEDED，不覆盖。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人工依赖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7"/>
              </w:rPr>
              <w:t>表达无法从定义自动推导的需求。</w:t>
            </w:r>
          </w:p>
        </w:tc>
        <w:tc>
          <w:tcPr>
            <w:tcW w:type="dxa" w:w="5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7"/>
              </w:rPr>
              <w:t>以 MANUAL Dependency Link 单独识别；系统依赖不可直接删除。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数据补齐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7"/>
              </w:rPr>
              <w:t>处理数据缺口。</w:t>
            </w:r>
          </w:p>
        </w:tc>
        <w:tc>
          <w:tcPr>
            <w:tcW w:type="dxa" w:w="5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7"/>
              </w:rPr>
              <w:t>当前只提供编译、版本、来源和只读 Coverage；未经 Grant 与预算批准，不自动创建 Backfill Task。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2E74B5"/>
          <w:sz w:val="30"/>
        </w:rPr>
        <w:t>7. Run：解析、预览与冻结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B1F24"/>
          <w:sz w:val="21"/>
        </w:rPr>
        <w:t>Run Inputs Preview 汇总 Definition、Data Resolution、Execution 与 Authorization closure 的指纹。它不是最终事实：Factor、Alpha、Universe、Requirement、Manifest、Engine、Policy、Grant 或 Resolver 任何相关版本变化后，Preview 必须变为 STALE 并重新解析。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B1F24"/>
          <w:sz w:val="21"/>
        </w:rPr>
        <w:t>创建 Run 时，服务端在单一事务中重新校验 Preview、确定性 Manifest 结果、当前授权和预算，然后同时写入不可变 Frozen Bundle、预算预留、QUEUED Run 与 Outbox。任一步失败即全部回滚。</w:t>
      </w: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  <w:tblInd w:w="120" w:type="dxa"/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1F8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Frozen Bundle 固化内容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9"/>
              </w:rPr>
              <w:t>Definition ID / Version / Spec Hash、精确 Manifest、Universe Snapshot、Engine / Code Hash、授权与策略快照等。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1F8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重放规则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9"/>
              </w:rPr>
              <w:t>Bundle 保存历史事实；重放或新 Run 仍需重新检查当前完整性、安全策略及复用授权。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1F8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数据物理校验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9"/>
              </w:rPr>
              <w:t>Manifest 必须 READY；文件大小、SHA-256、Schema、行数、时间范围、完整 Bar 与 available_time 均需一致。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1F8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9"/>
              </w:rPr>
              <w:t>不可变性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9"/>
              </w:rPr>
              <w:t>Bundle 不复制 Parquet，但引用的内容寻址对象与 Manifest 使历史结果可复现；物理损坏则必须拒绝再次执行。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2E74B5"/>
          <w:sz w:val="30"/>
        </w:rPr>
        <w:t>8. Backtest：组合、执行、会计与指标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B1F24"/>
          <w:sz w:val="21"/>
        </w:rPr>
        <w:t>Research Backtest 仅在显式 READY 且经物理验证的 Frozen Manifest 上运行。当前组合规则支持 TOP_N、EQUAL_WEIGHT、LONG_ONLY，以及 DAILY 或 EVERY_SIGNAL 调仓；可配置 max_position_weight、minimum_score 与 cash_buffer。</w:t>
      </w: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  <w:tblInd w:w="120" w:type="dxa"/>
      </w:tblPr>
      <w:tblGrid>
        <w:gridCol w:w="1700"/>
        <w:gridCol w:w="4830"/>
        <w:gridCol w:w="2830"/>
      </w:tblGrid>
      <w:tr>
        <w:trPr>
          <w:tblHeader w:val="true"/>
        </w:trPr>
        <w:tc>
          <w:tcPr>
            <w:tcW w:type="dxa" w:w="170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执行维度</w:t>
            </w:r>
          </w:p>
        </w:tc>
        <w:tc>
          <w:tcPr>
            <w:tcW w:type="dxa" w:w="483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当前固定语义</w:t>
            </w:r>
          </w:p>
        </w:tc>
        <w:tc>
          <w:tcPr>
            <w:tcW w:type="dxa" w:w="283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目的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信号与成交</w:t>
            </w:r>
          </w:p>
        </w:tc>
        <w:tc>
          <w:tcPr>
            <w:tcW w:type="dxa" w:w="4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7"/>
              </w:rPr>
              <w:t>signal = BAR_CLOSE；execution = NEXT_BAR_OPEN；price = NEXT_OPEN_PLUS_SLIPPAGE</w:t>
            </w:r>
          </w:p>
        </w:tc>
        <w:tc>
          <w:tcPr>
            <w:tcW w:type="dxa" w:w="2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7"/>
              </w:rPr>
              <w:t>阻断当前 Close 的前视偏差。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成本</w:t>
            </w:r>
          </w:p>
        </w:tc>
        <w:tc>
          <w:tcPr>
            <w:tcW w:type="dxa" w:w="4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7"/>
              </w:rPr>
              <w:t>fee = FIXED_BPS；slippage = FIXED_BPS</w:t>
            </w:r>
          </w:p>
        </w:tc>
        <w:tc>
          <w:tcPr>
            <w:tcW w:type="dxa" w:w="2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7"/>
              </w:rPr>
              <w:t>买入滑点向上、卖出滑点向下；买卖均按成交额收费。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风险与现金</w:t>
            </w:r>
          </w:p>
        </w:tc>
        <w:tc>
          <w:tcPr>
            <w:tcW w:type="dxa" w:w="4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7"/>
              </w:rPr>
              <w:t>sell_before_buy；target_equity = EXECUTION_OPEN_PRE_TRADE；现金不足时买单同比例缩减</w:t>
            </w:r>
          </w:p>
        </w:tc>
        <w:tc>
          <w:tcPr>
            <w:tcW w:type="dxa" w:w="2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7"/>
              </w:rPr>
              <w:t>避免无意负现金并以开盘前交易权益计算目标仓位。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数据完整性</w:t>
            </w:r>
          </w:p>
        </w:tc>
        <w:tc>
          <w:tcPr>
            <w:tcW w:type="dxa" w:w="4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7"/>
              </w:rPr>
              <w:t>missing_price = FAIL_RUN；多标的时间线必须对齐</w:t>
            </w:r>
          </w:p>
        </w:tc>
        <w:tc>
          <w:tcPr>
            <w:tcW w:type="dxa" w:w="2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7"/>
              </w:rPr>
              <w:t>缺 Bar 不静默取交集或前向填充。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交易颗粒度</w:t>
            </w:r>
          </w:p>
        </w:tc>
        <w:tc>
          <w:tcPr>
            <w:tcW w:type="dxa" w:w="4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7"/>
              </w:rPr>
              <w:t>fractional_quantity = true；exchange_rounding = false</w:t>
            </w:r>
          </w:p>
        </w:tc>
        <w:tc>
          <w:tcPr>
            <w:tcW w:type="dxa" w:w="2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7"/>
              </w:rPr>
              <w:t>当前研究会计简化；交易所 tick/step/min-notional 尚未实现。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B1F24"/>
          <w:sz w:val="21"/>
        </w:rPr>
        <w:t>回测产出包括订单、再平衡事件、持仓与净值曲线，并固化 Manifest、Universe、Factor、Alpha、Portfolio / Execution Hash、Engine / Code Version 与 Random Seed。核心指标包括总收益、年化收益、波动率、Sharpe、最大回撤、换手、费用、滑点成本、成交数、调仓数、平均暴露与现金比例。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2E74B5"/>
          <w:sz w:val="30"/>
        </w:rPr>
        <w:t>9. 已验证基线与使用建议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B1F24"/>
          <w:sz w:val="21"/>
        </w:rPr>
        <w:t>真实 Phase 0B 使用 BTCUSDT / ETHUSDT / BNBUSDT / SOLUSDT / XRPUSDT 的 5 × 2160 根完整 1h Bar，构建 momentum_20 与 volatility_20，并以 0.7 × cs_rank(momentum_20) − 0.3 × cs_rank(volatility_20) 形成 Alpha，执行 Top 2 / Equal Weight / Long Only、日调仓、下一根 1h Open 成交、10 bps fee 与 5 bps slippage。</w:t>
      </w: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  <w:tblInd w:w="120" w:type="dxa"/>
      </w:tblPr>
      <w:tblGrid>
        <w:gridCol w:w="1950"/>
        <w:gridCol w:w="2750"/>
        <w:gridCol w:w="4660"/>
      </w:tblGrid>
      <w:tr>
        <w:trPr>
          <w:tblHeader w:val="true"/>
        </w:trPr>
        <w:tc>
          <w:tcPr>
            <w:tcW w:type="dxa" w:w="195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验证项</w:t>
            </w:r>
          </w:p>
        </w:tc>
        <w:tc>
          <w:tcPr>
            <w:tcW w:type="dxa" w:w="275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结果</w:t>
            </w:r>
          </w:p>
        </w:tc>
        <w:tc>
          <w:tcPr>
            <w:tcW w:type="dxa" w:w="466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解读</w:t>
            </w:r>
          </w:p>
        </w:tc>
      </w:tr>
      <w:t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横截面与交易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7"/>
              </w:rPr>
              <w:t>2140 个 Alpha 横截面；89 次实际再平衡；278 笔成交。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7"/>
              </w:rPr>
              <w:t>说明端到端的横截面、目标权重与订单链路可执行。</w:t>
            </w:r>
          </w:p>
        </w:tc>
      </w:tr>
      <w:t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可复现性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7"/>
              </w:rPr>
              <w:t>相同输入确定性重放通过。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7"/>
              </w:rPr>
              <w:t>冻结数据、代码与谱系可支持审计与复核。</w:t>
            </w:r>
          </w:p>
        </w:tc>
      </w:tr>
      <w:t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谱系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7"/>
              </w:rPr>
              <w:t>Manifest / Universe / Factor / Alpha / Portfolio / Backtest Lineage 通过。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7"/>
              </w:rPr>
              <w:t>产出可以追溯到准确的定义与数据输入。</w:t>
            </w:r>
          </w:p>
        </w:tc>
      </w:tr>
      <w:t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经济结果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7"/>
              </w:rPr>
              <w:t>样本总收益约 -18.65%。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B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7"/>
              </w:rPr>
              <w:t>该结果仅为研究链路验收，不是策略推荐或收益承诺。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  <w:tblInd w:w="120" w:type="dxa"/>
      </w:tblPr>
      <w:tblGrid>
        <w:gridCol w:w="9360"/>
      </w:tblGrid>
      <w:tr>
        <w:tc>
          <w:tcPr>
            <w:tcW w:type="dxa" w:w="9360"/>
            <w:shd w:fill="E8F2F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60" w:line="300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365D"/>
                <w:sz w:val="21"/>
              </w:rPr>
              <w:t>使用建议</w:t>
            </w:r>
          </w:p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B1F24"/>
                <w:sz w:val="19"/>
              </w:rPr>
              <w:t>先看数据覆盖与时间语义，再看 Factor / Alpha 的稳定性和成本敏感性，最后才比较回测指标。排名收益不能脱离样本区间、费用、滑点、调仓频率、缺失数据政策与执行模型单独解释。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2E74B5"/>
          <w:sz w:val="30"/>
        </w:rPr>
        <w:t>10. 当前能力边界</w:t>
      </w:r>
    </w:p>
    <w:p>
      <w:pPr>
        <w:pStyle w:val="ListBullet"/>
        <w:spacing w:before="0" w:after="60" w:line="288" w:lineRule="auto"/>
      </w:pPr>
      <w:r>
        <w:rPr>
          <w:rFonts w:ascii="Microsoft YaHei" w:hAnsi="Microsoft YaHei" w:eastAsia="Microsoft YaHei"/>
          <w:b w:val="0"/>
          <w:i w:val="0"/>
          <w:color w:val="1B1F24"/>
          <w:sz w:val="21"/>
        </w:rPr>
        <w:t>已实现：Universe、Factor / Alpha Evaluation、RequirementSet / Compiler / Coverage、确定性 Manifest Resolver、Run Inputs Preview、Frozen Bundle v2、Formal Research Worker（Definitions 输入模式）及 Research Backtest。</w:t>
      </w:r>
    </w:p>
    <w:p>
      <w:pPr>
        <w:pStyle w:val="ListBullet"/>
        <w:spacing w:before="0" w:after="60" w:line="288" w:lineRule="auto"/>
      </w:pPr>
      <w:r>
        <w:rPr>
          <w:rFonts w:ascii="Microsoft YaHei" w:hAnsi="Microsoft YaHei" w:eastAsia="Microsoft YaHei"/>
          <w:b w:val="0"/>
          <w:i w:val="0"/>
          <w:color w:val="1B1F24"/>
          <w:sz w:val="21"/>
        </w:rPr>
        <w:t>未完成：Requirement Task Scheduler、统一 Task DAG Orchestrator、Formal Worker 的 PRECOMPUTED_ARTIFACTS 执行、FRED Point-in-time、精确股票交易日历、交易所 rounding / tick / step / min-notional，以及股票与 Polymarket 专属研究会计。</w:t>
      </w:r>
    </w:p>
    <w:p>
      <w:pPr>
        <w:pStyle w:val="ListBullet"/>
        <w:spacing w:before="0" w:after="60" w:line="288" w:lineRule="auto"/>
      </w:pPr>
      <w:r>
        <w:rPr>
          <w:rFonts w:ascii="Microsoft YaHei" w:hAnsi="Microsoft YaHei" w:eastAsia="Microsoft YaHei"/>
          <w:b w:val="0"/>
          <w:i w:val="0"/>
          <w:color w:val="1B1F24"/>
          <w:sz w:val="21"/>
        </w:rPr>
        <w:t>任何未完成能力不得被 UI、API 或文档标记为“已支持”；回测成功也不等同于策略批准、虚拟运行或实盘交易许可。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300" w:lineRule="auto"/>
      <w:jc w:val="center"/>
    </w:pPr>
    <w:r>
      <w:rPr>
        <w:rFonts w:ascii="Microsoft YaHei" w:hAnsi="Microsoft YaHei" w:eastAsia="Microsoft YaHei"/>
        <w:b w:val="0"/>
        <w:i w:val="0"/>
        <w:color w:val="5B6573"/>
        <w:sz w:val="16"/>
      </w:rPr>
      <w:t>内部技术说明  ·  2026-07-26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300" w:lineRule="auto"/>
      <w:jc w:val="right"/>
    </w:pPr>
    <w:r>
      <w:rPr>
        <w:rFonts w:ascii="Microsoft YaHei" w:hAnsi="Microsoft YaHei" w:eastAsia="Microsoft YaHei"/>
        <w:b/>
        <w:i w:val="0"/>
        <w:color w:val="5B6573"/>
        <w:sz w:val="17"/>
      </w:rPr>
      <w:t>DATATUBE  |  RESEARCH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系统说明：Universe、Factor、Alpha、Requirement 与 Backtest</dc:title>
  <dc:subject>DataTube Quant Research V1 系统说明</dc:subject>
  <dc:creator>DataTube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