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4324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P  L  A  T  F  O  R  M     A  R  C  H  I  T  E  C  T  U  R  E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Архитектура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Платформы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Криптовалютная платформа по закону РФ | Спецификация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 1.0 | Конфиденциально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Дата: Июнь 2026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Clean Architecture + DDD + ИБ</w:t>
            </w:r>
          </w:p>
          <w:p>
            <w:pPr>
              <w:spacing w:before="4324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Architecture | Конфиденциально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Июнь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Введение: от персон к архитектуре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Архитектурные принципы и паттерны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Clean Architecture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Domain-Driven Design (DDD)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CQRS и Event Sourcing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Event-Driven Architecture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Hexagonal Architecture (Ports &amp; Adapters)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Доменная архитектура: Bounded Contexts и микросервисы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Карта контекстов (Context Map)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Identity &amp; Access Management (IAM)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Trading Engine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Custody &amp; Wallet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Payments &amp; Settlement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Compliance &amp; Monitoring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Архитектура потоков данных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Поток торговой операции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Поток кросс-бордер платежа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Поток KYC-верификации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Event Backbone (Apache Kafka)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API Gateway и коммуникационные паттерны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API Gateway архитектура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Межсервисная коммуникация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Архитектура информационной безопасности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Threat Model (STRIDE)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Defense in Depth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Шифрование и управление ключами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Инфраструктурная безопасность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Модель авторизации: RBAC + ABAC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Гибридная модель авторизации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Separation of Duties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Архитектура аудита и комплаенса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Immutable Audit Trail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Регуляторная отчётность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Квалификационное тестирование инвесторов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Инфраструктурная архитектура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Kubernetes-платформа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Хранилища данных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Disaster Recovery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Масштабируемость и производительность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Целевые показатели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Стратегия масштабирования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Кэширование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Наблюдаемость (Observability)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Три столпа наблюдаемости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Security Operations Center (SOC)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Выводы и следующие шаги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Архитектурные императивы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Следующие шаги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Примечание: Для корректного отображения номеров страниц нажмите правой кнопкой мыши на оглавление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F2027"/>
          <w:sz w:val="32"/>
          <w:szCs w:val="32"/>
        </w:rPr>
        <w:t xml:space="preserve">Введение: от персон к архитектуре</w:t>
      </w:r>
      <w:bookmarkEnd w:id="10000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Настоящий документ описывает целевую архитектуру криптовалютной платформы, полностью соответствующей Федеральному закону № 1194918-8 «О цифровой валюте и цифровых правах», с поддержкой международных транзакций. Архитектура выведена (derived) из анализа 50 детализированных персон пользователей (User Personas), что обеспечивает привязку каждого архитектурного решения к реальным потребностям конкретных категорий пользователей.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Методология проектирования основана на принципах Domain-Driven Design (DDD), Clean Architecture и Event-Driven Architecture. Каждый микросервис (bounded context) спроектирован вокруг конкретного бизнес-домена с чёткими границами, собственной моделью данных и API-контрактом. Это обеспечивает независимую разрабатываемость, тестируемость и развёртываемость каждого сервиса, а также позволяет командам работать параллельно без взаимных блокировок.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Архитектура спроектирована для удовлетворения следующих ключевых нефункциональных требований: доступность SLA 99,95% (не более 4,38 часа простоя в год), latency мэтчинга менее 10 мс при пиковой нагрузке до 100 000 TPS, хранение всех данных на территории РФ, шифрование по ГОСТ 28147-89 и AES-256, полный аудит-след с хранением 5 лет, и соответствие требованиям 115-ФЗ, 152-ФЗ и ФЗ-173.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F2027"/>
          <w:sz w:val="32"/>
          <w:szCs w:val="32"/>
        </w:rPr>
        <w:t xml:space="preserve">Архитектурные принципы и паттерны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F2027"/>
          <w:sz w:val="28"/>
          <w:szCs w:val="28"/>
        </w:rPr>
        <w:t xml:space="preserve">Clean Architecture</w:t>
      </w:r>
      <w:bookmarkEnd w:id="10000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реализует Clean Architecture по Роберту Мартину с четырьмя концентрическими слоями: Entities (доменные сущности и бизнес-правила), Use Cases (прикладная логика и оркестрация), Interface Adapters (контроллеры, презентеры, шлюзы) и Frameworks &amp; Drivers (веб, БД, внешние сервисы). Правило зависимостей строго однонаправлено: от внешних слоёв к внутренним. Внутренние слои не имеют знаний о внешних. Это обеспечивает тестируемость бизнес-логики без инфраструктурных зависимостей и возможность замены любой инфраструктурной компоненты без изменения бизнес-правил.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Практическая реализация в микросервисной архитектуре: каждый сервис содержит четыре модуля — domain (чистые сущности и value objects, без зависимостей), application (use cases, ports/interfaces), infrastructure (адаптеры портов: репозитории, клиенты внешних API, шины сообщений) и presentation (REST/gRPC контроллеры, WebSocket handlers). Модуль domain не зависит ни от какого фреймворка или библиотеки, что позволяет запускать unit-тесты бизнес-логики за миллисекунды.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F2027"/>
          <w:sz w:val="28"/>
          <w:szCs w:val="28"/>
        </w:rPr>
        <w:t xml:space="preserve">Domain-Driven Design (DDD)</w:t>
      </w:r>
      <w:bookmarkEnd w:id="10000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Стратегический дизайн DDD выделяет 11 ограниченных контекстов (Bounded Contexts), каждый из которых инкапсулирует собственную Ubiquitous Language, агрегаты и доменные события. Контексты взаимодействуют через антикоррупционный слой (Anti-Corruption Layer), который предотвращает утечку моделей между контекстами. Контекстная карта (Context Map) определяет типы отношений: Customer-Supplier (сотрудничество с синхронным контрактом), Upstream-Downstream (зависимость с ACL), Conformist (прямое принятие модели upstream) и Open-Host Service (публичный API для множественных downstream-потребителей).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0F2027"/>
          <w:sz w:val="28"/>
          <w:szCs w:val="28"/>
        </w:rPr>
        <w:t xml:space="preserve">CQRS и Event Sourcing</w:t>
      </w:r>
      <w:bookmarkEnd w:id="10000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доменов с асимметричной нагрузкой на чтение и запись (Trading Engine, Compliance, Custody) применяется паттерн CQRS (Command Query Responsibility Segregation). Команды (мутации состояния) и запросы (чтение) обрабатываются через разные модели и, в ряде случаев, разные хранилища. Write-side использует оптимизированную для транзакций модель с строгой консистентностью, read-side — денормализованные проекции, оптимизированные для конкретных запросов (materialized views).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критических доменов (Custody, Compliance, Trading) применяется Event Sourcing: состояние агрегата не перезаписывается, а вычисляется как свёртка (fold) последовательности доменных событий. Каждый факт бизнес-операции фиксируется как immutable событие с криптографической подписью. Это обеспечивает полный аудит-след без дополнительного логирования, возможность реконструкции состояния на любой момент времени и естественно интегрируется с регуляторными требованиями к хранению истории операций.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0F2027"/>
          <w:sz w:val="28"/>
          <w:szCs w:val="28"/>
        </w:rPr>
        <w:t xml:space="preserve">Event-Driven Architecture</w:t>
      </w:r>
      <w:bookmarkEnd w:id="10000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Взаимодействие между микросервисами реализуется через асинхронный обмен доменными событиями через Apache Kafka. Каждый bounded context публикует события о значимых изменениях состояния (OrderPlaced, TradeExecuted, WithdrawalRequested, SARFiled и т.д.), а другие контексты подписываются на релевантные события. Это обеспечивает слабую связность (loose coupling) между сервисами, возможность independent deployability и естественно поддерживает eventual consistency.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Гарантии доставки событий реализуются через комбинацию outbox pattern (запись события в БД сервиса в рамках той же транзакции, что и изменение состояния) и CDC (Change Data Capture через Debezium) для выгрузки событий в Kafka. Это обеспечивает at-least-once доставку с идемпотентной обработкой на стороне потребителя, что критически важно для финансовых операций.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F2027"/>
          <w:sz w:val="28"/>
          <w:szCs w:val="28"/>
        </w:rPr>
        <w:t xml:space="preserve">Hexagonal Architecture (Ports &amp; Adapters)</w:t>
      </w:r>
      <w:bookmarkEnd w:id="10000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микросервис реализует Hexagonal Architecture: ядро (domain + application) определяет порты (interfaces), а инфраструктурные адаптеры их реализуют. Входящие порты (driving ports) — это use case interfaces, которые вызываются контроллерами, CLI или consumer-ами событий. Исходящие порты (driven ports) — это интерфейсы репозиториев, клиентов внешних API и шин сообщений. Это позволяет заменять PostgreSQL на MongoDB, REST на gRPC или добавлять нового банковского партнёра без изменения бизнес-логики.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Паттерн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Домены применения</w:t>
            </w:r>
          </w:p>
        </w:tc>
        <w:tc>
          <w:tcPr>
            <w:tcW w:type="pct" w:w="3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Обоснование</w:t>
            </w:r>
          </w:p>
        </w:tc>
        <w:tc>
          <w:tcPr>
            <w:tcW w:type="pct" w:w="2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Связанные персоны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Clean Architecture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11 контекстов</w:t>
            </w:r>
          </w:p>
        </w:tc>
        <w:tc>
          <w:tcPr>
            <w:tcW w:type="pct" w:w="3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Тестируемость, независимость от фреймворков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50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DDD Bounded Contexts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Стратегический дизайн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Изоляция доменов, Ubiquitous Language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 (CTO), P34 (Compliance)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CQRS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Trading, Custody, Compliance</w:t>
            </w:r>
          </w:p>
        </w:tc>
        <w:tc>
          <w:tcPr>
            <w:tcW w:type="pct" w:w="3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Асимметрия R/W, оптимизация запросов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P01, P09, P24, P44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 Sourcing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Custody, Compliance, Trading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Полный аудит-след, реконструкция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P33, P40, P47, P49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Event-Driven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Межсервисное взаимодействие</w:t>
            </w:r>
          </w:p>
        </w:tc>
        <w:tc>
          <w:tcPr>
            <w:tcW w:type="pct" w:w="3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Слабая связность, eventual consistency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P34, P38, P41, P45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Hexagonal Architecture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сервисы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Подменяемость инфраструктуры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P34, P38, P42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Saga Pattern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Payments, Cross-Border</w:t>
            </w:r>
          </w:p>
        </w:tc>
        <w:tc>
          <w:tcPr>
            <w:tcW w:type="pct" w:w="3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Распределённые транзакции, компенсация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P13-P21, P25-P32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Outbox Pattern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публикующие сервисы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Гарантия доставки событий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P34, P38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1. Применение архитектурных паттернов по доменам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0F2027"/>
          <w:sz w:val="32"/>
          <w:szCs w:val="32"/>
        </w:rPr>
        <w:t xml:space="preserve">Доменная архитектура: Bounded Contexts и микросервисы</w:t>
      </w:r>
      <w:bookmarkEnd w:id="100007"/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F2027"/>
          <w:sz w:val="28"/>
          <w:szCs w:val="28"/>
        </w:rPr>
        <w:t xml:space="preserve">Карта контекстов (Context Map)</w:t>
      </w:r>
      <w:bookmarkEnd w:id="10000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Одиннадцать bounded context'ов образуют контекстную карту платформы. Каждый контекст развёртывается как независимый микросервис (или группа микросервисов для высоконагруженных доменов) с собственным хранилищем данных, API и жизненным циклом развёртывания. Отношения между контекстами определяются через паттерны DDD: Customer-Supplier для тесно связанных контекстов (Trading↔Custody), Open-Host Service для публичных API (Market Data), и Anti-Corruption Layer для интеграции с внешними системами (Cross-Border Gateway↔Partner Banks).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Bounded Context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Микросервисы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Технологический стек</w:t>
            </w:r>
          </w:p>
        </w:tc>
        <w:tc>
          <w:tcPr>
            <w:tcW w:type="pct" w:w="2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БД</w:t>
            </w:r>
          </w:p>
        </w:tc>
        <w:tc>
          <w:tcPr>
            <w:tcW w:type="pct" w:w="1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Объём данных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iam-service, kyc-service, address-id-service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PostgreSQL, Redis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matching-engine, order-service, trade-service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Rust, Redis, Kafka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Redis + TimescaleDB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Очень большой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 &amp; Wallet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wallet-service, key-management, withdrawal-service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HSM, PostgreSQL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 + Event Store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Большой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 &amp; Settlement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payment-service, conversion-service, settlement-engine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Kafka, PostgreSQL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Большой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 &amp; Monitoring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aml-engine, transaction-monitor, sar-service, quarantine-service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Python (ML), Go, Kafka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 + Elasticsearch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Очень большой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Cross-Border Gateway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corridor-service, fiat-bridge, currency-control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Kafka, PostgreSQL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Market Data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market-data-service, candle-service, orderbook-service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Rust, Redis, TimescaleDB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TimescaleDB + Redis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Очень большой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notification-service, template-engine, push-service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Kafka, PostgreSQL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 &amp; Operations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admin-service, config-service, incident-service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PostgreSQL, Vue.js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Малый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Regulatory Reporting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reporting-service, data-room, rosfinmonitoring-adapter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PostgreSQL, Apache POI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Большой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Listing &amp; Tokenization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listing-service, due-diligence, cfa-bridge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Go, PostgreSQL, Solidity</w:t>
            </w:r>
          </w:p>
        </w:tc>
        <w:tc>
          <w:tcPr>
            <w:tcW w:type="pct" w:w="2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Малый-средний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2. Bounded Contexts и их технологическая реализация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0F2027"/>
          <w:sz w:val="28"/>
          <w:szCs w:val="28"/>
        </w:rPr>
        <w:t xml:space="preserve">Identity &amp; Access Management (IAM)</w:t>
      </w:r>
      <w:bookmarkEnd w:id="10000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Контекст IAM является фундаментальным — каждый из 50 персон проходит через него при первом взаимодействии с платформой. Доменная модель включает следующие агрегаты: User (корневой агрегат, содержащий профиль, контакты, статус верификации), KYCProfile (документы, биометрия, результат проверки, уровень квалификации), AddressIdentifier (привязка крипто-адресов к личности по закону 1194918-8), Role (набор разрешений в рамках RBAC/ABAC) и Session (управление аутентификацией, MFA).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Интеграция с ЕСИА (Госуслуги) реализуется через SAML 2.0/OAuth 2.0 адаптер, позволяющий импортировать верифицированные данные гражданина РФ. Биометрическая верификация использует liveness-detection (определение живого присутствия) через интеграцию с биометрической платформой, сертифицированной ФСТЭК. Квалификационное тестирование инвесторов реализовано как state machine с набором вопросов, адаптируемых к профилю пользователя, и автоматическим определением квалификации на основе количества правильных ответов и размера подтверждённых активов.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Ключевые доменные события: UserRegistered, KYCSubmitted, KYCApproved, KYCRejected, QualificationGranted, QualificationRevoked, AddressIdentifierAssigned, RoleAssigned. События публикуются в Kafka топик iam.events и потребляются всеми контекстами, которым необходима информация о статусе пользователя.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0F2027"/>
          <w:sz w:val="28"/>
          <w:szCs w:val="28"/>
        </w:rPr>
        <w:t xml:space="preserve">Trading Engine</w:t>
      </w:r>
      <w:bookmarkEnd w:id="10001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Торговый движок — самый высоконагруженный контекст платформы, обслуживающий персоны P01, P07, P09, P24, P41, P45. Архитектура основана на принципах CQRS с полным разделением write-path (мэтчинг ордеров) и read-path (стакан ордеров, лента сделок). Мэтчинг реализован на Rust для обеспечения детерминированной latency менее 10 мс при нагрузке до 100 000 TPS. In-memory order book на базе Red-Black Tree обеспечивает O(log n) вставку, удаление и мэтчинг.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Доменные агрегаты: Order (тип, сторона, цена, количество, статус, timestamps), Trade (исполненная сделка с указанием мейкера и тейкера), OrderBook (снэпшот текущего стакана), Position (текущая позиция пользователя по инструменту). Ключевые инварианты: ордер не может быть исполнен по цене хуже лимитной (для limit-ордеров), маржинальная торговля невозможна при недостаточном обеспечении, неквалифицированный инвестор не может превысить годовой лимит.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Saga-паттерн для торговой операции: OrderPlaced → ReserveFunds (Custody) → MatchOrder (Engine) → ExecuteTrade → ReleaseReservation → EmitTradeEvent. Компенсирующая транзакция при ошибке: CancelOrder → ReleaseReservation. Гарантия exactly-once исполнения обеспечивается через идемпотентные обработчики на основе идемпотентного ключа (orderId + tradeId).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0F2027"/>
          <w:sz w:val="28"/>
          <w:szCs w:val="28"/>
        </w:rPr>
        <w:t xml:space="preserve">Custody &amp; Wallet</w:t>
      </w:r>
      <w:bookmarkEnd w:id="10001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Контекст кастодиального хранения реализует архитектуру горячий-тёплый-холодный кошелёк с пропорцией 5%/15%/80% активов. Это критический домен для обеспечения безопасности пользовательских средств (персоны P01-P24, P25-P32) и соответствия требованиям Банка России по хранению криптовалютных активов лицензированных организаций.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Управление ключами реализовано через интеграцию с HSM (Hardware Security Module), сертифицированным ФСТЭК. Генерация мастер-ключа происходит внутри HSM и никогда не покидает его пределы. Деривация дочерних ключей осуществляется по схеме BIP-32/BIP-44 с дополнительным шифрованием по ГОСТ 28147-89. Каждый вывод средств требует многофакторной авторизации: пароль + TOTP + (для сумм свыше 100 000 руб.) биометрическое подтверждение. Операции с холодным кошельком требуют m-of-n подписей (3-of-5) от различных должностных лиц платформы (персон P33, P34, P36, P37, P40).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Event Sourcing является естественным выбором для данного домена: каждое изменение баланса фиксируется как immutable событие (DepositRequested, WithdrawalApproved, BalanceAdjusted), что обеспечивает полный аудит-след и возможность реконструкции баланса на любой момент времени — требование регулятора для лицензированных кастодианов.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F2027"/>
          <w:sz w:val="28"/>
          <w:szCs w:val="28"/>
        </w:rPr>
        <w:t xml:space="preserve">Payments &amp; Settlement</w:t>
      </w:r>
      <w:bookmarkEnd w:id="10001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Контекст платежей и расчётов обслуживает кросс-бордер операции (персоны P13-P21, P25-P32) и конвертацию фиат-крипто. Архитектура основана на Saga-паттерне для управления распределёнными транзакциями, охватывающими несколько внешних систем (банковские партнёры, внешние биржи ликвидности, валютный контроль).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Ключевые агрегаты: Payment (инициированный платёж с указанием коридора, валют, сумм), Conversion (заявка на конвертацию с фиксацией курса на ограниченное время), Settlement (результат расчёта с указанием всех промежуточных шагов), CurrencyControl (документы валютного контроля, паспорт сделки). Сага кросс-бордер платежа: InitPayment → ValidateCurrencyControl → ReserveLiquidity → ExecuteConversion → SendToPartner → WaitForSettlement → CompletePayment. Компенсация: RefundConversion → ReleaseLiquidity → CancelPayment.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Plug-in архитектура коридоров позволяет добавлять новые географические направления (RU-CN, RU-AE, RU-IN и т.д.) без изменения ядра платформы. Каждый коридор реализует стандартный интерфейс CorridorPlugin с методами validate(), execute(), settle(), compensate(). Это критически важно для быстрой адаптации к изменяющимся геополитическим условиям и санкиционным ограничениям.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0F2027"/>
          <w:sz w:val="28"/>
          <w:szCs w:val="28"/>
        </w:rPr>
        <w:t xml:space="preserve">Compliance &amp; Monitoring</w:t>
      </w:r>
      <w:bookmarkEnd w:id="10001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Контекст комплаенса и мониторинга — один из самых сложных и критичных доменов, обслуживающий персон P33 (AML-аналитик), P36 (риск-менеджер), P37 (юрист), P40 (аудитор), P47 (инспектор ЦБ) и P49 (Росфинмониторинг). Домен реализует двухуровневую систему обнаружения подозрительных операций: правилный движок (rule engine) для известных паттернов и ML-модель для аномалий.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Правильный движок содержит более 200 правил, категоризированных по типам: threshold rules (превышение суммовых лимитов), velocity rules (частота операций), pattern rules (типичные схемы отмывания), sanctions rules (совпадение со санкционными списками) и behavioral rules (отклонение от типичного поведения пользователя). Каждое правило имеет настраиваемые параметры (пороги, веса, периоды наблюдения), которые могут изменяться compliance-офицером без редеплоя сервиса.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ML-модель основана на градиентном бустинге (XGBoost) и графовой нейросети (GNN) для выявления сложных многошаговых схем. Модель переобучается еженедельно на новых данных с валидацией compliance-офицера. Feature store обеспечивает реюзабельность признаков между правилным и ML-уровнем. Все решения модели explainable (объяснимые) — требование регулятора для возможности апелляции пользователем.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Calibri" w:eastAsia="SimHei"/>
          <w:b/>
          <w:bCs/>
          <w:color w:val="0F2027"/>
          <w:sz w:val="32"/>
          <w:szCs w:val="32"/>
        </w:rPr>
        <w:t xml:space="preserve">Архитектура потоков данных</w:t>
      </w:r>
      <w:bookmarkEnd w:id="100014"/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0F2027"/>
          <w:sz w:val="28"/>
          <w:szCs w:val="28"/>
        </w:rPr>
        <w:t xml:space="preserve">Поток торговой операции</w:t>
      </w:r>
      <w:bookmarkEnd w:id="10001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Торговая операция — наиболее критичный path платформы с точки зрения производительности. Полный цикл от нажатия кнопки «Купить» до отражения сделки в портфеле пользователя включает 7 этапов, каждый из которых имеет строгие SLA по времени выполнения. Общая целевая latency end-to-end составляет не более 500 мс для рыночного ордера, при этом мэтчинг внутри движка — не более 10 мс.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Этап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Сервис</w:t>
            </w:r>
          </w:p>
        </w:tc>
        <w:tc>
          <w:tcPr>
            <w:tcW w:type="pct" w:w="3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Действие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Latency SLA</w:t>
            </w:r>
          </w:p>
        </w:tc>
        <w:tc>
          <w:tcPr>
            <w:tcW w:type="pct" w:w="15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Канал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1. Валидация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Gateway + IAM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Проверка авторизации, лимитов, квалификации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&lt;50 мс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2. Резервирование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Заморозка средств на балансе пользователя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&lt;100 мс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gRPC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3. Мэтчинг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Сопоставление ордера с встречными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&lt;10 мс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In-memory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4. Исполнение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Генерация Trade, обновление OrderBook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&lt;10 мс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In-memory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5. Расчёт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Settlement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Обновление балансов мейкера и тейкера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&lt;100 мс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 → gRPC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6. Комплаенс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Проверка транзакции на AML/санкции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&lt;50 мс (async)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</w:t>
            </w:r>
          </w:p>
        </w:tc>
      </w:tr>
      <w:tr>
        <w:trPr>
          <w:cantSplit/>
        </w:trPr>
        <w:tc>
          <w:tcPr>
            <w:tcW w:type="pct" w:w="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7. Уведомление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3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Push/email пользователю о сделке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&lt;500 мс (async)</w:t>
            </w:r>
          </w:p>
        </w:tc>
        <w:tc>
          <w:tcPr>
            <w:tcW w:type="pct" w:w="15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 → WebSocket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3. Поток торговой операции с SLA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0F2027"/>
          <w:sz w:val="28"/>
          <w:szCs w:val="28"/>
        </w:rPr>
        <w:t xml:space="preserve">Поток кросс-бордер платежа</w:t>
      </w:r>
      <w:bookmarkEnd w:id="10001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Кросс-бордер платёж — наиболее сложный path с точки зрения оркестрации, включающий взаимодействие с несколькими внешними системами (банки-корреспонденты, внешние биржи ликвидности, системы валютного контроля). Реализация через Saga-паттерн обеспечивает атомарность: либо платёж проходит полностью, либо все промежуточные шаги компенсируются.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Saga кросс-бордер платежа включает следующие шаги: 1) Инициация платежа с валидацией коридора и лимитов (Payments Service); 2) Формирование документов валютного контроля (Currency Control Service); 3) Резервирование ликвидности на внешней бирже через liquidity bridge (Cross-Border Gateway); 4) Конвертация валюты по зафиксированному курсу (Conversion Service); 5) Отправка инструкции банку-корреспонденту (Fiat Bridge); 6) Ожидание подтверждения расчёта (Settlement Monitor); 7) Завершение платежа с обновлением балансов и уведомлением пользователя. Компенсирующие транзакции на каждом шаге обеспечивают возврат в исходное состояние при сбое.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0F2027"/>
          <w:sz w:val="28"/>
          <w:szCs w:val="28"/>
        </w:rPr>
        <w:t xml:space="preserve">Поток KYC-верификации</w:t>
      </w:r>
      <w:bookmarkEnd w:id="10001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KYC-верификация — первый и критически важный путь пользователя, определяющий конверсию регистрации в активных клиентов. Целевая конверсия — не менее 60% для резидентов РФ. Поток включает: 1) Регистрация через email/phone; 2) Авторизация через ЕСИА (Госуслуги) — импорт верифицированных данных; 3) Биометрическая верификация (liveness detection); 4) Проверка по санкционным спискам (SDN, российские перечни); 5) Присвоение адрес-идентификатора; 6) Квалификационное тестирование (для повышения лимита); 7) Активация полного доступа. Автоматический путь занимает менее 15 минут, ручная проверка — до 24 часов.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0F2027"/>
          <w:sz w:val="28"/>
          <w:szCs w:val="28"/>
        </w:rPr>
        <w:t xml:space="preserve">Event Backbone (Apache Kafka)</w:t>
      </w:r>
      <w:bookmarkEnd w:id="10001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Apache Kafka является центральным элементом событийной архитектуры платформы, обеспечивая надёжную доставку доменных событий между микросервисами. Топики организованы по доменам: iam.events, trading.events, custody.events, compliance.events, payments.events и т.д. Каждый топик имеет 12 партиций для обеспечения параллельной обработки и 3x репликацию для отказоустойчивости. Retention policy — 7 дней для операционных событий, бессрочно для комплаенс-событий (хранение в отдельном кластере с encryption at rest).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Топик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Продюсер</w:t>
            </w:r>
          </w:p>
        </w:tc>
        <w:tc>
          <w:tcPr>
            <w:tcW w:type="pct" w:w="2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Консьюмеры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Частота</w:t>
            </w:r>
          </w:p>
        </w:tc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Размер сообщения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trading.events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Trading Engine</w:t>
            </w:r>
          </w:p>
        </w:tc>
        <w:tc>
          <w:tcPr>
            <w:tcW w:type="pct" w:w="2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Custody, Compliance, Market Data, Notification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100K/сек при пике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0.5-2 KB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custody.events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Custody Service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Compliance, Notification, Settlement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10K/сек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1-5 KB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compliance.alerts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AML Engine</w:t>
            </w:r>
          </w:p>
        </w:tc>
        <w:tc>
          <w:tcPr>
            <w:tcW w:type="pct" w:w="2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 UI, SAR Service, Quarantine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100/день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5-50 KB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iam.events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IAM Service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Все сервисы (dynamic routing)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1K/час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0.5-2 KB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payments.events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Payments Service</w:t>
            </w:r>
          </w:p>
        </w:tc>
        <w:tc>
          <w:tcPr>
            <w:tcW w:type="pct" w:w="2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Settlement, Compliance, Notification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5K/мин</w:t>
            </w:r>
          </w:p>
        </w:tc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2-10 KB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kafka-connect.cdc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Debezium CDC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 Warehouse, BI, Audit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Непрерывно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0.2-5 KB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4. Основные топики Apache Kafka</w:t>
      </w:r>
    </w:p>
    <w:p>
      <w:pPr>
        <w:pStyle w:val="Heading1"/>
        <w:spacing w:after="160" w:before="360" w:line="312"/>
      </w:pPr>
      <w:bookmarkStart w:id="100019" w:name="_Toc100019"/>
      <w:r>
        <w:rPr>
          <w:rFonts w:ascii="Calibri" w:eastAsia="SimHei"/>
          <w:b/>
          <w:bCs/>
          <w:color w:val="0F2027"/>
          <w:sz w:val="32"/>
          <w:szCs w:val="32"/>
        </w:rPr>
        <w:t xml:space="preserve">API Gateway и коммуникационные паттерны</w:t>
      </w:r>
      <w:bookmarkEnd w:id="100019"/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0F2027"/>
          <w:sz w:val="28"/>
          <w:szCs w:val="28"/>
        </w:rPr>
        <w:t xml:space="preserve">API Gateway архитектура</w:t>
      </w:r>
      <w:bookmarkEnd w:id="10002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API Gateway реализован на базе Kong (open-source) с кастомными плагинами для Rate Limiting, Request Validation, Authentication и Encryption. Gateway является единой точкой входа для всех внешних клиентов и обеспечивает: терминацию TLS 1.3 с поддержкой ГОСТ-шифрования для российских клиентов, аутентификацию через JWT/OAuth 2.0 с интеграцией IAM Service, гранулярные rate limits по API key и роли пользователя, request/response validation по OpenAPI 3.0 спецификации, circuit breaker для защиты от каскадных сбоев, и distributed tracing (OpenTelemetry) для сквозного мониторинга запросов.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разных категорий пользователей предусмотрены различные профили доступа: Web/Mobile REST API (персоны P01-P32), FIX Protocol для институциональных клиентов (P24, P45), WebSocket для потоковых данных (P01, P09, P41), и Dedicated Regulatory Portal (P47, P49). Каждый профиль имеет собственные rate limits, аутентификационные механизмы и мониторинг.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Профиль доступа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Протокол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Rate Limit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Аутентификация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Персоны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Web/Mobile API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+ WebSocket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 req/s, 1000 WS msg/s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JWT + TOTP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P01-P32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FIX Protocol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FIX 4.4/5.0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10K msg/s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Mutual TLS + Username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P24, P45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Merchant API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+ Webhooks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500 req/s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Key + HMAC-SHA256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P11, P18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Sandbox API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 req/s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P41, P43, P16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 API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+ gRPC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30 req/s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mTLS + Hardware Key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P33-P40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Regulatory Portal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(read-only)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 req/s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Government PKI + mTLS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P47, P49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Board Portal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REST (read-only)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 req/s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mTLS + Hardware Key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P50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5. Профили доступа к API Gateway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0F2027"/>
          <w:sz w:val="28"/>
          <w:szCs w:val="28"/>
        </w:rPr>
        <w:t xml:space="preserve">Межсервисная коммуникация</w:t>
      </w:r>
      <w:bookmarkEnd w:id="10002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Внутренняя коммуникация между микросервисами использует два паттерна: синхронный (gRPC для запросов, требующих немедленного ответа) и асинхронный (Kafka для доменных событий и саг). Выбор паттерна определяется характером операции: запрос баланса пользователя — синхронный gRPC (latency &lt;5 мс), инициирование кросс-бордер платежа — асинхронная сага через Kafka.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Service Mesh на базе Istio обеспечивает: mutual TLS между всеми сервисами (zero-trust network), circuit breaking с настраиваемыми порогами, retry с exponential backoff, observability (distributed tracing, metrics, access logs) и traffic management (canary deployments, A/B testing). Sidecar proxy (Envoy) инжектируется автоматически в каждый под Kubernetes, обеспечивая прозрачное шифрование и мониторинг без изменения кода сервисов.</w:t>
      </w:r>
    </w:p>
    <w:p>
      <w:pPr>
        <w:pStyle w:val="Heading1"/>
        <w:spacing w:after="160" w:before="360" w:line="312"/>
      </w:pPr>
      <w:bookmarkStart w:id="100022" w:name="_Toc100022"/>
      <w:r>
        <w:rPr>
          <w:rFonts w:ascii="Calibri" w:eastAsia="SimHei"/>
          <w:b/>
          <w:bCs/>
          <w:color w:val="0F2027"/>
          <w:sz w:val="32"/>
          <w:szCs w:val="32"/>
        </w:rPr>
        <w:t xml:space="preserve">Архитектура информационной безопасности</w:t>
      </w:r>
      <w:bookmarkEnd w:id="100022"/>
    </w:p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0F2027"/>
          <w:sz w:val="28"/>
          <w:szCs w:val="28"/>
        </w:rPr>
        <w:t xml:space="preserve">Threat Model (STRIDE)</w:t>
      </w:r>
      <w:bookmarkEnd w:id="10002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Модель угроз платформы построена по методологии STRIDE (Spoofing, Tampering, Repudiation, Information Disclosure, Denial of Service, Elevation of Privilege) с учётом специфики криптовалютной платформы, работающей в юрисдикции РФ. Анализ проводится для каждого доверенного уровня (trust boundary): клиентское приложение, API Gateway, микросервисы, хранилища данных, HSM, внешние интеграции.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Угроза (STRIDE)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Вектор атаки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Актив</w:t>
            </w:r>
          </w:p>
        </w:tc>
        <w:tc>
          <w:tcPr>
            <w:tcW w:type="pct" w:w="2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Контрмера</w:t>
            </w:r>
          </w:p>
        </w:tc>
        <w:tc>
          <w:tcPr>
            <w:tcW w:type="pct" w:w="10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Spoofing: подмена личности пользователя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Кража JWT, фишинг, SIM-swap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Аккаунт, средства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FIDO2/WebAuthn, биометрия, device fingerprinting</w:t>
            </w:r>
          </w:p>
        </w:tc>
        <w:tc>
          <w:tcPr>
            <w:tcW w:type="pct" w:w="1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Tampering: подмена транзакции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MITM, компрометация API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Транзакции, балансы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mTLS, HMAC подпись запросов, HSM для ключей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Repudiation: отказ от операции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Пользователь отрицает сделку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Аудит-след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 Sourcing, криптографическая подпись событий</w:t>
            </w:r>
          </w:p>
        </w:tc>
        <w:tc>
          <w:tcPr>
            <w:tcW w:type="pct" w:w="1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Info Disclosure: утечка данных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SQL injection, утечка БД, инсайдер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Персональные данные, ключи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Encryption at rest (GOST), DLP, RBAC, masked PII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Denial of Service: отказ сервиса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DDoS, resource exhaustion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Доступность платформы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WAF, rate limiting, auto-scaling, geo-distribution</w:t>
            </w:r>
          </w:p>
        </w:tc>
        <w:tc>
          <w:tcPr>
            <w:tcW w:type="pct" w:w="1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Elevation of Privilege: повышение прав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Эксплойт, credential stuffing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Admin-доступ, HSM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Zero-trust, m-of-n approval, session timeout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Tampering: компрометация ключей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Атака на HSM, инсайдер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Крипто-ключи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FIPS 140-2 L3 HSM, m-of-n подписи, key ceremony</w:t>
            </w:r>
          </w:p>
        </w:tc>
        <w:tc>
          <w:tcPr>
            <w:tcW w:type="pct" w:w="10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Критический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Spoofing: подмена регулятора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Социальная инженерия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 room, отчётность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Government PKI, выделенный канал, mutual auth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6. Модель угроз STRIDE</w:t>
      </w:r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0F2027"/>
          <w:sz w:val="28"/>
          <w:szCs w:val="28"/>
        </w:rPr>
        <w:t xml:space="preserve">Defense in Depth</w:t>
      </w:r>
      <w:bookmarkEnd w:id="10002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Архитектура информационной безопасности реализует стратегию Defense in Depth (эшелонированная защита) с семью уровнями: периметр (WAF, DDoS protection, geo-blocking), сетевой уровень (network segmentation, micro-segmentation через Calico, zero-trust через Istio mTLS), транспортный уровень (TLS 1.3 + ГОСТ, certificate pinning), прикладной уровень (input validation, output encoding, CSP, OWASP Top 10 mitigations), уровень данных (encryption at rest GOST+AES, column-level encryption для PII, database activity monitoring), уровень доступа (RBAC/ABAC, MFA, session management, privileged access management) и уровень операций (SIEM, SOC, incident response, penetration testing).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уровень защиты работает независимо: компрометация одного уровня не ведёт к полному нарушению безопасности. Например, даже при компрометации JWT-токена (уровень доступа) атакующий не сможет вывести средства без подтверждения через TOTP и биометрию (второй фактор), а списание больших сумм потребует дополнительного подтверждения через cold wallet approval workflow (третий фактор).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0F2027"/>
          <w:sz w:val="28"/>
          <w:szCs w:val="28"/>
        </w:rPr>
        <w:t xml:space="preserve">Шифрование и управление ключами</w:t>
      </w:r>
      <w:bookmarkEnd w:id="10002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использует двойное шифрование: ГОСТ 28147-89 / ГОСТ Р 34.12-2015 (Магма/Кузнечик) для данных, подлежащих российскому регуляторному требованию, и AES-256-GCM для остальных данных. Управление ключами реализовано через иерархическую модель: Master Key (хранится в HSM, никогда не покидает устройство) → Key Encryption Keys (шифруют данные ключей, ротация ежеквартально) → Data Encryption Keys (шифруют бизнес-данные, ротация ежемесячно) → Ephemeral Keys (сеансовые ключи для TLS, ротация при каждом соединении).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Key Ceremony — процедура генерации Master Key с участием 5 из 7 ключевых держателей (key holders), представляющих разные подразделения: CTO (P34), Compliance Officer (P33), Risk Manager (P36), Legal Head (P37) и Internal Auditor (P40). Каждый ключевой держатель получает смарт-карту с фрагментом ключа, который бесполезен без остальных фрагментов. Key Ceremony проводится в защищённом помещении с видеофиксацией и присутствием внешнего аудитора (P48).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0F2027"/>
          <w:sz w:val="28"/>
          <w:szCs w:val="28"/>
        </w:rPr>
        <w:t xml:space="preserve">Инфраструктурная безопасность</w:t>
      </w:r>
      <w:bookmarkEnd w:id="10002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развёртывается в двух сертифицированных ФСТЭК дата-центрах (Москва и Санкт-Петербург) в конфигурации active-active. Каждый дата-центр обеспечивает: физическую защиту (категория надежности УЗИ-1), резервирование электропитания (2N UPS + дизель-генераторы), систему климат-контроля и пожаротушения, и круглосуточную охрану с биометрическим контролем доступа. Сетевая инфраструктура сегментирована на 4 зоны: DMZ (API Gateway, WAF), Application Zone (микросервисы), Data Zone (базы данных, Kafka, HSM) и Management Zone (CI/CD, мониторинг, backup).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Kubernetes кластеры развёрнуты в каждом дата-центре с разделением на production и staging namespace. Network policies (Calico) обеспечивают micro-segmentation: каждый под может общаться только с явно разрешёнными подами. Все образы контейнеров сканируются на уязвимости (Trivy) в CI/CD pipeline, а runtime security обеспечивается через Falco с интеграцией в SIEM.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0F2027"/>
          <w:sz w:val="32"/>
          <w:szCs w:val="32"/>
        </w:rPr>
        <w:t xml:space="preserve">Модель авторизации: RBAC + ABAC</w:t>
      </w:r>
      <w:bookmarkEnd w:id="100027"/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0F2027"/>
          <w:sz w:val="28"/>
          <w:szCs w:val="28"/>
        </w:rPr>
        <w:t xml:space="preserve">Гибридная модель авторизации</w:t>
      </w:r>
      <w:bookmarkEnd w:id="100028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реализует гибридную модель авторизации, сочетающую RBAC (Role-Based Access Control) для базовых ролей и ABAC (Attribute-Based Access Control) для контекстно-зависимых решений. RBAC определяет 11 базовых ролей, каждая из которых имеет набор разрешений (permissions), организованных по принципу минимальных привилегий. ABAC добавляет контекстные проверки: квалификация инвестора, юрисдикция коридора, размер операции, время суток, IP-адрес и device fingerprint.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Авторизационное решение вычисляется по формуле: Access = RBAC(Role, Resource, Action) AND ABAC(Subject.Attributes, Resource.Attributes, Environment.Attributes, Policy). Например, неквалифицированный инвестор (P02) с ролью UNQUALIFIED_INVESTOR пытается купить BTC на 50 000 руб. RBAC проверка: UNQUALIFIED_INVESTOR имеет permission TRADE_SPOT → TRUE. ABAC проверка: subject.qualification=UNQUALIFIED, subject.yearlyVolume=280000, resource.type=SPOT, action.amount=50000, policy=yearlyLimit(300000) → 280000+50000=330000 &gt; 300000 → DENY.</w:t>
      </w:r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Роль</w:t>
            </w:r>
          </w:p>
        </w:tc>
        <w:tc>
          <w:tcPr>
            <w:tcW w:type="pct" w:w="2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Разрешения (ключевые)</w:t>
            </w:r>
          </w:p>
        </w:tc>
        <w:tc>
          <w:tcPr>
            <w:tcW w:type="pct" w:w="2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Ограничения ABAC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Персоны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UNQUALIFIED_INVESTOR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TRADE_SPOT, VIEW_PORTFOLIO, DEPOSIT, WITHDRAW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Годовой лимит 300К, нет маржи, нет OTC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P02-P05, P08, P25-P27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QUALIFIED_INVESTOR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TRADE_SPOT, TRADE_MARGIN, API_ACCESS, WITHDRAW_LARGE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Лимиты по risk-профилю, whitelist адресов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P01, P06-P07, P09-P12, P29, P31-P32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CORPORATE_USER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CROSS_BORDER, MASS_PAYOUT, MERCHANT_API, CURRENCY_CONTROL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Лимиты по обороту, валютный контроль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P13-P23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INSTITUTIONAL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OTC_TRADE, PRIME_BROKERAGE, CUSTODY_PREMIUM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M-of-n подписи, минимальная сумма сделки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P17, P22, P24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COMPLIANCE_OFFICER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VIEW_ALL_TX, CREATE_SAR, QUARANTINE_ACCOUNT, KYC_REVIEW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Только в рабочее время, logging всех действий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P33, P37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SUPPORT_AGENT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VIEW_USER_BASIC, ESCALATE_TICKET, VERIFY_REQUEST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Masked PII, нет доступа к ключам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P35</w:t>
            </w:r>
          </w:p>
        </w:tc>
      </w:tr>
      <w:tr>
        <w:trPr>
          <w:cantSplit/>
        </w:trPr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RISK_MANAGER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VIEW_RISK_DASHBOARD, SET_LIMITS, MARGIN_CALL</w:t>
            </w:r>
          </w:p>
        </w:tc>
        <w:tc>
          <w:tcPr>
            <w:tcW w:type="pct" w:w="2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Нет trade execution, read-only для торгов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P36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DEPLOY, CONFIG_CHANGE, EMERGENCY_SHUTDOWN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MFA + hardware key, m-of-n для критических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P34, P38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7. Матрица RBAC + ABAC</w:t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Calibri" w:eastAsia="SimHei"/>
          <w:b/>
          <w:bCs/>
          <w:color w:val="0F2027"/>
          <w:sz w:val="28"/>
          <w:szCs w:val="28"/>
        </w:rPr>
        <w:t xml:space="preserve">Separation of Duties</w:t>
      </w:r>
      <w:bookmarkEnd w:id="100029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Критические операции требуют участия нескольких ролей (separation of duties), что исключает возможность единоличного злоупотребления. Блокировка аккаунта: Compliance Officer инициирует → Risk Manager подтверждает → Система выполняет. Вывод средств свыше 1 млн руб.: пользователь запрашивает → Compliance алгоритм проверяет → Custody Officer подтверждает → Cold wallet m-of-n подпись. Изменение лимитов: Risk Manager предлагает → CTO утверждает → Система применяет. Emergency shutdown: любой Admin инициирует → второй Admin подтверждает → CEO уведомляется.</w:t>
      </w:r>
    </w:p>
    <w:p>
      <w:pPr>
        <w:pStyle w:val="Heading1"/>
        <w:spacing w:after="160" w:before="360" w:line="312"/>
      </w:pPr>
      <w:bookmarkStart w:id="100030" w:name="_Toc100030"/>
      <w:r>
        <w:rPr>
          <w:rFonts w:ascii="Calibri" w:eastAsia="SimHei"/>
          <w:b/>
          <w:bCs/>
          <w:color w:val="0F2027"/>
          <w:sz w:val="32"/>
          <w:szCs w:val="32"/>
        </w:rPr>
        <w:t xml:space="preserve">Архитектура аудита и комплаенса</w:t>
      </w:r>
      <w:bookmarkEnd w:id="100030"/>
    </w:p>
    <w:p>
      <w:pPr>
        <w:pStyle w:val="Heading2"/>
        <w:spacing w:after="120" w:before="240" w:line="312"/>
      </w:pPr>
      <w:bookmarkStart w:id="100031" w:name="_Toc100031"/>
      <w:r>
        <w:rPr>
          <w:rFonts w:ascii="Calibri" w:eastAsia="SimHei"/>
          <w:b/>
          <w:bCs/>
          <w:color w:val="0F2027"/>
          <w:sz w:val="28"/>
          <w:szCs w:val="28"/>
        </w:rPr>
        <w:t xml:space="preserve">Immutable Audit Trail</w:t>
      </w:r>
      <w:bookmarkEnd w:id="10003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Каждая операция на платформе фиксируется в immutable audit trail с криптографической защитой от модификации. Audit trail реализован на базе Event Sourcing с Merkle Tree для верификации целостности. Каждый час формируется Merkle Root, который публикуется в отдельном хранилище с WORM (Write Once Read Many) политикой и реплицируется в автономное хранилище, недоступное для модификации даже администраторами платформы.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Запись аудита содержит: timestamp (UTC, с точностью до микросекунд), actor (идентификатор пользователя/сервиса), action (тип операции), resource (целевой объект), result (успех/ошибка), context (IP, device, session ID), previousHash (хэш предыдущей записи для цепочки) и digitalSignature (ЭЦП записи). Хранение — не менее 5 лет, что соответствует требованиям 115-ФЗ и правилам Банка России.</w:t>
      </w:r>
    </w:p>
    <w:p>
      <w:pPr>
        <w:pStyle w:val="Heading2"/>
        <w:spacing w:after="120" w:before="240" w:line="312"/>
      </w:pPr>
      <w:bookmarkStart w:id="100032" w:name="_Toc100032"/>
      <w:r>
        <w:rPr>
          <w:rFonts w:ascii="Calibri" w:eastAsia="SimHei"/>
          <w:b/>
          <w:bCs/>
          <w:color w:val="0F2027"/>
          <w:sz w:val="28"/>
          <w:szCs w:val="28"/>
        </w:rPr>
        <w:t xml:space="preserve">Регуляторная отчётность</w:t>
      </w:r>
      <w:bookmarkEnd w:id="100032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Модуль регуляторной отчётности генерирует документы в форматах, требуемых Банком России, Росфинмониторингом и ФНС. Отчётность формируется автоматически на основе audit trail и доменных событий, что исключает возможность ручной модификации. Data Room для регуляторов (P47, P49) обеспечивает безопасный доступ к данным через выделенный портал с government PKI аутентификацией, watermarked документами и полным логированием всех запросов.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Интеграция с АС Росфинмониторинга реализована через выделенный VPN-канал с форматом обмена, соответствующим приказу Росфинмониторинга. SAR (Suspicious Activity Report) формируется автоматически при срабатывании AML-правила или ML-модели, верифицируется compliance-офицером (P33) и направляется в Росфинмониторинг в течение 24 часов с момента обнаружения.</w:t>
      </w:r>
    </w:p>
    <w:p>
      <w:pPr>
        <w:pStyle w:val="Heading2"/>
        <w:spacing w:after="120" w:before="240" w:line="312"/>
      </w:pPr>
      <w:bookmarkStart w:id="100033" w:name="_Toc100033"/>
      <w:r>
        <w:rPr>
          <w:rFonts w:ascii="Calibri" w:eastAsia="SimHei"/>
          <w:b/>
          <w:bCs/>
          <w:color w:val="0F2027"/>
          <w:sz w:val="28"/>
          <w:szCs w:val="28"/>
        </w:rPr>
        <w:t xml:space="preserve">Квалификационное тестирование инвесторов</w:t>
      </w:r>
      <w:bookmarkEnd w:id="10003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Механизм квалификационного тестирования реализован как state machine с 3 состояниями: UNTESTED → TESTING → QUALIFIED/UNQUALIFIED. Тест состоит из 25 вопросов по 5 категориям: основы криптовалют, рыночные риски, технические аспекты блокчейна, правовое регулирование в РФ, налоговые последствия. Порог прохождения — 20 из 25 правильных ответов. Альтернативный путь квалификации — подтверждение наличия активов свыше 3 млн руб. через выписку из брокерского счёта или депозита.</w:t>
      </w:r>
    </w:p>
    <w:p>
      <w:pPr>
        <w:pStyle w:val="Heading1"/>
        <w:spacing w:after="160" w:before="360" w:line="312"/>
      </w:pPr>
      <w:bookmarkStart w:id="100034" w:name="_Toc100034"/>
      <w:r>
        <w:rPr>
          <w:rFonts w:ascii="Calibri" w:eastAsia="SimHei"/>
          <w:b/>
          <w:bCs/>
          <w:color w:val="0F2027"/>
          <w:sz w:val="32"/>
          <w:szCs w:val="32"/>
        </w:rPr>
        <w:t xml:space="preserve">Инфраструктурная архитектура</w:t>
      </w:r>
      <w:bookmarkEnd w:id="100034"/>
    </w:p>
    <w:p>
      <w:pPr>
        <w:pStyle w:val="Heading2"/>
        <w:spacing w:after="120" w:before="240" w:line="312"/>
      </w:pPr>
      <w:bookmarkStart w:id="100035" w:name="_Toc100035"/>
      <w:r>
        <w:rPr>
          <w:rFonts w:ascii="Calibri" w:eastAsia="SimHei"/>
          <w:b/>
          <w:bCs/>
          <w:color w:val="0F2027"/>
          <w:sz w:val="28"/>
          <w:szCs w:val="28"/>
        </w:rPr>
        <w:t xml:space="preserve">Kubernetes-платформа</w:t>
      </w:r>
      <w:bookmarkEnd w:id="100035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развёрнута на Kubernetes 1.29+ с managed control plane в двух дата-центрах (active-active). Каждый кластер содержит: 3 master-узла (etcd quorum), 10-20 worker-узлов (auto-scaling от 10 до 50 в зависимости от нагрузки), dedicated node pools для Trading Engine (GPU-ускорение для ML-инференса, high-memory для order book) и Custody (HSM-connected nodes). Horizontal Pod Autoscaler (HPA) обеспечивает автоматическое масштабирование по CPU, памяти и кастомным метрикам (Kafka consumer lag, request rate).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CI/CD pipeline реализован на базе GitLab CI с обязательными этапами: lint → unit test → integration test → SAST/DAST scan → container scan → deploy to staging → smoke test → canary deployment (5% → 25% → 50% → 100%) → production. rollback автоматический при повышении error rate более 1% в течение 5 минут. Deployment frequency — до 10 релизов в день для некритичных сервисов, emergency hotfix — менее 30 минут от коммита до production.</w:t>
      </w:r>
    </w:p>
    <w:p>
      <w:pPr>
        <w:pStyle w:val="Heading2"/>
        <w:spacing w:after="120" w:before="240" w:line="312"/>
      </w:pPr>
      <w:bookmarkStart w:id="100036" w:name="_Toc100036"/>
      <w:r>
        <w:rPr>
          <w:rFonts w:ascii="Calibri" w:eastAsia="SimHei"/>
          <w:b/>
          <w:bCs/>
          <w:color w:val="0F2027"/>
          <w:sz w:val="28"/>
          <w:szCs w:val="28"/>
        </w:rPr>
        <w:t xml:space="preserve">Хранилища данных</w:t>
      </w:r>
      <w:bookmarkEnd w:id="100036"/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Хранилище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Назначение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Движок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Шардирование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Репликация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Operational DB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Основные данные сервисов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tenant/corridor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Synchronous (2 DC)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Time-Series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Свечи, тики, метрики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TimescaleDB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instrument/time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Async (cross-DC)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Cache / Order Book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In-memory данные, стаканы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Redis Cluster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instrument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Async replica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 Store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 Sourcing (Custody, Compliance)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Apache Kafka + EventStoreDB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aggregate ID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Synchronous (3x)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Search / AML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Полнотекстовый поиск, AML-кейсы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Elasticsearch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date/tenant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Async (cross-DC)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Data Warehouse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BI, аналитика, отчётность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ClickHouse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date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Async (cross-DC)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Документы KYC, отчёты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tenant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Erasure coding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Audit (WORM)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Неизменяемый аудит-след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EventStoreDB + WORM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По date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Cross-DC replication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8. Хранилища данных платформы</w:t>
      </w:r>
    </w:p>
    <w:p>
      <w:pPr>
        <w:pStyle w:val="Heading2"/>
        <w:spacing w:after="120" w:before="240" w:line="312"/>
      </w:pPr>
      <w:bookmarkStart w:id="100037" w:name="_Toc100037"/>
      <w:r>
        <w:rPr>
          <w:rFonts w:ascii="Calibri" w:eastAsia="SimHei"/>
          <w:b/>
          <w:bCs/>
          <w:color w:val="0F2027"/>
          <w:sz w:val="28"/>
          <w:szCs w:val="28"/>
        </w:rPr>
        <w:t xml:space="preserve">Disaster Recovery</w:t>
      </w:r>
      <w:bookmarkEnd w:id="10003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Стратегия Disaster Recovery основана на конфигурации Active-Active в двух дата-центрах с RPO &lt; 1 минута и RTO &lt; 15 минут. Синхронная репликация PostgreSQL между дата-центрами обеспечивает zero data loss при отказе одного ЦОД. Kafka MirrorMaker 2 реплицирует события в обоих направлениях. При отказе одного ЦОД, API Gateway автоматически переключает трафик на второй через DNS-based failover (TTL 30 секунд) и health checks.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Backup стратегия: PostgreSQL — pg_basebackup каждые 6 часов + WAL archiving каждые 60 секунд (point-in-time recovery); Kafka — replication factor 3 + cross-DC MirrorMaker; Object Storage — versioning + cross-region replication. Все backup-ы зашифрованы (GOST) и хранятся в отдельном защищённом сегменте сети. Ежемесячное тестирование restore procedure на staging-окружении.</w:t>
      </w:r>
    </w:p>
    <w:p>
      <w:pPr>
        <w:pStyle w:val="Heading1"/>
        <w:spacing w:after="160" w:before="360" w:line="312"/>
      </w:pPr>
      <w:bookmarkStart w:id="100038" w:name="_Toc100038"/>
      <w:r>
        <w:rPr>
          <w:rFonts w:ascii="Calibri" w:eastAsia="SimHei"/>
          <w:b/>
          <w:bCs/>
          <w:color w:val="0F2027"/>
          <w:sz w:val="32"/>
          <w:szCs w:val="32"/>
        </w:rPr>
        <w:t xml:space="preserve">Масштабируемость и производительность</w:t>
      </w:r>
      <w:bookmarkEnd w:id="100038"/>
    </w:p>
    <w:p>
      <w:pPr>
        <w:pStyle w:val="Heading2"/>
        <w:spacing w:after="120" w:before="240" w:line="312"/>
      </w:pPr>
      <w:bookmarkStart w:id="100039" w:name="_Toc100039"/>
      <w:r>
        <w:rPr>
          <w:rFonts w:ascii="Calibri" w:eastAsia="SimHei"/>
          <w:b/>
          <w:bCs/>
          <w:color w:val="0F2027"/>
          <w:sz w:val="28"/>
          <w:szCs w:val="28"/>
        </w:rPr>
        <w:t xml:space="preserve">Целевые показатели</w:t>
      </w:r>
      <w:bookmarkEnd w:id="100039"/>
    </w:p>
    <w:tbl>
      <w:tblPr>
        <w:tblW w:type="pct" w:w="100%"/>
        <w:tblBorders>
          <w:top w:val="single" w:color="C9A84C" w:sz="2"/>
          <w:left w:val="none"/>
          <w:bottom w:val="single" w:color="C9A84C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Метрика</w:t>
            </w:r>
          </w:p>
        </w:tc>
        <w:tc>
          <w:tcPr>
            <w:tcW w:type="pct" w:w="18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Целевое значение</w:t>
            </w:r>
          </w:p>
        </w:tc>
        <w:tc>
          <w:tcPr>
            <w:tcW w:type="pct" w:w="22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Метод измерения</w:t>
            </w:r>
          </w:p>
        </w:tc>
        <w:tc>
          <w:tcPr>
            <w:tcW w:type="pct" w:w="16%"/>
            <w:shd w:fill="C9A84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Мэтчинг latency (p99)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&lt;10 мс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Prometheus histogram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&lt;200 мс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OpenTelemetry traces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Throughput (trading)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100K TPS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Load testing (Gatling)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Throughput (API)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50K req/s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API Gateway metrics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WebSocket connections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1M concurrent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Connection counter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 throughput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500K msg/s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Kafka metrics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SLA (availability)</w:t>
            </w:r>
          </w:p>
        </w:tc>
        <w:tc>
          <w:tcPr>
            <w:tcW w:type="pct" w:w="18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99.95%</w:t>
            </w:r>
          </w:p>
        </w:tc>
        <w:tc>
          <w:tcPr>
            <w:tcW w:type="pct" w:w="22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Uptime monitoring</w:t>
            </w:r>
          </w:p>
        </w:tc>
        <w:tc>
          <w:tcPr>
            <w:tcW w:type="pct" w:w="16%"/>
            <w:shd w:fill="F5F2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Recovery time (RTO)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&lt;15 мин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DR drills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000000"/>
                <w:sz w:val="20"/>
                <w:szCs w:val="20"/>
              </w:rPr>
              <w:t xml:space="preserve">Критическая</w:t>
            </w:r>
          </w:p>
        </w:tc>
      </w:tr>
    </w:tbl>
    <w:p>
      <w:pPr>
        <w:spacing w:after="200" w:before="80" w:line="312"/>
        <w:jc w:val="center"/>
      </w:pPr>
      <w:r>
        <w:rPr>
          <w:rFonts w:ascii="Calibri" w:eastAsia="Microsoft YaHei"/>
          <w:i/>
          <w:iCs/>
          <w:color w:val="4A6575"/>
          <w:sz w:val="21"/>
          <w:szCs w:val="21"/>
        </w:rPr>
        <w:t xml:space="preserve">Таблица 9. Целевые показатели производительности</w:t>
      </w:r>
    </w:p>
    <w:p>
      <w:pPr>
        <w:pStyle w:val="Heading2"/>
        <w:spacing w:after="120" w:before="240" w:line="312"/>
      </w:pPr>
      <w:bookmarkStart w:id="100040" w:name="_Toc100040"/>
      <w:r>
        <w:rPr>
          <w:rFonts w:ascii="Calibri" w:eastAsia="SimHei"/>
          <w:b/>
          <w:bCs/>
          <w:color w:val="0F2027"/>
          <w:sz w:val="28"/>
          <w:szCs w:val="28"/>
        </w:rPr>
        <w:t xml:space="preserve">Стратегия масштабирования</w:t>
      </w:r>
      <w:bookmarkEnd w:id="100040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Горизонтальное масштабирование реализовано на всех уровнях: Kubernetes HPA для stateless сервисов (Trading API, Notification, Admin), sharding для stateful хранилищ (PostgreSQL по tenant, Kafka по aggregate ID, Redis по instrument), и partition-based parallelism для compute-intensive задач (AML ML-инференс, risk calculations). Масштабирование инициируется автоматически на основе метрик: CPU &gt; 70%, Kafka consumer lag &gt; 10K, request rate &gt; threshold.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Trading Engine применён паттерн partitioned matching: каждый торговый инструмент (торговая пара) обрабатывается отдельным instance мэтчинга, что обеспечивает линейную масштабируемость по количеству инструментов. При добавлении новой торговой пары автоматически запускается новый под matching-engine, что не влияет на производительность существующих пар.</w:t>
      </w:r>
    </w:p>
    <w:p>
      <w:pPr>
        <w:pStyle w:val="Heading2"/>
        <w:spacing w:after="120" w:before="240" w:line="312"/>
      </w:pPr>
      <w:bookmarkStart w:id="100041" w:name="_Toc100041"/>
      <w:r>
        <w:rPr>
          <w:rFonts w:ascii="Calibri" w:eastAsia="SimHei"/>
          <w:b/>
          <w:bCs/>
          <w:color w:val="0F2027"/>
          <w:sz w:val="28"/>
          <w:szCs w:val="28"/>
        </w:rPr>
        <w:t xml:space="preserve">Кэширование</w:t>
      </w:r>
      <w:bookmarkEnd w:id="100041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Многоуровневая стратегия кэширования: L1 — in-process cache (Caffeine, TTL 30 сек) для часто запрашиваемых данных (текущие курсы, пользовательские настройки); L2 — Redis Cluster (TTL 5 мин) для shared данных (балансы пользователей, стаканы ордеров); L3 — CDN (CloudFlare) для статических ресурсов и публичных рыночных данных. Cache invalidation реализована через Kafka-события: при изменении данных сервис публикует событие, все инстансы, кэширующие эти данные, инвалидируют кэш.</w:t>
      </w:r>
    </w:p>
    <w:p>
      <w:pPr>
        <w:pStyle w:val="Heading1"/>
        <w:spacing w:after="160" w:before="360" w:line="312"/>
      </w:pPr>
      <w:bookmarkStart w:id="100042" w:name="_Toc100042"/>
      <w:r>
        <w:rPr>
          <w:rFonts w:ascii="Calibri" w:eastAsia="SimHei"/>
          <w:b/>
          <w:bCs/>
          <w:color w:val="0F2027"/>
          <w:sz w:val="32"/>
          <w:szCs w:val="32"/>
        </w:rPr>
        <w:t xml:space="preserve">Наблюдаемость (Observability)</w:t>
      </w:r>
      <w:bookmarkEnd w:id="100042"/>
    </w:p>
    <w:p>
      <w:pPr>
        <w:pStyle w:val="Heading2"/>
        <w:spacing w:after="120" w:before="240" w:line="312"/>
      </w:pPr>
      <w:bookmarkStart w:id="100043" w:name="_Toc100043"/>
      <w:r>
        <w:rPr>
          <w:rFonts w:ascii="Calibri" w:eastAsia="SimHei"/>
          <w:b/>
          <w:bCs/>
          <w:color w:val="0F2027"/>
          <w:sz w:val="28"/>
          <w:szCs w:val="28"/>
        </w:rPr>
        <w:t xml:space="preserve">Три столпа наблюдаемости</w:t>
      </w:r>
      <w:bookmarkEnd w:id="100043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Платформа реализует три столпа наблюдаемости: Metrics (Prometheus + Grafana), Logging (ELK Stack — Elasticsearch, Logstash, Kibana) и Tracing (OpenTelemetry + Jaeger). Все три столпа интегрированы между собой: из метрик можно перейти к логам конкретного запроса, из логов — к distributed trace, из trace — к конкретным span-ам и метрикам. Это обеспечивает быструю диагностику инцидентов: среднее время локализации проблемы (MTTI) — менее 15 минут.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Метрики разделены на 4 уровня: бизнес-метрики (количество сделок, объём торгов, конверсия KYC), SLI/SLO (latency, availability, error rate), инфраструктурные (CPU, memory, disk, network) и security (количество AML-алертов, неудачных авторизаций, карантированных аккаунтов). Каждая метрика имеет alert threshold с эскалацией: warning → Slack, critical → PagerDuty (24/7 on-call), security → SOC team.</w:t>
      </w:r>
    </w:p>
    <w:p>
      <w:pPr>
        <w:pStyle w:val="Heading2"/>
        <w:spacing w:after="120" w:before="240" w:line="312"/>
      </w:pPr>
      <w:bookmarkStart w:id="100044" w:name="_Toc100044"/>
      <w:r>
        <w:rPr>
          <w:rFonts w:ascii="Calibri" w:eastAsia="SimHei"/>
          <w:b/>
          <w:bCs/>
          <w:color w:val="0F2027"/>
          <w:sz w:val="28"/>
          <w:szCs w:val="28"/>
        </w:rPr>
        <w:t xml:space="preserve">Security Operations Center (SOC)</w:t>
      </w:r>
      <w:bookmarkEnd w:id="100044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SOC работает 24/7 и обеспечивает: мониторинг security-событий в реальном времени (SIEM на базе Elastic Security), анализ аномалий через UEBA (User and Entity Behavior Analytics), реагирование на инциденты по playbook (automated response для типовых сценариев), threat intelligence (интеграция с MITRE ATT&amp;CK, VirusTotal, кастомные feeds) и forensic analysis (post-incident расследование с анализом audit trail). SOC team состоит из 5 аналитиков (3 смены) и 1 руководителя, подчинённого CISO.</w:t>
      </w:r>
    </w:p>
    <w:p>
      <w:pPr>
        <w:pStyle w:val="Heading1"/>
        <w:spacing w:after="160" w:before="360" w:line="312"/>
      </w:pPr>
      <w:bookmarkStart w:id="100045" w:name="_Toc100045"/>
      <w:r>
        <w:rPr>
          <w:rFonts w:ascii="Calibri" w:eastAsia="SimHei"/>
          <w:b/>
          <w:bCs/>
          <w:color w:val="0F2027"/>
          <w:sz w:val="32"/>
          <w:szCs w:val="32"/>
        </w:rPr>
        <w:t xml:space="preserve">Выводы и следующие шаги</w:t>
      </w:r>
      <w:bookmarkEnd w:id="100045"/>
    </w:p>
    <w:p>
      <w:pPr>
        <w:pStyle w:val="Heading2"/>
        <w:spacing w:after="120" w:before="240" w:line="312"/>
      </w:pPr>
      <w:bookmarkStart w:id="100046" w:name="_Toc100046"/>
      <w:r>
        <w:rPr>
          <w:rFonts w:ascii="Calibri" w:eastAsia="SimHei"/>
          <w:b/>
          <w:bCs/>
          <w:color w:val="0F2027"/>
          <w:sz w:val="28"/>
          <w:szCs w:val="28"/>
        </w:rPr>
        <w:t xml:space="preserve">Архитектурные императивы</w:t>
      </w:r>
      <w:bookmarkEnd w:id="100046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 основе анализа 50 персон пользователей сформулированы четыре ключевых архитектурных императива. Первый: разделение быстрых и медленных путей (fast path / slow path) — Trading Engine и Market Data работают в in-memory режиме с latency &lt;10 мс, тогда как Compliance, Reporting и Admin операции обрабатываются асинхронно без влияния на критический path. Второй: plug-in архитектура коридоров — Cross-Border Gateway спроектирован как extensible система с CorridorPlugin интерфейсом, позволяющим добавлять новые географические направления за дни, а не месяцы.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Третий императив: immutable audit trail как архитектурный примитив — не дополнение, а фундамент. Event Sourcing для Custody и Compliance доменов, Merkle Tree верификация и WORM-хранилище обеспечивают криптографическую гарантированность неизменности записей, что является безальтернативным требованием для лицензированной криптоорганизации в РФ. Четвёртый: zero-trust на всех уровнях — от сети (Istio mTLS) до данных (column-level encryption), от пользователей (MFA + device fingerprinting) до сервисов (mutual authentication, signed messages).</w:t>
      </w:r>
    </w:p>
    <w:p>
      <w:pPr>
        <w:pStyle w:val="Heading2"/>
        <w:spacing w:after="120" w:before="240" w:line="312"/>
      </w:pPr>
      <w:bookmarkStart w:id="100047" w:name="_Toc100047"/>
      <w:r>
        <w:rPr>
          <w:rFonts w:ascii="Calibri" w:eastAsia="SimHei"/>
          <w:b/>
          <w:bCs/>
          <w:color w:val="0F2027"/>
          <w:sz w:val="28"/>
          <w:szCs w:val="28"/>
        </w:rPr>
        <w:t xml:space="preserve">Следующие шаги</w:t>
      </w:r>
      <w:bookmarkEnd w:id="100047"/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перехода от архитектурной спецификации к реализации рекомендуется следующая последовательность действий. Первым приоритетом (Sprint 1-4) является реализация Identity &amp; Access Management и Custody доменов — без них невозможен ни один сценарий использования. Параллельно развёртывается Kubernetes-инфраструктура и CI/CD pipeline. Вторым приоритетом (Sprint 5-8) — Trading Engine и Market Data для обеспечения торговой функциональности. Третьим приоритетом (Sprint 9-12) — Payments &amp; Settlement и Cross-Border Gateway для монетизации через кросс-бордер комиссии. Compliance &amp; Monitoring интегрируется на всех этапах как horizontal concern.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Каждый спринт завершается security review (threat model update, penetration test) и compliance checkpoint (проверка соответствия закону 1194918-8 и 115-ФЗ). Рекомендуется привлечение внешнего аудитора (Big 4) на этапе MVP для верификации архитектуры до начала разработки production-кода. Бюджет на архитектурный прототип ( Spike) составляет 15-20 млн рублей, срок — 3 месяца.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Архитектура | Крипто-платформа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Архитектура | Крипто-платформа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F202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2026-06-16T08:25:20.434Z</dcterms:created>
  <dcterms:modified xsi:type="dcterms:W3CDTF">2026-06-16T08:25:20.434Z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