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224"/>
            </w:pPr>
          </w:p>
          <w:p>
            <w:pPr>
              <w:pBdr>
                <w:bottom w:val="single" w:color="C9A84C" w:sz="6" w:space="8"/>
              </w:pBdr>
              <w:spacing w:after="500"/>
              <w:ind w:left="1200" w:right="800"/>
            </w:pPr>
            <w:r>
              <w:rPr>
                <w:rFonts w:ascii="Calibri" w:eastAsia="SimHei"/>
                <w:color w:val="C9A84C"/>
                <w:spacing w:val="40"/>
                <w:sz w:val="18"/>
                <w:szCs w:val="18"/>
              </w:rPr>
              <w:t xml:space="preserve">D  O  M  A  I  N     D  E  E  P     D  I  V  E</w:t>
            </w:r>
          </w:p>
          <w:p>
            <w:pPr>
              <w:spacing w:after="100" w:line="828" w:lineRule="atLeast"/>
              <w:ind w:left="1200"/>
            </w:pPr>
            <w:r>
              <w:rPr>
                <w:rFonts w:ascii="Arial" w:eastAsia="SimHei"/>
                <w:b/>
                <w:bCs/>
                <w:color w:val="FFFFFF"/>
                <w:sz w:val="72"/>
                <w:szCs w:val="72"/>
              </w:rPr>
              <w:t xml:space="preserve">Детальный</w:t>
            </w:r>
          </w:p>
          <w:p>
            <w:pPr>
              <w:spacing w:after="100" w:line="828" w:lineRule="atLeast"/>
              <w:ind w:left="1200"/>
            </w:pPr>
            <w:r>
              <w:rPr>
                <w:rFonts w:ascii="Arial" w:eastAsia="SimHei"/>
                <w:b/>
                <w:bCs/>
                <w:color w:val="FFFFFF"/>
                <w:sz w:val="72"/>
                <w:szCs w:val="72"/>
              </w:rPr>
              <w:t xml:space="preserve">дизайн</w:t>
            </w:r>
          </w:p>
          <w:p>
            <w:pPr>
              <w:spacing w:after="300" w:line="828" w:lineRule="atLeast"/>
              <w:ind w:left="1200"/>
            </w:pPr>
            <w:r>
              <w:rPr>
                <w:rFonts w:ascii="Arial" w:eastAsia="SimHei"/>
                <w:b/>
                <w:bCs/>
                <w:color w:val="FFFFFF"/>
                <w:sz w:val="72"/>
                <w:szCs w:val="72"/>
              </w:rPr>
              <w:t xml:space="preserve">доменов</w:t>
            </w:r>
          </w:p>
          <w:p>
            <w:pPr>
              <w:spacing w:after="800"/>
              <w:ind w:left="1200"/>
            </w:pPr>
            <w:r>
              <w:rPr>
                <w:rFonts w:ascii="Arial" w:eastAsia="Microsoft YaHei"/>
                <w:color w:val="B0B8C0"/>
                <w:sz w:val="24"/>
                <w:szCs w:val="24"/>
              </w:rPr>
              <w:t xml:space="preserve">Криптовалютная платформа | Архитектурная спецификация уровня компонентов</w:t>
            </w:r>
          </w:p>
          <w:p>
            <w:pPr>
              <w:pBdr>
                <w:left w:val="single" w:color="C9A84C" w:sz="8" w:space="12"/>
              </w:pBdr>
              <w:spacing w:after="80"/>
              <w:ind w:left="1400"/>
            </w:pPr>
            <w:r>
              <w:rPr>
                <w:rFonts w:ascii="Arial" w:eastAsia="Microsoft YaHei"/>
                <w:color w:val="90989F"/>
                <w:sz w:val="24"/>
                <w:szCs w:val="24"/>
              </w:rPr>
              <w:t xml:space="preserve">Версия 1.0 | Конфиденциально</w:t>
            </w:r>
          </w:p>
          <w:p>
            <w:pPr>
              <w:pBdr>
                <w:left w:val="single" w:color="C9A84C" w:sz="8" w:space="12"/>
              </w:pBdr>
              <w:spacing w:after="80"/>
              <w:ind w:left="1400"/>
            </w:pPr>
            <w:r>
              <w:rPr>
                <w:rFonts w:ascii="Arial" w:eastAsia="Microsoft YaHei"/>
                <w:color w:val="90989F"/>
                <w:sz w:val="24"/>
                <w:szCs w:val="24"/>
              </w:rPr>
              <w:t xml:space="preserve">Дата: Июнь 2026</w:t>
            </w:r>
          </w:p>
          <w:p>
            <w:pPr>
              <w:pBdr>
                <w:left w:val="single" w:color="C9A84C" w:sz="8" w:space="12"/>
              </w:pBdr>
              <w:spacing w:after="80"/>
              <w:ind w:left="1400"/>
            </w:pPr>
            <w:r>
              <w:rPr>
                <w:rFonts w:ascii="Arial" w:eastAsia="Microsoft YaHei"/>
                <w:color w:val="90989F"/>
                <w:sz w:val="24"/>
                <w:szCs w:val="24"/>
              </w:rPr>
              <w:t xml:space="preserve">Trading Engine | Custody | Compliance | Payments | IAM</w:t>
            </w:r>
          </w:p>
          <w:p>
            <w:pPr>
              <w:spacing w:before="4224"/>
            </w:pPr>
          </w:p>
          <w:p>
            <w:pPr>
              <w:pBdr>
                <w:top w:val="single" w:color="C9A84C" w:sz="2" w:space="8"/>
              </w:pBdr>
              <w:spacing w:before="200"/>
              <w:ind w:left="1200" w:right="800"/>
            </w:pPr>
            <w:r>
              <w:rPr>
                <w:rFonts w:ascii="Arial"/>
                <w:color w:val="687078"/>
                <w:sz w:val="16"/>
                <w:szCs w:val="16"/>
              </w:rPr>
              <w:t xml:space="preserve">Domain Design | Конфиденциально</w:t>
            </w:r>
            <w:r>
              <w:t xml:space="preserve">                                        </w:t>
            </w:r>
            <w:r>
              <w:rPr>
                <w:rFonts w:ascii="Arial"/>
                <w:color w:val="687078"/>
                <w:sz w:val="16"/>
                <w:szCs w:val="16"/>
              </w:rPr>
              <w:t xml:space="preserve">Июнь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Содержание</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Trading Engine: детальный дизайн</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Архитектура мэтчинг-ядра</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Self-Trade Prevention (STP)</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Pre-Trade Risk Engine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Паттерн распределённой транзакции (Saga)</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Custody &amp; Wallet: детальный дизайн</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Архитектура горячий-тёплый-холодный кошелёк</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Управление ключами и HSM</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Event Sourcing для балансов</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Compliance &amp; Monitoring: детальный дизайн</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Двухуровневая система обнаружения</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Правильный движок (Rule Engine)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ML Pipeline и Explainability</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Payments &amp; Settlement: детальный дизайн</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Saga-паттерн для кросс-бордер платежей</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Plug-in архитектура коридоров</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Валютный контроль (173-ФЗ)</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Market Data Service: детальный дизайн</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Архитектура сбора и распространения данных</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TimescaleDB для time-series данных</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Identity &amp; Access Management: детальный дизайн</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Конвейер верификации KYC</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Интеграция с ЕСИА (Госуслуги)</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RBAC + ABAC авторизация</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API-контракты и межсервисная коммуникация</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OpenAPI 3.1 спецификация</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Idempotency и гарантии доставки</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Rate Limiting и защита от злоупотреблений</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Инфраструктура: детальный дизайн</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Kubernetes и Istio Service Mesh</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CI/CD Pipeline</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Disaster Recovery и Business Continuity</w:t>
            </w:r>
            <w:r>
              <w:tab/>
            </w:r>
            <w:r>
              <w:fldChar w:fldCharType="begin"/>
            </w:r>
            <w:r>
              <w:instrText xml:space="preserve"> PAGEREF _Toc100031 \h </w:instrText>
            </w:r>
            <w:r>
              <w:fldChar w:fldCharType="separate"/>
            </w:r>
            <w:r>
              <w:t>11</w:t>
            </w:r>
            <w:r>
              <w:fldChar w:fldCharType="end"/>
            </w:r>
          </w:hyperlink>
        </w:p>
        <w:p>
          <w:r>
            <w:fldChar w:fldCharType="end"/>
          </w:r>
        </w:p>
      </w:sdtContent>
    </w:sdt>
    <w:p>
      <w:pPr>
        <w:spacing w:before="200"/>
      </w:pPr>
      <w:r>
        <w:rPr>
          <w:rFonts w:ascii="Calibri" w:eastAsia="Microsoft YaHei"/>
          <w:i/>
          <w:iCs/>
          <w:color w:val="888888"/>
          <w:sz w:val="18"/>
          <w:szCs w:val="18"/>
        </w:rPr>
        <w:t xml:space="preserve">Примечание: Для корректного отображения номеров страниц нажмите правой кнопкой мыши на оглавление и выберите «Обновить поле».</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F2027"/>
          <w:sz w:val="32"/>
          <w:szCs w:val="32"/>
        </w:rPr>
        <w:t xml:space="preserve">Trading Engine: детальный дизайн</w:t>
      </w:r>
      <w:bookmarkEnd w:id="100000"/>
    </w:p>
    <w:p>
      <w:pPr>
        <w:pStyle w:val="Heading2"/>
        <w:spacing w:after="120" w:before="240" w:line="312"/>
      </w:pPr>
      <w:bookmarkStart w:id="100001" w:name="_Toc100001"/>
      <w:r>
        <w:rPr>
          <w:rFonts w:ascii="Calibri" w:eastAsia="SimHei"/>
          <w:b/>
          <w:bCs/>
          <w:color w:val="0F2027"/>
          <w:sz w:val="28"/>
          <w:szCs w:val="28"/>
        </w:rPr>
        <w:t xml:space="preserve">Архитектура мэтчинг-ядра</w:t>
      </w:r>
      <w:bookmarkEnd w:id="100001"/>
    </w:p>
    <w:p>
      <w:pPr>
        <w:spacing w:after="120" w:line="312"/>
        <w:ind w:firstLine="480"/>
        <w:jc w:val="both"/>
      </w:pPr>
      <w:r>
        <w:rPr>
          <w:rFonts w:ascii="Calibri" w:eastAsia="Microsoft YaHei"/>
          <w:color w:val="000000"/>
          <w:sz w:val="24"/>
          <w:szCs w:val="24"/>
        </w:rPr>
        <w:t xml:space="preserve">Мэтчинг-ядро является наиболее критичным компонентом платформы с точки зрения производительности и корректности. Оно реализовано на Rust для обеспечения детерминированной latency и минимального overhead. Архитектура ядра следует принципу partitioned matching: каждый торговый инструмент (торговая пара) обрабатывается отдельным экземпляром мэтчинга, что обеспечивает линейную масштабируемость и полную изоляцию между инструментами. При добавлении новой торговой пары автоматически запускается новый под matching-engine через Kubernetes operator, при этом производительность существующих пар не затрагивается.</w:t>
      </w:r>
    </w:p>
    <w:p>
      <w:pPr>
        <w:spacing w:after="120" w:line="312"/>
        <w:ind w:firstLine="480"/>
        <w:jc w:val="both"/>
      </w:pPr>
      <w:r>
        <w:rPr>
          <w:rFonts w:ascii="Calibri" w:eastAsia="Microsoft YaHei"/>
          <w:color w:val="000000"/>
          <w:sz w:val="24"/>
          <w:szCs w:val="24"/>
        </w:rPr>
        <w:t xml:space="preserve">Внутренняя структура мэтчинг-ядра включает три основных слоя. Первый слой — Order Validator, который выполняет структурную валидацию ордера: проверка tick size, минимального объёма, корректности типа ордера и time-in-force. Валидация выполняется за O(1) и занимает не более 50 микросекунд. Второй слой — In-Memory Order Book, реализованный на базе Red-Black Tree для каждого ценового уровня с двусторонним индексом (по цене и по времени размещения). Вставка, удаление и мэтчинг выполняются за O(log n), где n — количество ордеров на данном ценовом уровне. Средний размер стакана для высоколиквидных пар — 5000-15000 ордеров, при этом 95-й перцентиль операции мэтчинга составляет менее 3 мс.</w:t>
      </w:r>
    </w:p>
    <w:p>
      <w:pPr>
        <w:spacing w:after="120" w:line="312"/>
        <w:ind w:firstLine="480"/>
        <w:jc w:val="both"/>
      </w:pPr>
      <w:r>
        <w:rPr>
          <w:rFonts w:ascii="Calibri" w:eastAsia="Microsoft YaHei"/>
          <w:color w:val="000000"/>
          <w:sz w:val="24"/>
          <w:szCs w:val="24"/>
        </w:rPr>
        <w:t xml:space="preserve">Третий слой — Matching Algorithm, реализующий price-time приоритет (FIFO в пределах ценового уровня). Алгоритм поддерживает следующие типы ордеров: limit (GTC, GTT, IOC, FOK), market, stop-limit и stop-market. Для рыночных ордеров применяется immediate-or-cancel логика с защитой от slippage: если исполнение рыночного ордера приведёт к отклонению цены более чем на 2% от лучшей цены, ордер отклоняется (circuit breaker на уровне инструмента). Для stop-ордеров реализован trigger mechanism: при каждом обновлении best bid/ask проверяются все stop-ордера для данного инструмента, и срабатывание stop-ордера инициирует новый рыночный или лимитный ордер.</w:t>
      </w:r>
    </w:p>
    <w:p>
      <w:pPr>
        <w:pStyle w:val="Heading2"/>
        <w:spacing w:after="120" w:before="240" w:line="312"/>
      </w:pPr>
      <w:bookmarkStart w:id="100002" w:name="_Toc100002"/>
      <w:r>
        <w:rPr>
          <w:rFonts w:ascii="Calibri" w:eastAsia="SimHei"/>
          <w:b/>
          <w:bCs/>
          <w:color w:val="0F2027"/>
          <w:sz w:val="28"/>
          <w:szCs w:val="28"/>
        </w:rPr>
        <w:t xml:space="preserve">Self-Trade Prevention (STP)</w:t>
      </w:r>
      <w:bookmarkEnd w:id="100002"/>
    </w:p>
    <w:p>
      <w:pPr>
        <w:spacing w:after="120" w:line="312"/>
        <w:ind w:firstLine="480"/>
        <w:jc w:val="both"/>
      </w:pPr>
      <w:r>
        <w:rPr>
          <w:rFonts w:ascii="Calibri" w:eastAsia="Microsoft YaHei"/>
          <w:color w:val="000000"/>
          <w:sz w:val="24"/>
          <w:szCs w:val="24"/>
        </w:rPr>
        <w:t xml:space="preserve">Self-Trade Prevention является критически важным механизмом для предотвращения сделок между аккаунтами одного пользователя, что особенно актуально для институциональных клиентов, использующих алгоритмические стратегии. Система поддерживает четыре режима STP, настраиваемых на уровне аккаунта: Cancel Newest (отменяется входящий ордер, сохраняется resting order), Cancel Oldest (отменяется resting order, исполняется входящий), Cancel Both (отменяются оба ордера) и Cancel Smaller (отменяется ордер с меньшим объёмом). По умолчанию используется Cancel Newest, что соответствует практике большинства регулируемых бирж.</w:t>
      </w:r>
    </w:p>
    <w:p>
      <w:pPr>
        <w:spacing w:after="120" w:line="312"/>
        <w:ind w:firstLine="480"/>
        <w:jc w:val="both"/>
      </w:pPr>
      <w:r>
        <w:rPr>
          <w:rFonts w:ascii="Calibri" w:eastAsia="Microsoft YaHei"/>
          <w:color w:val="000000"/>
          <w:sz w:val="24"/>
          <w:szCs w:val="24"/>
        </w:rPr>
        <w:t xml:space="preserve">Определение self-trade осуществляется через иерархию ownership: ордеры считаются принадлежащими одному бенефициару, если они исходят от одного user_id, или от дочерних аккаунтов (sub-accounts) одного родительского аккаунта, или от аккаунтов, связанных через общее юридическое лицо (linked accounts). Связанность аккаунтов определяется на этапе KYC и обновляется при изменении корпоративной структуры клиента. Каждая попытка self-trade логируется в audit trail с указанием режима STP и принятого решения.</w:t>
      </w:r>
    </w:p>
    <w:p>
      <w:pPr>
        <w:pStyle w:val="Heading2"/>
        <w:spacing w:after="120" w:before="240" w:line="312"/>
      </w:pPr>
      <w:bookmarkStart w:id="100003" w:name="_Toc100003"/>
      <w:r>
        <w:rPr>
          <w:rFonts w:ascii="Calibri" w:eastAsia="SimHei"/>
          <w:b/>
          <w:bCs/>
          <w:color w:val="0F2027"/>
          <w:sz w:val="28"/>
          <w:szCs w:val="28"/>
        </w:rPr>
        <w:t xml:space="preserve">Pre-Trade Risk Engine</w:t>
      </w:r>
      <w:bookmarkEnd w:id="100003"/>
    </w:p>
    <w:p>
      <w:pPr>
        <w:spacing w:after="120" w:line="312"/>
        <w:ind w:firstLine="480"/>
        <w:jc w:val="both"/>
      </w:pPr>
      <w:r>
        <w:rPr>
          <w:rFonts w:ascii="Calibri" w:eastAsia="Microsoft YaHei"/>
          <w:color w:val="000000"/>
          <w:sz w:val="24"/>
          <w:szCs w:val="24"/>
        </w:rPr>
        <w:t xml:space="preserve">Pre-Trade Risk Engine выполняет синхронную проверку каждого ордера до его поступления в мэтчинг. Движок реализован как pipeline из пяти независимых проверок, каждая из которых может отклонить ордер. Первая проверка — Margin Check: доступный баланс пользователя (available_balance) должен быть не менее стоимости ордера плюс оценочная комиссия. Для маржинальной торговли учитывается leverage и maintenance margin requirement. Вторая проверка — Exposure Limit: суммарная позиция пользователя по инструменту не должна превышать установленный лимит, который зависит от квалификации инвестора и risk-профиля.</w:t>
      </w:r>
    </w:p>
    <w:p>
      <w:pPr>
        <w:spacing w:after="120" w:line="312"/>
        <w:ind w:firstLine="480"/>
        <w:jc w:val="both"/>
      </w:pPr>
      <w:r>
        <w:rPr>
          <w:rFonts w:ascii="Calibri" w:eastAsia="Microsoft YaHei"/>
          <w:color w:val="000000"/>
          <w:sz w:val="24"/>
          <w:szCs w:val="24"/>
        </w:rPr>
        <w:t xml:space="preserve">Третья проверка — Rate Limiting: количество ордеров в секунду от одного пользователя ограничено (default: 10 req/s для розничных, 100 req/s для институционалов). Реализация через sliding window counter в Redis с атомарной операцией INCR + EXPIRE. Четвёртая проверка — Investor Qualification: неквалифицированные инвесторы не могут превышать годовой лимит в 300 000 рублей, не могут торговать маржинальными инструментами и не имеют доступа к OTC-рынку. Пятая проверка — Circuit Breaker: при экстремальной волатильности (изменение цены более 10% за 5 минут) торговля по инструменту приостанавливается на 5 минут с автоматическим возобновлением или переходом в режим auction-only.</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18%"/>
            <w:shd w:fill="C9A84C" w:val="clear"/>
            <w:tcMar>
              <w:top w:type="dxa" w:w="60"/>
              <w:left w:type="dxa" w:w="120"/>
              <w:bottom w:type="dxa" w:w="60"/>
              <w:right w:type="dxa" w:w="120"/>
            </w:tcMar>
          </w:tcPr>
          <w:p>
            <w:r>
              <w:rPr>
                <w:rFonts w:ascii="Calibri" w:eastAsia="SimHei"/>
                <w:b/>
                <w:bCs/>
                <w:color w:val="1A1A1A"/>
                <w:sz w:val="21"/>
                <w:szCs w:val="21"/>
              </w:rPr>
              <w:t xml:space="preserve">Проверка риска</w:t>
            </w:r>
          </w:p>
        </w:tc>
        <w:tc>
          <w:tcPr>
            <w:tcW w:type="pct" w:w="24%"/>
            <w:shd w:fill="C9A84C" w:val="clear"/>
            <w:tcMar>
              <w:top w:type="dxa" w:w="60"/>
              <w:left w:type="dxa" w:w="120"/>
              <w:bottom w:type="dxa" w:w="60"/>
              <w:right w:type="dxa" w:w="120"/>
            </w:tcMar>
          </w:tcPr>
          <w:p>
            <w:r>
              <w:rPr>
                <w:rFonts w:ascii="Calibri" w:eastAsia="SimHei"/>
                <w:b/>
                <w:bCs/>
                <w:color w:val="1A1A1A"/>
                <w:sz w:val="21"/>
                <w:szCs w:val="21"/>
              </w:rPr>
              <w:t xml:space="preserve">Реализация</w:t>
            </w:r>
          </w:p>
        </w:tc>
        <w:tc>
          <w:tcPr>
            <w:tcW w:type="pct" w:w="12%"/>
            <w:shd w:fill="C9A84C" w:val="clear"/>
            <w:tcMar>
              <w:top w:type="dxa" w:w="60"/>
              <w:left w:type="dxa" w:w="120"/>
              <w:bottom w:type="dxa" w:w="60"/>
              <w:right w:type="dxa" w:w="120"/>
            </w:tcMar>
          </w:tcPr>
          <w:p>
            <w:r>
              <w:rPr>
                <w:rFonts w:ascii="Calibri" w:eastAsia="SimHei"/>
                <w:b/>
                <w:bCs/>
                <w:color w:val="1A1A1A"/>
                <w:sz w:val="21"/>
                <w:szCs w:val="21"/>
              </w:rPr>
              <w:t xml:space="preserve">SLA</w:t>
            </w:r>
          </w:p>
        </w:tc>
        <w:tc>
          <w:tcPr>
            <w:tcW w:type="pct" w:w="28%"/>
            <w:shd w:fill="C9A84C" w:val="clear"/>
            <w:tcMar>
              <w:top w:type="dxa" w:w="60"/>
              <w:left w:type="dxa" w:w="120"/>
              <w:bottom w:type="dxa" w:w="60"/>
              <w:right w:type="dxa" w:w="120"/>
            </w:tcMar>
          </w:tcPr>
          <w:p>
            <w:r>
              <w:rPr>
                <w:rFonts w:ascii="Calibri" w:eastAsia="SimHei"/>
                <w:b/>
                <w:bCs/>
                <w:color w:val="1A1A1A"/>
                <w:sz w:val="21"/>
                <w:szCs w:val="21"/>
              </w:rPr>
              <w:t xml:space="preserve">Действие при отказе</w:t>
            </w:r>
          </w:p>
        </w:tc>
      </w:tr>
      <w:tr>
        <w:trPr>
          <w:cantSplit/>
        </w:trPr>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Margin Check</w:t>
            </w:r>
          </w:p>
        </w:tc>
        <w:tc>
          <w:tcPr>
            <w:tcW w:type="pct" w:w="24%"/>
            <w:shd w:fill="F5F2E8" w:val="clear"/>
            <w:tcMar>
              <w:top w:type="dxa" w:w="50"/>
              <w:left w:type="dxa" w:w="100"/>
              <w:bottom w:type="dxa" w:w="50"/>
              <w:right w:type="dxa" w:w="100"/>
            </w:tcMar>
          </w:tcPr>
          <w:p>
            <w:r>
              <w:rPr>
                <w:rFonts w:ascii="Calibri" w:eastAsia="Microsoft YaHei"/>
                <w:color w:val="000000"/>
                <w:sz w:val="20"/>
                <w:szCs w:val="20"/>
              </w:rPr>
              <w:t xml:space="preserve">PostgreSQL + Redis cache</w:t>
            </w:r>
          </w:p>
        </w:tc>
        <w:tc>
          <w:tcPr>
            <w:tcW w:type="pct" w:w="12%"/>
            <w:shd w:fill="F5F2E8" w:val="clear"/>
            <w:tcMar>
              <w:top w:type="dxa" w:w="50"/>
              <w:left w:type="dxa" w:w="100"/>
              <w:bottom w:type="dxa" w:w="50"/>
              <w:right w:type="dxa" w:w="100"/>
            </w:tcMar>
          </w:tcPr>
          <w:p>
            <w:r>
              <w:rPr>
                <w:rFonts w:ascii="Calibri" w:eastAsia="Microsoft YaHei"/>
                <w:color w:val="000000"/>
                <w:sz w:val="20"/>
                <w:szCs w:val="20"/>
              </w:rPr>
              <w:t xml:space="preserve">&lt;2 мс</w:t>
            </w:r>
          </w:p>
        </w:tc>
        <w:tc>
          <w:tcPr>
            <w:tcW w:type="pct" w:w="28%"/>
            <w:shd w:fill="F5F2E8" w:val="clear"/>
            <w:tcMar>
              <w:top w:type="dxa" w:w="50"/>
              <w:left w:type="dxa" w:w="100"/>
              <w:bottom w:type="dxa" w:w="50"/>
              <w:right w:type="dxa" w:w="100"/>
            </w:tcMar>
          </w:tcPr>
          <w:p>
            <w:r>
              <w:rPr>
                <w:rFonts w:ascii="Calibri" w:eastAsia="Microsoft YaHei"/>
                <w:color w:val="000000"/>
                <w:sz w:val="20"/>
                <w:szCs w:val="20"/>
              </w:rPr>
              <w:t xml:space="preserve">Отклонить: insufficient_funds</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Exposure Limit</w:t>
            </w:r>
          </w:p>
        </w:tc>
        <w:tc>
          <w:tcPr>
            <w:tcW w:type="pct" w:w="24%"/>
            <w:tcMar>
              <w:top w:type="dxa" w:w="50"/>
              <w:left w:type="dxa" w:w="100"/>
              <w:bottom w:type="dxa" w:w="50"/>
              <w:right w:type="dxa" w:w="100"/>
            </w:tcMar>
          </w:tcPr>
          <w:p>
            <w:r>
              <w:rPr>
                <w:rFonts w:ascii="Calibri" w:eastAsia="Microsoft YaHei"/>
                <w:color w:val="000000"/>
                <w:sz w:val="20"/>
                <w:szCs w:val="20"/>
              </w:rPr>
              <w:t xml:space="preserve">Redis (real-time position)</w:t>
            </w:r>
          </w:p>
        </w:tc>
        <w:tc>
          <w:tcPr>
            <w:tcW w:type="pct" w:w="12%"/>
            <w:tcMar>
              <w:top w:type="dxa" w:w="50"/>
              <w:left w:type="dxa" w:w="100"/>
              <w:bottom w:type="dxa" w:w="50"/>
              <w:right w:type="dxa" w:w="100"/>
            </w:tcMar>
          </w:tcPr>
          <w:p>
            <w:r>
              <w:rPr>
                <w:rFonts w:ascii="Calibri" w:eastAsia="Microsoft YaHei"/>
                <w:color w:val="000000"/>
                <w:sz w:val="20"/>
                <w:szCs w:val="20"/>
              </w:rPr>
              <w:t xml:space="preserve">&lt;1 мс</w:t>
            </w:r>
          </w:p>
        </w:tc>
        <w:tc>
          <w:tcPr>
            <w:tcW w:type="pct" w:w="28%"/>
            <w:tcMar>
              <w:top w:type="dxa" w:w="50"/>
              <w:left w:type="dxa" w:w="100"/>
              <w:bottom w:type="dxa" w:w="50"/>
              <w:right w:type="dxa" w:w="100"/>
            </w:tcMar>
          </w:tcPr>
          <w:p>
            <w:r>
              <w:rPr>
                <w:rFonts w:ascii="Calibri" w:eastAsia="Microsoft YaHei"/>
                <w:color w:val="000000"/>
                <w:sz w:val="20"/>
                <w:szCs w:val="20"/>
              </w:rPr>
              <w:t xml:space="preserve">Отклонить: limit_exceeded</w:t>
            </w:r>
          </w:p>
        </w:tc>
      </w:tr>
      <w:tr>
        <w:trPr>
          <w:cantSplit/>
        </w:trPr>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Rate Limit</w:t>
            </w:r>
          </w:p>
        </w:tc>
        <w:tc>
          <w:tcPr>
            <w:tcW w:type="pct" w:w="24%"/>
            <w:shd w:fill="F5F2E8" w:val="clear"/>
            <w:tcMar>
              <w:top w:type="dxa" w:w="50"/>
              <w:left w:type="dxa" w:w="100"/>
              <w:bottom w:type="dxa" w:w="50"/>
              <w:right w:type="dxa" w:w="100"/>
            </w:tcMar>
          </w:tcPr>
          <w:p>
            <w:r>
              <w:rPr>
                <w:rFonts w:ascii="Calibri" w:eastAsia="Microsoft YaHei"/>
                <w:color w:val="000000"/>
                <w:sz w:val="20"/>
                <w:szCs w:val="20"/>
              </w:rPr>
              <w:t xml:space="preserve">Redis sliding window</w:t>
            </w:r>
          </w:p>
        </w:tc>
        <w:tc>
          <w:tcPr>
            <w:tcW w:type="pct" w:w="12%"/>
            <w:shd w:fill="F5F2E8" w:val="clear"/>
            <w:tcMar>
              <w:top w:type="dxa" w:w="50"/>
              <w:left w:type="dxa" w:w="100"/>
              <w:bottom w:type="dxa" w:w="50"/>
              <w:right w:type="dxa" w:w="100"/>
            </w:tcMar>
          </w:tcPr>
          <w:p>
            <w:r>
              <w:rPr>
                <w:rFonts w:ascii="Calibri" w:eastAsia="Microsoft YaHei"/>
                <w:color w:val="000000"/>
                <w:sz w:val="20"/>
                <w:szCs w:val="20"/>
              </w:rPr>
              <w:t xml:space="preserve">&lt;1 мс</w:t>
            </w:r>
          </w:p>
        </w:tc>
        <w:tc>
          <w:tcPr>
            <w:tcW w:type="pct" w:w="28%"/>
            <w:shd w:fill="F5F2E8" w:val="clear"/>
            <w:tcMar>
              <w:top w:type="dxa" w:w="50"/>
              <w:left w:type="dxa" w:w="100"/>
              <w:bottom w:type="dxa" w:w="50"/>
              <w:right w:type="dxa" w:w="100"/>
            </w:tcMar>
          </w:tcPr>
          <w:p>
            <w:r>
              <w:rPr>
                <w:rFonts w:ascii="Calibri" w:eastAsia="Microsoft YaHei"/>
                <w:color w:val="000000"/>
                <w:sz w:val="20"/>
                <w:szCs w:val="20"/>
              </w:rPr>
              <w:t xml:space="preserve">Отклонить: rate_limit (429)</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Investor Qualification</w:t>
            </w:r>
          </w:p>
        </w:tc>
        <w:tc>
          <w:tcPr>
            <w:tcW w:type="pct" w:w="24%"/>
            <w:tcMar>
              <w:top w:type="dxa" w:w="50"/>
              <w:left w:type="dxa" w:w="100"/>
              <w:bottom w:type="dxa" w:w="50"/>
              <w:right w:type="dxa" w:w="100"/>
            </w:tcMar>
          </w:tcPr>
          <w:p>
            <w:r>
              <w:rPr>
                <w:rFonts w:ascii="Calibri" w:eastAsia="Microsoft YaHei"/>
                <w:color w:val="000000"/>
                <w:sz w:val="20"/>
                <w:szCs w:val="20"/>
              </w:rPr>
              <w:t xml:space="preserve">PostgreSQL (yearly volume)</w:t>
            </w:r>
          </w:p>
        </w:tc>
        <w:tc>
          <w:tcPr>
            <w:tcW w:type="pct" w:w="12%"/>
            <w:tcMar>
              <w:top w:type="dxa" w:w="50"/>
              <w:left w:type="dxa" w:w="100"/>
              <w:bottom w:type="dxa" w:w="50"/>
              <w:right w:type="dxa" w:w="100"/>
            </w:tcMar>
          </w:tcPr>
          <w:p>
            <w:r>
              <w:rPr>
                <w:rFonts w:ascii="Calibri" w:eastAsia="Microsoft YaHei"/>
                <w:color w:val="000000"/>
                <w:sz w:val="20"/>
                <w:szCs w:val="20"/>
              </w:rPr>
              <w:t xml:space="preserve">&lt;3 мс</w:t>
            </w:r>
          </w:p>
        </w:tc>
        <w:tc>
          <w:tcPr>
            <w:tcW w:type="pct" w:w="28%"/>
            <w:tcMar>
              <w:top w:type="dxa" w:w="50"/>
              <w:left w:type="dxa" w:w="100"/>
              <w:bottom w:type="dxa" w:w="50"/>
              <w:right w:type="dxa" w:w="100"/>
            </w:tcMar>
          </w:tcPr>
          <w:p>
            <w:r>
              <w:rPr>
                <w:rFonts w:ascii="Calibri" w:eastAsia="Microsoft YaHei"/>
                <w:color w:val="000000"/>
                <w:sz w:val="20"/>
                <w:szCs w:val="20"/>
              </w:rPr>
              <w:t xml:space="preserve">Отклонить: qualification_required</w:t>
            </w:r>
          </w:p>
        </w:tc>
      </w:tr>
      <w:tr>
        <w:trPr>
          <w:cantSplit/>
        </w:trPr>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Circuit Breaker</w:t>
            </w:r>
          </w:p>
        </w:tc>
        <w:tc>
          <w:tcPr>
            <w:tcW w:type="pct" w:w="24%"/>
            <w:shd w:fill="F5F2E8" w:val="clear"/>
            <w:tcMar>
              <w:top w:type="dxa" w:w="50"/>
              <w:left w:type="dxa" w:w="100"/>
              <w:bottom w:type="dxa" w:w="50"/>
              <w:right w:type="dxa" w:w="100"/>
            </w:tcMar>
          </w:tcPr>
          <w:p>
            <w:r>
              <w:rPr>
                <w:rFonts w:ascii="Calibri" w:eastAsia="Microsoft YaHei"/>
                <w:color w:val="000000"/>
                <w:sz w:val="20"/>
                <w:szCs w:val="20"/>
              </w:rPr>
              <w:t xml:space="preserve">In-memory (per instrument)</w:t>
            </w:r>
          </w:p>
        </w:tc>
        <w:tc>
          <w:tcPr>
            <w:tcW w:type="pct" w:w="12%"/>
            <w:shd w:fill="F5F2E8" w:val="clear"/>
            <w:tcMar>
              <w:top w:type="dxa" w:w="50"/>
              <w:left w:type="dxa" w:w="100"/>
              <w:bottom w:type="dxa" w:w="50"/>
              <w:right w:type="dxa" w:w="100"/>
            </w:tcMar>
          </w:tcPr>
          <w:p>
            <w:r>
              <w:rPr>
                <w:rFonts w:ascii="Calibri" w:eastAsia="Microsoft YaHei"/>
                <w:color w:val="000000"/>
                <w:sz w:val="20"/>
                <w:szCs w:val="20"/>
              </w:rPr>
              <w:t xml:space="preserve">&lt;0.1 мс</w:t>
            </w:r>
          </w:p>
        </w:tc>
        <w:tc>
          <w:tcPr>
            <w:tcW w:type="pct" w:w="28%"/>
            <w:shd w:fill="F5F2E8" w:val="clear"/>
            <w:tcMar>
              <w:top w:type="dxa" w:w="50"/>
              <w:left w:type="dxa" w:w="100"/>
              <w:bottom w:type="dxa" w:w="50"/>
              <w:right w:type="dxa" w:w="100"/>
            </w:tcMar>
          </w:tcPr>
          <w:p>
            <w:r>
              <w:rPr>
                <w:rFonts w:ascii="Calibri" w:eastAsia="Microsoft YaHei"/>
                <w:color w:val="000000"/>
                <w:sz w:val="20"/>
                <w:szCs w:val="20"/>
              </w:rPr>
              <w:t xml:space="preserve">Отклонить: trading_halted</w:t>
            </w:r>
          </w:p>
        </w:tc>
      </w:tr>
    </w:tbl>
    <w:p>
      <w:pPr>
        <w:spacing w:after="200" w:before="80" w:line="312"/>
        <w:jc w:val="center"/>
      </w:pPr>
      <w:r>
        <w:rPr>
          <w:rFonts w:ascii="Calibri" w:eastAsia="Microsoft YaHei"/>
          <w:i/>
          <w:iCs/>
          <w:color w:val="4A6575"/>
          <w:sz w:val="21"/>
          <w:szCs w:val="21"/>
        </w:rPr>
        <w:t xml:space="preserve">Таблица 1. Pre-Trade Risk Pipeline</w:t>
      </w:r>
    </w:p>
    <w:p>
      <w:pPr>
        <w:pStyle w:val="Heading2"/>
        <w:spacing w:after="120" w:before="240" w:line="312"/>
      </w:pPr>
      <w:bookmarkStart w:id="100004" w:name="_Toc100004"/>
      <w:r>
        <w:rPr>
          <w:rFonts w:ascii="Calibri" w:eastAsia="SimHei"/>
          <w:b/>
          <w:bCs/>
          <w:color w:val="0F2027"/>
          <w:sz w:val="28"/>
          <w:szCs w:val="28"/>
        </w:rPr>
        <w:t xml:space="preserve">Паттерн распределённой транзакции (Saga)</w:t>
      </w:r>
      <w:bookmarkEnd w:id="100004"/>
    </w:p>
    <w:p>
      <w:pPr>
        <w:spacing w:after="120" w:line="312"/>
        <w:ind w:firstLine="480"/>
        <w:jc w:val="both"/>
      </w:pPr>
      <w:r>
        <w:rPr>
          <w:rFonts w:ascii="Calibri" w:eastAsia="Microsoft YaHei"/>
          <w:color w:val="000000"/>
          <w:sz w:val="24"/>
          <w:szCs w:val="24"/>
        </w:rPr>
        <w:t xml:space="preserve">Торговая операция реализуется как orchestrated saga с Order Service в роли координатора. Saga обеспечивает атомарность: либо ордер полностью исполнен и средства переведены, либо все промежуточные шаги компенсированы. Основной happy path: OrderPlaced → ReserveFunds (Custody, gRPC, timeout 5s) → SubmitToMatching (in-process) → TradeExecuted → SettleBalances (Wallet, gRPC, timeout 3s) → CalculateFee (Fee Engine, in-process) → EmitEvents (Kafka, async). Компенсирующие транзакции: при ошибке ReserveFunds → CancelOrder; при ошибке SettleBalances → ReverseTrade + ReleaseReservation.</w:t>
      </w:r>
    </w:p>
    <w:p>
      <w:pPr>
        <w:spacing w:after="120" w:line="312"/>
        <w:ind w:firstLine="480"/>
        <w:jc w:val="both"/>
      </w:pPr>
      <w:r>
        <w:rPr>
          <w:rFonts w:ascii="Calibri" w:eastAsia="Microsoft YaHei"/>
          <w:color w:val="000000"/>
          <w:sz w:val="24"/>
          <w:szCs w:val="24"/>
        </w:rPr>
        <w:t xml:space="preserve">Идемпотентность обеспечивается через idempotency key (client_order_id), который генерируется клиентом и проверяется на стороне сервера через Redis SETNX. Если ордер с данным client_order_id уже существует, сервер возвращает статус существующего ордера без повторной обработки. Timeout для всей saga составляет 30 секунд; при превышении сага компенсируется, и ордер переходит в статус expired. Все шаги саги логируются в saga_state таблице PostgreSQL, что позволяет восстановить состояние после сбоя координатора.</w:t>
      </w:r>
    </w:p>
    <w:p>
      <w:pPr>
        <w:pStyle w:val="Heading1"/>
        <w:spacing w:after="160" w:before="360" w:line="312"/>
      </w:pPr>
      <w:bookmarkStart w:id="100005" w:name="_Toc100005"/>
      <w:r>
        <w:rPr>
          <w:rFonts w:ascii="Calibri" w:eastAsia="SimHei"/>
          <w:b/>
          <w:bCs/>
          <w:color w:val="0F2027"/>
          <w:sz w:val="32"/>
          <w:szCs w:val="32"/>
        </w:rPr>
        <w:t xml:space="preserve">Custody &amp; Wallet: детальный дизайн</w:t>
      </w:r>
      <w:bookmarkEnd w:id="100005"/>
    </w:p>
    <w:p>
      <w:pPr>
        <w:pStyle w:val="Heading2"/>
        <w:spacing w:after="120" w:before="240" w:line="312"/>
      </w:pPr>
      <w:bookmarkStart w:id="100006" w:name="_Toc100006"/>
      <w:r>
        <w:rPr>
          <w:rFonts w:ascii="Calibri" w:eastAsia="SimHei"/>
          <w:b/>
          <w:bCs/>
          <w:color w:val="0F2027"/>
          <w:sz w:val="28"/>
          <w:szCs w:val="28"/>
        </w:rPr>
        <w:t xml:space="preserve">Архитектура горячий-тёплый-холодный кошелёк</w:t>
      </w:r>
      <w:bookmarkEnd w:id="100006"/>
    </w:p>
    <w:p>
      <w:pPr>
        <w:spacing w:after="120" w:line="312"/>
        <w:ind w:firstLine="480"/>
        <w:jc w:val="both"/>
      </w:pPr>
      <w:r>
        <w:rPr>
          <w:rFonts w:ascii="Calibri" w:eastAsia="Microsoft YaHei"/>
          <w:color w:val="000000"/>
          <w:sz w:val="24"/>
          <w:szCs w:val="24"/>
        </w:rPr>
        <w:t xml:space="preserve">Кастодиальная система реализует трёхуровневую архитектуру хранения ключей с пропорцией 5%/15%/80% активов соответственно. Горячий кошелёк (hot wallet) подключён к HSM через сетевой интерфейс и предназначен для автоматической обработки выводов до 100 000 RUB-эквивалента. Тёплый кошелёк (warm wallet) требует TOTP-подтверждения от дежурного custody officer и обрабатывает выводы от 100 000 до 1 000 000 RUB. Холодный кошелёк (cold wallet) находится на air-gapped устройстве и требует m-of-n (3-of-5) мультиподпись для транзакций свыше 1 000 000 RUB.</w:t>
      </w:r>
    </w:p>
    <w:p>
      <w:pPr>
        <w:spacing w:after="120" w:line="312"/>
        <w:ind w:firstLine="480"/>
        <w:jc w:val="both"/>
      </w:pPr>
      <w:r>
        <w:rPr>
          <w:rFonts w:ascii="Calibri" w:eastAsia="Microsoft YaHei"/>
          <w:color w:val="000000"/>
          <w:sz w:val="24"/>
          <w:szCs w:val="24"/>
        </w:rPr>
        <w:t xml:space="preserve">Автоматический ребаланс между уровнями осуществляется каждые 15 минут через sweeper service. Если баланс горячего кошелька опускается ниже порога (например, 10 BTC), sweeper инициирует перевод из тёплого кошелька. Аналогично, при накоплении избыточных средств в горячем кошельке (например, более 50 BTC), излишек переводится в тёплый, а при превышении порога тёплого — в холодный. Все переводы между уровнями логируются как custody-события с криптографической подписью и требуют подтверждения от двух custody officers для сумм свыше 500 000 RUB-эквивалента.</w:t>
      </w:r>
    </w:p>
    <w:p>
      <w:pPr>
        <w:pStyle w:val="Heading2"/>
        <w:spacing w:after="120" w:before="240" w:line="312"/>
      </w:pPr>
      <w:bookmarkStart w:id="100007" w:name="_Toc100007"/>
      <w:r>
        <w:rPr>
          <w:rFonts w:ascii="Calibri" w:eastAsia="SimHei"/>
          <w:b/>
          <w:bCs/>
          <w:color w:val="0F2027"/>
          <w:sz w:val="28"/>
          <w:szCs w:val="28"/>
        </w:rPr>
        <w:t xml:space="preserve">Управление ключами и HSM</w:t>
      </w:r>
      <w:bookmarkEnd w:id="100007"/>
    </w:p>
    <w:p>
      <w:pPr>
        <w:spacing w:after="120" w:line="312"/>
        <w:ind w:firstLine="480"/>
        <w:jc w:val="both"/>
      </w:pPr>
      <w:r>
        <w:rPr>
          <w:rFonts w:ascii="Calibri" w:eastAsia="Microsoft YaHei"/>
          <w:color w:val="000000"/>
          <w:sz w:val="24"/>
          <w:szCs w:val="24"/>
        </w:rPr>
        <w:t xml:space="preserve">Генерация и хранение криптографических ключей реализовано через интеграцию с HSM (Hardware Security Module) Thales Luna Network HSM, сертифицированным по FIPS 140-2 Level 3 и имеющим сертификат ФСТЭК. Мастер-ключ генерируется внутри HSM в рамках Key Ceremony с участием 5 из 7 ключевых держателей. Каждый ключевой держатель получает смарт-карту с фрагментом ключа, который бесполезен без остальных фрагментов. Деривация дочерних ключей осуществляется по схеме BIP-32/BIP-44 с дополнительным шифрованием по ГОСТ 28147-89.</w:t>
      </w:r>
    </w:p>
    <w:p>
      <w:pPr>
        <w:spacing w:after="120" w:line="312"/>
        <w:ind w:firstLine="480"/>
        <w:jc w:val="both"/>
      </w:pPr>
      <w:r>
        <w:rPr>
          <w:rFonts w:ascii="Calibri" w:eastAsia="Microsoft YaHei"/>
          <w:color w:val="000000"/>
          <w:sz w:val="24"/>
          <w:szCs w:val="24"/>
        </w:rPr>
        <w:t xml:space="preserve">Жизненный цикл ключа включает четыре стадии: Generation (внутри HSM, never exposed), Activation (HSM slot assignment), Rotation (ежеквартально для KEK, ежемесячно для DEK) и Destruction (secure wipe в HSM с сертификатом уничтожения). Ротация ключей осуществляется без простоев: новый ключ генерируется и активируется, данные перешифровываются batch-процессом, старый ключ помечается как deprecated и удаляется после завершения перешифровки. Все операции с ключами логируются в tamper-evident audit trail.</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tblGrid>
      <w:tr>
        <w:trPr>
          <w:cantSplit/>
          <w:tblHeader/>
        </w:trPr>
        <w:tc>
          <w:tcPr>
            <w:tcW w:type="pct" w:w="14%"/>
            <w:shd w:fill="C9A84C" w:val="clear"/>
            <w:tcMar>
              <w:top w:type="dxa" w:w="60"/>
              <w:left w:type="dxa" w:w="120"/>
              <w:bottom w:type="dxa" w:w="60"/>
              <w:right w:type="dxa" w:w="120"/>
            </w:tcMar>
          </w:tcPr>
          <w:p>
            <w:r>
              <w:rPr>
                <w:rFonts w:ascii="Calibri" w:eastAsia="SimHei"/>
                <w:b/>
                <w:bCs/>
                <w:color w:val="1A1A1A"/>
                <w:sz w:val="21"/>
                <w:szCs w:val="21"/>
              </w:rPr>
              <w:t xml:space="preserve">Уровень кошелька</w:t>
            </w:r>
          </w:p>
        </w:tc>
        <w:tc>
          <w:tcPr>
            <w:tcW w:type="pct" w:w="14%"/>
            <w:shd w:fill="C9A84C" w:val="clear"/>
            <w:tcMar>
              <w:top w:type="dxa" w:w="60"/>
              <w:left w:type="dxa" w:w="120"/>
              <w:bottom w:type="dxa" w:w="60"/>
              <w:right w:type="dxa" w:w="120"/>
            </w:tcMar>
          </w:tcPr>
          <w:p>
            <w:r>
              <w:rPr>
                <w:rFonts w:ascii="Calibri" w:eastAsia="SimHei"/>
                <w:b/>
                <w:bCs/>
                <w:color w:val="1A1A1A"/>
                <w:sz w:val="21"/>
                <w:szCs w:val="21"/>
              </w:rPr>
              <w:t xml:space="preserve">Лимит вывода</w:t>
            </w:r>
          </w:p>
        </w:tc>
        <w:tc>
          <w:tcPr>
            <w:tcW w:type="pct" w:w="20%"/>
            <w:shd w:fill="C9A84C" w:val="clear"/>
            <w:tcMar>
              <w:top w:type="dxa" w:w="60"/>
              <w:left w:type="dxa" w:w="120"/>
              <w:bottom w:type="dxa" w:w="60"/>
              <w:right w:type="dxa" w:w="120"/>
            </w:tcMar>
          </w:tcPr>
          <w:p>
            <w:r>
              <w:rPr>
                <w:rFonts w:ascii="Calibri" w:eastAsia="SimHei"/>
                <w:b/>
                <w:bCs/>
                <w:color w:val="1A1A1A"/>
                <w:sz w:val="21"/>
                <w:szCs w:val="21"/>
              </w:rPr>
              <w:t xml:space="preserve">Подтверждение</w:t>
            </w:r>
          </w:p>
        </w:tc>
        <w:tc>
          <w:tcPr>
            <w:tcW w:type="pct" w:w="22%"/>
            <w:shd w:fill="C9A84C" w:val="clear"/>
            <w:tcMar>
              <w:top w:type="dxa" w:w="60"/>
              <w:left w:type="dxa" w:w="120"/>
              <w:bottom w:type="dxa" w:w="60"/>
              <w:right w:type="dxa" w:w="120"/>
            </w:tcMar>
          </w:tcPr>
          <w:p>
            <w:r>
              <w:rPr>
                <w:rFonts w:ascii="Calibri" w:eastAsia="SimHei"/>
                <w:b/>
                <w:bCs/>
                <w:color w:val="1A1A1A"/>
                <w:sz w:val="21"/>
                <w:szCs w:val="21"/>
              </w:rPr>
              <w:t xml:space="preserve">HSM-операция</w:t>
            </w:r>
          </w:p>
        </w:tc>
        <w:tc>
          <w:tcPr>
            <w:tcW w:type="pct" w:w="16%"/>
            <w:shd w:fill="C9A84C" w:val="clear"/>
            <w:tcMar>
              <w:top w:type="dxa" w:w="60"/>
              <w:left w:type="dxa" w:w="120"/>
              <w:bottom w:type="dxa" w:w="60"/>
              <w:right w:type="dxa" w:w="120"/>
            </w:tcMar>
          </w:tcPr>
          <w:p>
            <w:r>
              <w:rPr>
                <w:rFonts w:ascii="Calibri" w:eastAsia="SimHei"/>
                <w:b/>
                <w:bCs/>
                <w:color w:val="1A1A1A"/>
                <w:sz w:val="21"/>
                <w:szCs w:val="21"/>
              </w:rPr>
              <w:t xml:space="preserve">SLA обработки</w:t>
            </w:r>
          </w:p>
        </w:tc>
      </w:tr>
      <w:tr>
        <w:trPr>
          <w:cantSplit/>
        </w:trPr>
        <w:tc>
          <w:tcPr>
            <w:tcW w:type="pct" w:w="14%"/>
            <w:shd w:fill="F5F2E8" w:val="clear"/>
            <w:tcMar>
              <w:top w:type="dxa" w:w="50"/>
              <w:left w:type="dxa" w:w="100"/>
              <w:bottom w:type="dxa" w:w="50"/>
              <w:right w:type="dxa" w:w="100"/>
            </w:tcMar>
          </w:tcPr>
          <w:p>
            <w:r>
              <w:rPr>
                <w:rFonts w:ascii="Calibri" w:eastAsia="Microsoft YaHei"/>
                <w:color w:val="000000"/>
                <w:sz w:val="20"/>
                <w:szCs w:val="20"/>
              </w:rPr>
              <w:t xml:space="preserve">Hot (5% активов)</w:t>
            </w:r>
          </w:p>
        </w:tc>
        <w:tc>
          <w:tcPr>
            <w:tcW w:type="pct" w:w="14%"/>
            <w:shd w:fill="F5F2E8" w:val="clear"/>
            <w:tcMar>
              <w:top w:type="dxa" w:w="50"/>
              <w:left w:type="dxa" w:w="100"/>
              <w:bottom w:type="dxa" w:w="50"/>
              <w:right w:type="dxa" w:w="100"/>
            </w:tcMar>
          </w:tcPr>
          <w:p>
            <w:r>
              <w:rPr>
                <w:rFonts w:ascii="Calibri" w:eastAsia="Microsoft YaHei"/>
                <w:color w:val="000000"/>
                <w:sz w:val="20"/>
                <w:szCs w:val="20"/>
              </w:rPr>
              <w:t xml:space="preserve">&lt;100K RUB</w:t>
            </w:r>
          </w:p>
        </w:tc>
        <w:tc>
          <w:tcPr>
            <w:tcW w:type="pct" w:w="20%"/>
            <w:shd w:fill="F5F2E8" w:val="clear"/>
            <w:tcMar>
              <w:top w:type="dxa" w:w="50"/>
              <w:left w:type="dxa" w:w="100"/>
              <w:bottom w:type="dxa" w:w="50"/>
              <w:right w:type="dxa" w:w="100"/>
            </w:tcMar>
          </w:tcPr>
          <w:p>
            <w:r>
              <w:rPr>
                <w:rFonts w:ascii="Calibri" w:eastAsia="Microsoft YaHei"/>
                <w:color w:val="000000"/>
                <w:sz w:val="20"/>
                <w:szCs w:val="20"/>
              </w:rPr>
              <w:t xml:space="preserve">Автоматически (AML check)</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signTransaction (online)</w:t>
            </w:r>
          </w:p>
        </w:tc>
        <w:tc>
          <w:tcPr>
            <w:tcW w:type="pct" w:w="16%"/>
            <w:shd w:fill="F5F2E8" w:val="clear"/>
            <w:tcMar>
              <w:top w:type="dxa" w:w="50"/>
              <w:left w:type="dxa" w:w="100"/>
              <w:bottom w:type="dxa" w:w="50"/>
              <w:right w:type="dxa" w:w="100"/>
            </w:tcMar>
          </w:tcPr>
          <w:p>
            <w:r>
              <w:rPr>
                <w:rFonts w:ascii="Calibri" w:eastAsia="Microsoft YaHei"/>
                <w:color w:val="000000"/>
                <w:sz w:val="20"/>
                <w:szCs w:val="20"/>
              </w:rPr>
              <w:t xml:space="preserve">&lt;5 мин</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Warm (15% активов)</w:t>
            </w:r>
          </w:p>
        </w:tc>
        <w:tc>
          <w:tcPr>
            <w:tcW w:type="pct" w:w="14%"/>
            <w:tcMar>
              <w:top w:type="dxa" w:w="50"/>
              <w:left w:type="dxa" w:w="100"/>
              <w:bottom w:type="dxa" w:w="50"/>
              <w:right w:type="dxa" w:w="100"/>
            </w:tcMar>
          </w:tcPr>
          <w:p>
            <w:r>
              <w:rPr>
                <w:rFonts w:ascii="Calibri" w:eastAsia="Microsoft YaHei"/>
                <w:color w:val="000000"/>
                <w:sz w:val="20"/>
                <w:szCs w:val="20"/>
              </w:rPr>
              <w:t xml:space="preserve">100K-1M RUB</w:t>
            </w:r>
          </w:p>
        </w:tc>
        <w:tc>
          <w:tcPr>
            <w:tcW w:type="pct" w:w="20%"/>
            <w:tcMar>
              <w:top w:type="dxa" w:w="50"/>
              <w:left w:type="dxa" w:w="100"/>
              <w:bottom w:type="dxa" w:w="50"/>
              <w:right w:type="dxa" w:w="100"/>
            </w:tcMar>
          </w:tcPr>
          <w:p>
            <w:r>
              <w:rPr>
                <w:rFonts w:ascii="Calibri" w:eastAsia="Microsoft YaHei"/>
                <w:color w:val="000000"/>
                <w:sz w:val="20"/>
                <w:szCs w:val="20"/>
              </w:rPr>
              <w:t xml:space="preserve">TOTP + Custody Officer</w:t>
            </w:r>
          </w:p>
        </w:tc>
        <w:tc>
          <w:tcPr>
            <w:tcW w:type="pct" w:w="22%"/>
            <w:tcMar>
              <w:top w:type="dxa" w:w="50"/>
              <w:left w:type="dxa" w:w="100"/>
              <w:bottom w:type="dxa" w:w="50"/>
              <w:right w:type="dxa" w:w="100"/>
            </w:tcMar>
          </w:tcPr>
          <w:p>
            <w:r>
              <w:rPr>
                <w:rFonts w:ascii="Calibri" w:eastAsia="Microsoft YaHei"/>
                <w:color w:val="000000"/>
                <w:sz w:val="20"/>
                <w:szCs w:val="20"/>
              </w:rPr>
              <w:t xml:space="preserve">signTransaction (online + approval)</w:t>
            </w:r>
          </w:p>
        </w:tc>
        <w:tc>
          <w:tcPr>
            <w:tcW w:type="pct" w:w="16%"/>
            <w:tcMar>
              <w:top w:type="dxa" w:w="50"/>
              <w:left w:type="dxa" w:w="100"/>
              <w:bottom w:type="dxa" w:w="50"/>
              <w:right w:type="dxa" w:w="100"/>
            </w:tcMar>
          </w:tcPr>
          <w:p>
            <w:r>
              <w:rPr>
                <w:rFonts w:ascii="Calibri" w:eastAsia="Microsoft YaHei"/>
                <w:color w:val="000000"/>
                <w:sz w:val="20"/>
                <w:szCs w:val="20"/>
              </w:rPr>
              <w:t xml:space="preserve">&lt;30 мин</w:t>
            </w:r>
          </w:p>
        </w:tc>
      </w:tr>
      <w:tr>
        <w:trPr>
          <w:cantSplit/>
        </w:trPr>
        <w:tc>
          <w:tcPr>
            <w:tcW w:type="pct" w:w="14%"/>
            <w:shd w:fill="F5F2E8" w:val="clear"/>
            <w:tcMar>
              <w:top w:type="dxa" w:w="50"/>
              <w:left w:type="dxa" w:w="100"/>
              <w:bottom w:type="dxa" w:w="50"/>
              <w:right w:type="dxa" w:w="100"/>
            </w:tcMar>
          </w:tcPr>
          <w:p>
            <w:r>
              <w:rPr>
                <w:rFonts w:ascii="Calibri" w:eastAsia="Microsoft YaHei"/>
                <w:color w:val="000000"/>
                <w:sz w:val="20"/>
                <w:szCs w:val="20"/>
              </w:rPr>
              <w:t xml:space="preserve">Cold (80% активов)</w:t>
            </w:r>
          </w:p>
        </w:tc>
        <w:tc>
          <w:tcPr>
            <w:tcW w:type="pct" w:w="14%"/>
            <w:shd w:fill="F5F2E8" w:val="clear"/>
            <w:tcMar>
              <w:top w:type="dxa" w:w="50"/>
              <w:left w:type="dxa" w:w="100"/>
              <w:bottom w:type="dxa" w:w="50"/>
              <w:right w:type="dxa" w:w="100"/>
            </w:tcMar>
          </w:tcPr>
          <w:p>
            <w:r>
              <w:rPr>
                <w:rFonts w:ascii="Calibri" w:eastAsia="Microsoft YaHei"/>
                <w:color w:val="000000"/>
                <w:sz w:val="20"/>
                <w:szCs w:val="20"/>
              </w:rPr>
              <w:t xml:space="preserve">&gt;1M RUB</w:t>
            </w:r>
          </w:p>
        </w:tc>
        <w:tc>
          <w:tcPr>
            <w:tcW w:type="pct" w:w="20%"/>
            <w:shd w:fill="F5F2E8" w:val="clear"/>
            <w:tcMar>
              <w:top w:type="dxa" w:w="50"/>
              <w:left w:type="dxa" w:w="100"/>
              <w:bottom w:type="dxa" w:w="50"/>
              <w:right w:type="dxa" w:w="100"/>
            </w:tcMar>
          </w:tcPr>
          <w:p>
            <w:r>
              <w:rPr>
                <w:rFonts w:ascii="Calibri" w:eastAsia="Microsoft YaHei"/>
                <w:color w:val="000000"/>
                <w:sz w:val="20"/>
                <w:szCs w:val="20"/>
              </w:rPr>
              <w:t xml:space="preserve">m-of-n (3/5 signatures)</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signTransaction (offline ceremony)</w:t>
            </w:r>
          </w:p>
        </w:tc>
        <w:tc>
          <w:tcPr>
            <w:tcW w:type="pct" w:w="16%"/>
            <w:shd w:fill="F5F2E8" w:val="clear"/>
            <w:tcMar>
              <w:top w:type="dxa" w:w="50"/>
              <w:left w:type="dxa" w:w="100"/>
              <w:bottom w:type="dxa" w:w="50"/>
              <w:right w:type="dxa" w:w="100"/>
            </w:tcMar>
          </w:tcPr>
          <w:p>
            <w:r>
              <w:rPr>
                <w:rFonts w:ascii="Calibri" w:eastAsia="Microsoft YaHei"/>
                <w:color w:val="000000"/>
                <w:sz w:val="20"/>
                <w:szCs w:val="20"/>
              </w:rPr>
              <w:t xml:space="preserve">&lt;24 часа</w:t>
            </w:r>
          </w:p>
        </w:tc>
      </w:tr>
    </w:tbl>
    <w:p>
      <w:pPr>
        <w:spacing w:after="200" w:before="80" w:line="312"/>
        <w:jc w:val="center"/>
      </w:pPr>
      <w:r>
        <w:rPr>
          <w:rFonts w:ascii="Calibri" w:eastAsia="Microsoft YaHei"/>
          <w:i/>
          <w:iCs/>
          <w:color w:val="4A6575"/>
          <w:sz w:val="21"/>
          <w:szCs w:val="21"/>
        </w:rPr>
        <w:t xml:space="preserve">Таблица 2. Уровни кастодиального хранения</w:t>
      </w:r>
    </w:p>
    <w:p>
      <w:pPr>
        <w:pStyle w:val="Heading2"/>
        <w:spacing w:after="120" w:before="240" w:line="312"/>
      </w:pPr>
      <w:bookmarkStart w:id="100008" w:name="_Toc100008"/>
      <w:r>
        <w:rPr>
          <w:rFonts w:ascii="Calibri" w:eastAsia="SimHei"/>
          <w:b/>
          <w:bCs/>
          <w:color w:val="0F2027"/>
          <w:sz w:val="28"/>
          <w:szCs w:val="28"/>
        </w:rPr>
        <w:t xml:space="preserve">Event Sourcing для балансов</w:t>
      </w:r>
      <w:bookmarkEnd w:id="100008"/>
    </w:p>
    <w:p>
      <w:pPr>
        <w:spacing w:after="120" w:line="312"/>
        <w:ind w:firstLine="480"/>
        <w:jc w:val="both"/>
      </w:pPr>
      <w:r>
        <w:rPr>
          <w:rFonts w:ascii="Calibri" w:eastAsia="Microsoft YaHei"/>
          <w:color w:val="000000"/>
          <w:sz w:val="24"/>
          <w:szCs w:val="24"/>
        </w:rPr>
        <w:t xml:space="preserve">Домен Custody использует Event Sourcing как основной паттерн персистентности. Текущий баланс пользователя вычисляется как свёртка (fold) последовательности событий: DepositConfirmed, WithdrawalCompleted, TradeSettled, FeeCharged, BalanceAdjusted. Каждое событие содержит: aggregate_id (account_id), event_type, amount, currency, metadata (tx_hash, trade_id и т.д.), timestamp и cryptographic_signature. События хранятся в EventStoreDB с append-only гарантией и реплицируются в PostgreSQL для удобства запросов.</w:t>
      </w:r>
    </w:p>
    <w:p>
      <w:pPr>
        <w:spacing w:after="120" w:line="312"/>
        <w:ind w:firstLine="480"/>
        <w:jc w:val="both"/>
      </w:pPr>
      <w:r>
        <w:rPr>
          <w:rFonts w:ascii="Calibri" w:eastAsia="Microsoft YaHei"/>
          <w:color w:val="000000"/>
          <w:sz w:val="24"/>
          <w:szCs w:val="24"/>
        </w:rPr>
        <w:t xml:space="preserve">Оптимистическая конкуренция (optimistic concurrency) обеспечивается через version field: каждое событие увеличивает версию агрегата на 1. При одновременной попытке записи двух событий с одинаковой версией, одно из них отклоняется, и операция повторяется. Это гарантирует, что баланс никогда не будет неконсистентным, даже при concurrent writes. Snapshot агрегата (текущий баланс) создаётся каждые 100 событий для ускорения реконструкции. При необходимости балансы могут быть полностью реконструированы из событий за время менее 1 секунды на аккаунт.</w:t>
      </w:r>
    </w:p>
    <w:p>
      <w:pPr>
        <w:pStyle w:val="Heading1"/>
        <w:spacing w:after="160" w:before="360" w:line="312"/>
      </w:pPr>
      <w:bookmarkStart w:id="100009" w:name="_Toc100009"/>
      <w:r>
        <w:rPr>
          <w:rFonts w:ascii="Calibri" w:eastAsia="SimHei"/>
          <w:b/>
          <w:bCs/>
          <w:color w:val="0F2027"/>
          <w:sz w:val="32"/>
          <w:szCs w:val="32"/>
        </w:rPr>
        <w:t xml:space="preserve">Compliance &amp; Monitoring: детальный дизайн</w:t>
      </w:r>
      <w:bookmarkEnd w:id="100009"/>
    </w:p>
    <w:p>
      <w:pPr>
        <w:pStyle w:val="Heading2"/>
        <w:spacing w:after="120" w:before="240" w:line="312"/>
      </w:pPr>
      <w:bookmarkStart w:id="100010" w:name="_Toc100010"/>
      <w:r>
        <w:rPr>
          <w:rFonts w:ascii="Calibri" w:eastAsia="SimHei"/>
          <w:b/>
          <w:bCs/>
          <w:color w:val="0F2027"/>
          <w:sz w:val="28"/>
          <w:szCs w:val="28"/>
        </w:rPr>
        <w:t xml:space="preserve">Двухуровневая система обнаружения</w:t>
      </w:r>
      <w:bookmarkEnd w:id="100010"/>
    </w:p>
    <w:p>
      <w:pPr>
        <w:spacing w:after="120" w:line="312"/>
        <w:ind w:firstLine="480"/>
        <w:jc w:val="both"/>
      </w:pPr>
      <w:r>
        <w:rPr>
          <w:rFonts w:ascii="Calibri" w:eastAsia="Microsoft YaHei"/>
          <w:color w:val="000000"/>
          <w:sz w:val="24"/>
          <w:szCs w:val="24"/>
        </w:rPr>
        <w:t xml:space="preserve">Контекст комплаенса реализует двухуровневую систему обнаружения подозрительных операций. Первый уровень — Rules Engine — работает в реальном времени и содержит более 200 правил, категоризированных по пяти типам: threshold rules (превышение суммовых лимитов в разрезе дня, недели, месяца), velocity rules (частота операций — количество транзакций в единицу времени), pattern rules (типичные схемы отмывания — smurfing, structuring, round-tripping, layering), sanctions rules (совпадение с санкционными списками SDN, российскими перечнями экстремистов, списками FATF) и behavioral rules (отклонение от типичного поведения пользователя, выявляемое через статистические методы).</w:t>
      </w:r>
    </w:p>
    <w:p>
      <w:pPr>
        <w:spacing w:after="120" w:line="312"/>
        <w:ind w:firstLine="480"/>
        <w:jc w:val="both"/>
      </w:pPr>
      <w:r>
        <w:rPr>
          <w:rFonts w:ascii="Calibri" w:eastAsia="Microsoft YaHei"/>
          <w:color w:val="000000"/>
          <w:sz w:val="24"/>
          <w:szCs w:val="24"/>
        </w:rPr>
        <w:t xml:space="preserve">Второй уровень — ML Pipeline — работает с задержкой до 5 минут и анализирует транзакции с использованием двух моделей. Градиентный бустинг (XGBoost) анализирует индивидуальные транзакции и генерирует risk score на основе 150+ признаков (transaction features, user features, temporal features, network features). Графовая нейросеть (GNN) анализирует связи между пользователями и выявляет сложные многошаговые схемы, включающие множественных участников. Feature store обеспечивает реюзабельность признаков между обоими уровнями и хранит историю значений для переобучения моделей.</w:t>
      </w:r>
    </w:p>
    <w:p>
      <w:pPr>
        <w:pStyle w:val="Heading2"/>
        <w:spacing w:after="120" w:before="240" w:line="312"/>
      </w:pPr>
      <w:bookmarkStart w:id="100011" w:name="_Toc100011"/>
      <w:r>
        <w:rPr>
          <w:rFonts w:ascii="Calibri" w:eastAsia="SimHei"/>
          <w:b/>
          <w:bCs/>
          <w:color w:val="0F2027"/>
          <w:sz w:val="28"/>
          <w:szCs w:val="28"/>
        </w:rPr>
        <w:t xml:space="preserve">Правильный движок (Rule Engine)</w:t>
      </w:r>
      <w:bookmarkEnd w:id="100011"/>
    </w:p>
    <w:p>
      <w:pPr>
        <w:spacing w:after="120" w:line="312"/>
        <w:ind w:firstLine="480"/>
        <w:jc w:val="both"/>
      </w:pPr>
      <w:r>
        <w:rPr>
          <w:rFonts w:ascii="Calibri" w:eastAsia="Microsoft YaHei"/>
          <w:color w:val="000000"/>
          <w:sz w:val="24"/>
          <w:szCs w:val="24"/>
        </w:rPr>
        <w:t xml:space="preserve">Каждое правило в движке описывается декларативной спецификацией в формате JSON и содержит: rule_id, rule_name, category, severity (low/medium/high/critical), conditions (массив условий с логическими операторами AND/OR), parameters (настраиваемые пороги, веса, периоды наблюдения) и action (alert/flag/block/quarantine). Правила загружаются в память при старте сервиса и могут обновляться через Admin Panel без редеплоя (hot reload через Kafka-событие compliance.rules.updated).</w:t>
      </w:r>
    </w:p>
    <w:p>
      <w:pPr>
        <w:spacing w:after="120" w:line="312"/>
        <w:ind w:firstLine="480"/>
        <w:jc w:val="both"/>
      </w:pPr>
      <w:r>
        <w:rPr>
          <w:rFonts w:ascii="Calibri" w:eastAsia="Microsoft YaHei"/>
          <w:color w:val="000000"/>
          <w:sz w:val="24"/>
          <w:szCs w:val="24"/>
        </w:rPr>
        <w:t xml:space="preserve">Примеры критических правил: RULE-TH-001 — единовременный вывод более 500 000 RUB-эквивалента (action: flag + enhanced due diligence); RULE-VEL-003 — более 10 депозитов с разных адресов за 24 часа (action: alert + temporary hold); RULE-PAT-012 — циклическая конвертация крипто-фиат-крипто в течение 48 часов (action: block + quarantine); RULE-SANC-001 — совпадение адреса отправителя со санкционным списком (action: immediate block + SAR). Все срабатывания правил логируются с полным контекстом: user_id, triggered_rule, input_values, risk_score, timestamp.</w:t>
      </w:r>
    </w:p>
    <w:p>
      <w:pPr>
        <w:pStyle w:val="Heading2"/>
        <w:spacing w:after="120" w:before="240" w:line="312"/>
      </w:pPr>
      <w:bookmarkStart w:id="100012" w:name="_Toc100012"/>
      <w:r>
        <w:rPr>
          <w:rFonts w:ascii="Calibri" w:eastAsia="SimHei"/>
          <w:b/>
          <w:bCs/>
          <w:color w:val="0F2027"/>
          <w:sz w:val="28"/>
          <w:szCs w:val="28"/>
        </w:rPr>
        <w:t xml:space="preserve">ML Pipeline и Explainability</w:t>
      </w:r>
      <w:bookmarkEnd w:id="100012"/>
    </w:p>
    <w:p>
      <w:pPr>
        <w:spacing w:after="120" w:line="312"/>
        <w:ind w:firstLine="480"/>
        <w:jc w:val="both"/>
      </w:pPr>
      <w:r>
        <w:rPr>
          <w:rFonts w:ascii="Calibri" w:eastAsia="Microsoft YaHei"/>
          <w:color w:val="000000"/>
          <w:sz w:val="24"/>
          <w:szCs w:val="24"/>
        </w:rPr>
        <w:t xml:space="preserve">ML-модель переобучается еженедельно на новых данных с обязательной валидацией compliance-офицера перед deploy. Процесс обучения: data extraction (ClickHouse + EventStoreDB) → feature engineering (Feature Store) → model training (XGBoost + PyG for GNN) → validation (backtesting на historical alerts) → compliance review (interpretability report) → canary deployment (10% трафика) → full deployment. Вся цепочка выполняется через Apache Airflow DAG с Slack-уведомлениями на каждом этапе.</w:t>
      </w:r>
    </w:p>
    <w:p>
      <w:pPr>
        <w:spacing w:after="120" w:line="312"/>
        <w:ind w:firstLine="480"/>
        <w:jc w:val="both"/>
      </w:pPr>
      <w:r>
        <w:rPr>
          <w:rFonts w:ascii="Calibri" w:eastAsia="Microsoft YaHei"/>
          <w:color w:val="000000"/>
          <w:sz w:val="24"/>
          <w:szCs w:val="24"/>
        </w:rPr>
        <w:t xml:space="preserve">Explainability является безальтернативным требованием регулятора: каждый ML-решение должно сопровождаться объяснением, понятным человеку. Для XGBoost используются SHAP-значения (Shapley Additive Explanations), которые показывают вклад каждого признака в итоговый risk score. Для GNN используется GNNExplainer, выделяющий наиболее значимые рёбра и узлы в графе, повлиявшие на решение. Все объяснения сохраняются вместе с алертом и доступны compliance-офицеру при рассмотрении. Это также обеспечивает возможность апелляции пользователем через запрос в поддержку.</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tblGrid>
      <w:tr>
        <w:trPr>
          <w:cantSplit/>
          <w:tblHeader/>
        </w:trPr>
        <w:tc>
          <w:tcPr>
            <w:tcW w:type="pct" w:w="14%"/>
            <w:shd w:fill="C9A84C" w:val="clear"/>
            <w:tcMar>
              <w:top w:type="dxa" w:w="60"/>
              <w:left w:type="dxa" w:w="120"/>
              <w:bottom w:type="dxa" w:w="60"/>
              <w:right w:type="dxa" w:w="120"/>
            </w:tcMar>
          </w:tcPr>
          <w:p>
            <w:r>
              <w:rPr>
                <w:rFonts w:ascii="Calibri" w:eastAsia="SimHei"/>
                <w:b/>
                <w:bCs/>
                <w:color w:val="1A1A1A"/>
                <w:sz w:val="21"/>
                <w:szCs w:val="21"/>
              </w:rPr>
              <w:t xml:space="preserve">Компонент</w:t>
            </w:r>
          </w:p>
        </w:tc>
        <w:tc>
          <w:tcPr>
            <w:tcW w:type="pct" w:w="18%"/>
            <w:shd w:fill="C9A84C" w:val="clear"/>
            <w:tcMar>
              <w:top w:type="dxa" w:w="60"/>
              <w:left w:type="dxa" w:w="120"/>
              <w:bottom w:type="dxa" w:w="60"/>
              <w:right w:type="dxa" w:w="120"/>
            </w:tcMar>
          </w:tcPr>
          <w:p>
            <w:r>
              <w:rPr>
                <w:rFonts w:ascii="Calibri" w:eastAsia="SimHei"/>
                <w:b/>
                <w:bCs/>
                <w:color w:val="1A1A1A"/>
                <w:sz w:val="21"/>
                <w:szCs w:val="21"/>
              </w:rPr>
              <w:t xml:space="preserve">Технология</w:t>
            </w:r>
          </w:p>
        </w:tc>
        <w:tc>
          <w:tcPr>
            <w:tcW w:type="pct" w:w="18%"/>
            <w:shd w:fill="C9A84C" w:val="clear"/>
            <w:tcMar>
              <w:top w:type="dxa" w:w="60"/>
              <w:left w:type="dxa" w:w="120"/>
              <w:bottom w:type="dxa" w:w="60"/>
              <w:right w:type="dxa" w:w="120"/>
            </w:tcMar>
          </w:tcPr>
          <w:p>
            <w:r>
              <w:rPr>
                <w:rFonts w:ascii="Calibri" w:eastAsia="SimHei"/>
                <w:b/>
                <w:bCs/>
                <w:color w:val="1A1A1A"/>
                <w:sz w:val="21"/>
                <w:szCs w:val="21"/>
              </w:rPr>
              <w:t xml:space="preserve">Задержка</w:t>
            </w:r>
          </w:p>
        </w:tc>
        <w:tc>
          <w:tcPr>
            <w:tcW w:type="pct" w:w="16%"/>
            <w:shd w:fill="C9A84C" w:val="clear"/>
            <w:tcMar>
              <w:top w:type="dxa" w:w="60"/>
              <w:left w:type="dxa" w:w="120"/>
              <w:bottom w:type="dxa" w:w="60"/>
              <w:right w:type="dxa" w:w="120"/>
            </w:tcMar>
          </w:tcPr>
          <w:p>
            <w:r>
              <w:rPr>
                <w:rFonts w:ascii="Calibri" w:eastAsia="SimHei"/>
                <w:b/>
                <w:bCs/>
                <w:color w:val="1A1A1A"/>
                <w:sz w:val="21"/>
                <w:szCs w:val="21"/>
              </w:rPr>
              <w:t xml:space="preserve">Точность (F1)</w:t>
            </w:r>
          </w:p>
        </w:tc>
        <w:tc>
          <w:tcPr>
            <w:tcW w:type="pct" w:w="22%"/>
            <w:shd w:fill="C9A84C" w:val="clear"/>
            <w:tcMar>
              <w:top w:type="dxa" w:w="60"/>
              <w:left w:type="dxa" w:w="120"/>
              <w:bottom w:type="dxa" w:w="60"/>
              <w:right w:type="dxa" w:w="120"/>
            </w:tcMar>
          </w:tcPr>
          <w:p>
            <w:r>
              <w:rPr>
                <w:rFonts w:ascii="Calibri" w:eastAsia="SimHei"/>
                <w:b/>
                <w:bCs/>
                <w:color w:val="1A1A1A"/>
                <w:sz w:val="21"/>
                <w:szCs w:val="21"/>
              </w:rPr>
              <w:t xml:space="preserve">Действие</w:t>
            </w:r>
          </w:p>
        </w:tc>
      </w:tr>
      <w:tr>
        <w:trPr>
          <w:cantSplit/>
        </w:trPr>
        <w:tc>
          <w:tcPr>
            <w:tcW w:type="pct" w:w="14%"/>
            <w:shd w:fill="F5F2E8" w:val="clear"/>
            <w:tcMar>
              <w:top w:type="dxa" w:w="50"/>
              <w:left w:type="dxa" w:w="100"/>
              <w:bottom w:type="dxa" w:w="50"/>
              <w:right w:type="dxa" w:w="100"/>
            </w:tcMar>
          </w:tcPr>
          <w:p>
            <w:r>
              <w:rPr>
                <w:rFonts w:ascii="Calibri" w:eastAsia="Microsoft YaHei"/>
                <w:color w:val="000000"/>
                <w:sz w:val="20"/>
                <w:szCs w:val="20"/>
              </w:rPr>
              <w:t xml:space="preserve">Rules Engine</w:t>
            </w:r>
          </w:p>
        </w:tc>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Go + JSON spec</w:t>
            </w:r>
          </w:p>
        </w:tc>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&lt;100 мс (real-time)</w:t>
            </w:r>
          </w:p>
        </w:tc>
        <w:tc>
          <w:tcPr>
            <w:tcW w:type="pct" w:w="16%"/>
            <w:shd w:fill="F5F2E8" w:val="clear"/>
            <w:tcMar>
              <w:top w:type="dxa" w:w="50"/>
              <w:left w:type="dxa" w:w="100"/>
              <w:bottom w:type="dxa" w:w="50"/>
              <w:right w:type="dxa" w:w="100"/>
            </w:tcMar>
          </w:tcPr>
          <w:p>
            <w:r>
              <w:rPr>
                <w:rFonts w:ascii="Calibri" w:eastAsia="Microsoft YaHei"/>
                <w:color w:val="000000"/>
                <w:sz w:val="20"/>
                <w:szCs w:val="20"/>
              </w:rPr>
              <w:t xml:space="preserve">95%+ (precision)</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Alert / Flag / Block</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XGBoost Model</w:t>
            </w:r>
          </w:p>
        </w:tc>
        <w:tc>
          <w:tcPr>
            <w:tcW w:type="pct" w:w="18%"/>
            <w:tcMar>
              <w:top w:type="dxa" w:w="50"/>
              <w:left w:type="dxa" w:w="100"/>
              <w:bottom w:type="dxa" w:w="50"/>
              <w:right w:type="dxa" w:w="100"/>
            </w:tcMar>
          </w:tcPr>
          <w:p>
            <w:r>
              <w:rPr>
                <w:rFonts w:ascii="Calibri" w:eastAsia="Microsoft YaHei"/>
                <w:color w:val="000000"/>
                <w:sz w:val="20"/>
                <w:szCs w:val="20"/>
              </w:rPr>
              <w:t xml:space="preserve">Python + Feature Store</w:t>
            </w:r>
          </w:p>
        </w:tc>
        <w:tc>
          <w:tcPr>
            <w:tcW w:type="pct" w:w="18%"/>
            <w:tcMar>
              <w:top w:type="dxa" w:w="50"/>
              <w:left w:type="dxa" w:w="100"/>
              <w:bottom w:type="dxa" w:w="50"/>
              <w:right w:type="dxa" w:w="100"/>
            </w:tcMar>
          </w:tcPr>
          <w:p>
            <w:r>
              <w:rPr>
                <w:rFonts w:ascii="Calibri" w:eastAsia="Microsoft YaHei"/>
                <w:color w:val="000000"/>
                <w:sz w:val="20"/>
                <w:szCs w:val="20"/>
              </w:rPr>
              <w:t xml:space="preserve">&lt;5 мин (near real-time)</w:t>
            </w:r>
          </w:p>
        </w:tc>
        <w:tc>
          <w:tcPr>
            <w:tcW w:type="pct" w:w="16%"/>
            <w:tcMar>
              <w:top w:type="dxa" w:w="50"/>
              <w:left w:type="dxa" w:w="100"/>
              <w:bottom w:type="dxa" w:w="50"/>
              <w:right w:type="dxa" w:w="100"/>
            </w:tcMar>
          </w:tcPr>
          <w:p>
            <w:r>
              <w:rPr>
                <w:rFonts w:ascii="Calibri" w:eastAsia="Microsoft YaHei"/>
                <w:color w:val="000000"/>
                <w:sz w:val="20"/>
                <w:szCs w:val="20"/>
              </w:rPr>
              <w:t xml:space="preserve">0.87 F1 на тесте</w:t>
            </w:r>
          </w:p>
        </w:tc>
        <w:tc>
          <w:tcPr>
            <w:tcW w:type="pct" w:w="22%"/>
            <w:tcMar>
              <w:top w:type="dxa" w:w="50"/>
              <w:left w:type="dxa" w:w="100"/>
              <w:bottom w:type="dxa" w:w="50"/>
              <w:right w:type="dxa" w:w="100"/>
            </w:tcMar>
          </w:tcPr>
          <w:p>
            <w:r>
              <w:rPr>
                <w:rFonts w:ascii="Calibri" w:eastAsia="Microsoft YaHei"/>
                <w:color w:val="000000"/>
                <w:sz w:val="20"/>
                <w:szCs w:val="20"/>
              </w:rPr>
              <w:t xml:space="preserve">Risk Score + Alert</w:t>
            </w:r>
          </w:p>
        </w:tc>
      </w:tr>
      <w:tr>
        <w:trPr>
          <w:cantSplit/>
        </w:trPr>
        <w:tc>
          <w:tcPr>
            <w:tcW w:type="pct" w:w="14%"/>
            <w:shd w:fill="F5F2E8" w:val="clear"/>
            <w:tcMar>
              <w:top w:type="dxa" w:w="50"/>
              <w:left w:type="dxa" w:w="100"/>
              <w:bottom w:type="dxa" w:w="50"/>
              <w:right w:type="dxa" w:w="100"/>
            </w:tcMar>
          </w:tcPr>
          <w:p>
            <w:r>
              <w:rPr>
                <w:rFonts w:ascii="Calibri" w:eastAsia="Microsoft YaHei"/>
                <w:color w:val="000000"/>
                <w:sz w:val="20"/>
                <w:szCs w:val="20"/>
              </w:rPr>
              <w:t xml:space="preserve">GNN Model</w:t>
            </w:r>
          </w:p>
        </w:tc>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Python + PyG</w:t>
            </w:r>
          </w:p>
        </w:tc>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&lt;15 мин (batch)</w:t>
            </w:r>
          </w:p>
        </w:tc>
        <w:tc>
          <w:tcPr>
            <w:tcW w:type="pct" w:w="16%"/>
            <w:shd w:fill="F5F2E8" w:val="clear"/>
            <w:tcMar>
              <w:top w:type="dxa" w:w="50"/>
              <w:left w:type="dxa" w:w="100"/>
              <w:bottom w:type="dxa" w:w="50"/>
              <w:right w:type="dxa" w:w="100"/>
            </w:tcMar>
          </w:tcPr>
          <w:p>
            <w:r>
              <w:rPr>
                <w:rFonts w:ascii="Calibri" w:eastAsia="Microsoft YaHei"/>
                <w:color w:val="000000"/>
                <w:sz w:val="20"/>
                <w:szCs w:val="20"/>
              </w:rPr>
              <w:t xml:space="preserve">0.82 F1 на тесте</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Network Alert + Visualize</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Chain Analysis</w:t>
            </w:r>
          </w:p>
        </w:tc>
        <w:tc>
          <w:tcPr>
            <w:tcW w:type="pct" w:w="18%"/>
            <w:tcMar>
              <w:top w:type="dxa" w:w="50"/>
              <w:left w:type="dxa" w:w="100"/>
              <w:bottom w:type="dxa" w:w="50"/>
              <w:right w:type="dxa" w:w="100"/>
            </w:tcMar>
          </w:tcPr>
          <w:p>
            <w:r>
              <w:rPr>
                <w:rFonts w:ascii="Calibri" w:eastAsia="Microsoft YaHei"/>
                <w:color w:val="000000"/>
                <w:sz w:val="20"/>
                <w:szCs w:val="20"/>
              </w:rPr>
              <w:t xml:space="preserve">External API (Chainalysis)</w:t>
            </w:r>
          </w:p>
        </w:tc>
        <w:tc>
          <w:tcPr>
            <w:tcW w:type="pct" w:w="18%"/>
            <w:tcMar>
              <w:top w:type="dxa" w:w="50"/>
              <w:left w:type="dxa" w:w="100"/>
              <w:bottom w:type="dxa" w:w="50"/>
              <w:right w:type="dxa" w:w="100"/>
            </w:tcMar>
          </w:tcPr>
          <w:p>
            <w:r>
              <w:rPr>
                <w:rFonts w:ascii="Calibri" w:eastAsia="Microsoft YaHei"/>
                <w:color w:val="000000"/>
                <w:sz w:val="20"/>
                <w:szCs w:val="20"/>
              </w:rPr>
              <w:t xml:space="preserve">&lt;30 сек per tx</w:t>
            </w:r>
          </w:p>
        </w:tc>
        <w:tc>
          <w:tcPr>
            <w:tcW w:type="pct" w:w="16%"/>
            <w:tcMar>
              <w:top w:type="dxa" w:w="50"/>
              <w:left w:type="dxa" w:w="100"/>
              <w:bottom w:type="dxa" w:w="50"/>
              <w:right w:type="dxa" w:w="100"/>
            </w:tcMar>
          </w:tcPr>
          <w:p>
            <w:r>
              <w:rPr>
                <w:rFonts w:ascii="Calibri" w:eastAsia="Microsoft YaHei"/>
                <w:color w:val="000000"/>
                <w:sz w:val="20"/>
                <w:szCs w:val="20"/>
              </w:rPr>
              <w:t xml:space="preserve">N/A (vendor)</w:t>
            </w:r>
          </w:p>
        </w:tc>
        <w:tc>
          <w:tcPr>
            <w:tcW w:type="pct" w:w="22%"/>
            <w:tcMar>
              <w:top w:type="dxa" w:w="50"/>
              <w:left w:type="dxa" w:w="100"/>
              <w:bottom w:type="dxa" w:w="50"/>
              <w:right w:type="dxa" w:w="100"/>
            </w:tcMar>
          </w:tcPr>
          <w:p>
            <w:r>
              <w:rPr>
                <w:rFonts w:ascii="Calibri" w:eastAsia="Microsoft YaHei"/>
                <w:color w:val="000000"/>
                <w:sz w:val="20"/>
                <w:szCs w:val="20"/>
              </w:rPr>
              <w:t xml:space="preserve">Source of funds check</w:t>
            </w:r>
          </w:p>
        </w:tc>
      </w:tr>
    </w:tbl>
    <w:p>
      <w:pPr>
        <w:spacing w:after="200" w:before="80" w:line="312"/>
        <w:jc w:val="center"/>
      </w:pPr>
      <w:r>
        <w:rPr>
          <w:rFonts w:ascii="Calibri" w:eastAsia="Microsoft YaHei"/>
          <w:i/>
          <w:iCs/>
          <w:color w:val="4A6575"/>
          <w:sz w:val="21"/>
          <w:szCs w:val="21"/>
        </w:rPr>
        <w:t xml:space="preserve">Таблица 3. Компоненты Compliance Engine</w:t>
      </w:r>
    </w:p>
    <w:p>
      <w:pPr>
        <w:pStyle w:val="Heading1"/>
        <w:spacing w:after="160" w:before="360" w:line="312"/>
      </w:pPr>
      <w:bookmarkStart w:id="100013" w:name="_Toc100013"/>
      <w:r>
        <w:rPr>
          <w:rFonts w:ascii="Calibri" w:eastAsia="SimHei"/>
          <w:b/>
          <w:bCs/>
          <w:color w:val="0F2027"/>
          <w:sz w:val="32"/>
          <w:szCs w:val="32"/>
        </w:rPr>
        <w:t xml:space="preserve">Payments &amp; Settlement: детальный дизайн</w:t>
      </w:r>
      <w:bookmarkEnd w:id="100013"/>
    </w:p>
    <w:p>
      <w:pPr>
        <w:pStyle w:val="Heading2"/>
        <w:spacing w:after="120" w:before="240" w:line="312"/>
      </w:pPr>
      <w:bookmarkStart w:id="100014" w:name="_Toc100014"/>
      <w:r>
        <w:rPr>
          <w:rFonts w:ascii="Calibri" w:eastAsia="SimHei"/>
          <w:b/>
          <w:bCs/>
          <w:color w:val="0F2027"/>
          <w:sz w:val="28"/>
          <w:szCs w:val="28"/>
        </w:rPr>
        <w:t xml:space="preserve">Saga-паттерн для кросс-бордер платежей</w:t>
      </w:r>
      <w:bookmarkEnd w:id="100014"/>
    </w:p>
    <w:p>
      <w:pPr>
        <w:spacing w:after="120" w:line="312"/>
        <w:ind w:firstLine="480"/>
        <w:jc w:val="both"/>
      </w:pPr>
      <w:r>
        <w:rPr>
          <w:rFonts w:ascii="Calibri" w:eastAsia="Microsoft YaHei"/>
          <w:color w:val="000000"/>
          <w:sz w:val="24"/>
          <w:szCs w:val="24"/>
        </w:rPr>
        <w:t xml:space="preserve">Кросс-бордер платёж — наиболее сложная бизнес-операция платформы, охватывающая до 7 внешних систем и требующая гарантий атомарности. Реализация через orchestrated saga обеспечивает: либо платёж проходит полностью через все шаги, либо все промежуточные изменения компенсируются, и система возвращается в исходное состояние. Координатор саги (Payment Service) сохраняет состояние каждого шага в таблице saga_state, что позволяет восстановить выполнение после сбоя координатора.</w:t>
      </w:r>
    </w:p>
    <w:p>
      <w:pPr>
        <w:spacing w:after="120" w:line="312"/>
        <w:ind w:firstLine="480"/>
        <w:jc w:val="both"/>
      </w:pPr>
      <w:r>
        <w:rPr>
          <w:rFonts w:ascii="Calibri" w:eastAsia="Microsoft YaHei"/>
          <w:color w:val="000000"/>
          <w:sz w:val="24"/>
          <w:szCs w:val="24"/>
        </w:rPr>
        <w:t xml:space="preserve">Happy path саги кросс-бордер платежа включает следующие шаги: 1) ValidateCorridor — проверка доступности коридора, лимитов и санкций (&lt;50 мс); 2) CurrencyControlValidation — формирование документов валютного контроля по 173-ФЗ (&lt;1 сек); 3) ReserveFunds — заморозка средств пользователя в Custody (&lt;100 мс); 4) ReserveLiquidity — резервирование ликвидности на внешней бирже через liquidity bridge (&lt;2 сек); 5) ExecuteConversion — конвертация валюты по зафиксированному курсу (&lt;500 мс); 6) SendToBank — отправка SWIFT/SPFS инструкции банку-корреспонденту (&lt;5 сек); 7) WaitForSettlement — ожидание подтверждения расчёта (до 48 часов, async).</w:t>
      </w:r>
    </w:p>
    <w:p>
      <w:pPr>
        <w:pStyle w:val="Heading2"/>
        <w:spacing w:after="120" w:before="240" w:line="312"/>
      </w:pPr>
      <w:bookmarkStart w:id="100015" w:name="_Toc100015"/>
      <w:r>
        <w:rPr>
          <w:rFonts w:ascii="Calibri" w:eastAsia="SimHei"/>
          <w:b/>
          <w:bCs/>
          <w:color w:val="0F2027"/>
          <w:sz w:val="28"/>
          <w:szCs w:val="28"/>
        </w:rPr>
        <w:t xml:space="preserve">Plug-in архитектура коридоров</w:t>
      </w:r>
      <w:bookmarkEnd w:id="100015"/>
    </w:p>
    <w:p>
      <w:pPr>
        <w:spacing w:after="120" w:line="312"/>
        <w:ind w:firstLine="480"/>
        <w:jc w:val="both"/>
      </w:pPr>
      <w:r>
        <w:rPr>
          <w:rFonts w:ascii="Calibri" w:eastAsia="Microsoft YaHei"/>
          <w:color w:val="000000"/>
          <w:sz w:val="24"/>
          <w:szCs w:val="24"/>
        </w:rPr>
        <w:t xml:space="preserve">Каждый платёжный коридор реализован как plug-in, соответствующий интерфейсу CorridorPlugin. Интерфейс определяет пять методов: validate(context) — проверка возможности платежа по данному коридору; execute(context) — выполнение платежа; settle(context) — подтверждение расчёта; compensate(context) — отмена и возврат; getStatus(transactionId) — запрос текущего статуса. Это позволяет добавлять новые географические направления (RU-CN, RU-AE, RU-IN, RU-TR и т.д.) без изменения ядра платформы, что критически важно для быстрой адаптации к изменяющимся геополитическим условиям.</w:t>
      </w:r>
    </w:p>
    <w:p>
      <w:pPr>
        <w:spacing w:after="120" w:line="312"/>
        <w:ind w:firstLine="480"/>
        <w:jc w:val="both"/>
      </w:pPr>
      <w:r>
        <w:rPr>
          <w:rFonts w:ascii="Calibri" w:eastAsia="Microsoft YaHei"/>
          <w:color w:val="000000"/>
          <w:sz w:val="24"/>
          <w:szCs w:val="24"/>
        </w:rPr>
        <w:t xml:space="preserve">Каждый коридор имеет собственную конфигурацию: supported_currencies, min/max_amount, fee_structure, estimated_time, required_documents, sanctions_check_rules. Конфигурация хранится в PostgreSQL и кэшируется в Redis. При добавлении нового коридора достаточно зарегистрировать plug-in через Admin Panel, после чего он автоматически станет доступен через API /payments/corridors. Тестирование нового коридора осуществляется в sandbox-окружении с mock-провайдерами перед переключением в production.</w:t>
      </w:r>
    </w:p>
    <w:p>
      <w:pPr>
        <w:pStyle w:val="Heading2"/>
        <w:spacing w:after="120" w:before="240" w:line="312"/>
      </w:pPr>
      <w:bookmarkStart w:id="100016" w:name="_Toc100016"/>
      <w:r>
        <w:rPr>
          <w:rFonts w:ascii="Calibri" w:eastAsia="SimHei"/>
          <w:b/>
          <w:bCs/>
          <w:color w:val="0F2027"/>
          <w:sz w:val="28"/>
          <w:szCs w:val="28"/>
        </w:rPr>
        <w:t xml:space="preserve">Валютный контроль (173-ФЗ)</w:t>
      </w:r>
      <w:bookmarkEnd w:id="100016"/>
    </w:p>
    <w:p>
      <w:pPr>
        <w:spacing w:after="120" w:line="312"/>
        <w:ind w:firstLine="480"/>
        <w:jc w:val="both"/>
      </w:pPr>
      <w:r>
        <w:rPr>
          <w:rFonts w:ascii="Calibri" w:eastAsia="Microsoft YaHei"/>
          <w:color w:val="000000"/>
          <w:sz w:val="24"/>
          <w:szCs w:val="24"/>
        </w:rPr>
        <w:t xml:space="preserve">Модуль валютного контроля автоматически формирует документы, требуемые законодательством РФ при осуществлении трансграничных переводов. Для каждого платежа формируется паспорт сделки (для сумм свыше 50 000 USD-эквивалента), указывается код валютной операции и подтверждающие документы. Интеграция с банком-агентом осуществляется через унифицированный формат электронного документа (УФЭД), что позволяет автоматизировать процесс подачи документов и отслеживания статуса валютного контроля. Все документы хранятся в MinIO с шифрованием по ГОСТ и доступны для проверки регулятором через Data Room.</w:t>
      </w:r>
    </w:p>
    <w:p>
      <w:pPr>
        <w:pStyle w:val="Heading1"/>
        <w:spacing w:after="160" w:before="360" w:line="312"/>
      </w:pPr>
      <w:bookmarkStart w:id="100017" w:name="_Toc100017"/>
      <w:r>
        <w:rPr>
          <w:rFonts w:ascii="Calibri" w:eastAsia="SimHei"/>
          <w:b/>
          <w:bCs/>
          <w:color w:val="0F2027"/>
          <w:sz w:val="32"/>
          <w:szCs w:val="32"/>
        </w:rPr>
        <w:t xml:space="preserve">Market Data Service: детальный дизайн</w:t>
      </w:r>
      <w:bookmarkEnd w:id="100017"/>
    </w:p>
    <w:p>
      <w:pPr>
        <w:pStyle w:val="Heading2"/>
        <w:spacing w:after="120" w:before="240" w:line="312"/>
      </w:pPr>
      <w:bookmarkStart w:id="100018" w:name="_Toc100018"/>
      <w:r>
        <w:rPr>
          <w:rFonts w:ascii="Calibri" w:eastAsia="SimHei"/>
          <w:b/>
          <w:bCs/>
          <w:color w:val="0F2027"/>
          <w:sz w:val="28"/>
          <w:szCs w:val="28"/>
        </w:rPr>
        <w:t xml:space="preserve">Архитектура сбора и распространения данных</w:t>
      </w:r>
      <w:bookmarkEnd w:id="100018"/>
    </w:p>
    <w:p>
      <w:pPr>
        <w:spacing w:after="120" w:line="312"/>
        <w:ind w:firstLine="480"/>
        <w:jc w:val="both"/>
      </w:pPr>
      <w:r>
        <w:rPr>
          <w:rFonts w:ascii="Calibri" w:eastAsia="Microsoft YaHei"/>
          <w:color w:val="000000"/>
          <w:sz w:val="24"/>
          <w:szCs w:val="24"/>
        </w:rPr>
        <w:t xml:space="preserve">Market Data Service отвечает за сбор, обработку и дистрибуцию рыночных данных в реальном времени. Сервис построен на двух временных горизонтах: hot path (real-time, latency &lt;100 мс) для WebSocket-стриминга тиков и стаканов, и warm path (near real-time, latency &lt;5 сек) для формирования свечей и агрегированной статистики. Hot path использует in-memory ring buffer размером 10 000 последних тиков на инструмент, обеспечивая O(1) чтение и запись. Warm path использует TimescaleDB continuous aggregates для автоматического пересчёта OHLCV свечей.</w:t>
      </w:r>
    </w:p>
    <w:p>
      <w:pPr>
        <w:spacing w:after="120" w:line="312"/>
        <w:ind w:firstLine="480"/>
        <w:jc w:val="both"/>
      </w:pPr>
      <w:r>
        <w:rPr>
          <w:rFonts w:ascii="Calibri" w:eastAsia="Microsoft YaHei"/>
          <w:color w:val="000000"/>
          <w:sz w:val="24"/>
          <w:szCs w:val="24"/>
        </w:rPr>
        <w:t xml:space="preserve">Дистрибуция данных осуществляется через три канала: WebSocket (для real-time подписок клиентов, до 1M одновременных подключений), REST API (для исторических запросов, с pagination через cursor) и Kafka topic market-data.events (для внутренних потребителей — Compliance, Analytics, Reporting). WebSocket-стриминг реализован через delta-encoding: вместо отправки полного стакана при каждом изменении, отправляются только изменившиеся уровни (incremental updates). Это снижает bandwidth в 10-50 раз по сравнению с full snapshot approach.</w:t>
      </w:r>
    </w:p>
    <w:p>
      <w:pPr>
        <w:pStyle w:val="Heading2"/>
        <w:spacing w:after="120" w:before="240" w:line="312"/>
      </w:pPr>
      <w:bookmarkStart w:id="100019" w:name="_Toc100019"/>
      <w:r>
        <w:rPr>
          <w:rFonts w:ascii="Calibri" w:eastAsia="SimHei"/>
          <w:b/>
          <w:bCs/>
          <w:color w:val="0F2027"/>
          <w:sz w:val="28"/>
          <w:szCs w:val="28"/>
        </w:rPr>
        <w:t xml:space="preserve">TimescaleDB для time-series данных</w:t>
      </w:r>
      <w:bookmarkEnd w:id="100019"/>
    </w:p>
    <w:p>
      <w:pPr>
        <w:spacing w:after="120" w:line="312"/>
        <w:ind w:firstLine="480"/>
        <w:jc w:val="both"/>
      </w:pPr>
      <w:r>
        <w:rPr>
          <w:rFonts w:ascii="Calibri" w:eastAsia="Microsoft YaHei"/>
          <w:color w:val="000000"/>
          <w:sz w:val="24"/>
          <w:szCs w:val="24"/>
        </w:rPr>
        <w:t xml:space="preserve">TimescaleDB используется как основное хранилище исторических рыночных данных. Гипертаблицы (hypertables) настраиваются с chunk_time_interval = 1 день для тиков и 1 месяц для дневных свечей. Compression политики: тики старше 30 дней автоматически сжимаются (compression ratio 90-95%), свечи не сжимаются. Retention: тики хранятся 2 года, минутные свечи — бессрочно. Continuous aggregates создают материализованные представления для каждого timeframe: 1m, 5m, 15m, 1h, 4h, 1d, 1w. Обновление агрегатов происходит автоматически при вставке новых данных через incremental refresh.</w:t>
      </w:r>
    </w:p>
    <w:p>
      <w:pPr>
        <w:spacing w:after="120" w:line="312"/>
        <w:ind w:firstLine="480"/>
        <w:jc w:val="both"/>
      </w:pPr>
      <w:r>
        <w:rPr>
          <w:rFonts w:ascii="Calibri" w:eastAsia="Microsoft YaHei"/>
          <w:color w:val="000000"/>
          <w:sz w:val="24"/>
          <w:szCs w:val="24"/>
        </w:rPr>
        <w:t xml:space="preserve">Оптимизация запросов: для запросов последних N свечей используется index scan по убыванию timestamp (BRIN index). Для range-запросов (from/to) — bitmap index scan. Для популярных запросов (последние 500 свечей BTC/RUB 1h) используется PostgreSQL materialized view с ручным refresh каждые 5 минут. Пиковая нагрузка на запись: 100 000 тиков/сек при active trading, что обеспечивается batch insert по 1000 записей через COPY protocol.</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tblGrid>
      <w:tr>
        <w:trPr>
          <w:cantSplit/>
          <w:tblHeader/>
        </w:trPr>
        <w:tc>
          <w:tcPr>
            <w:tcW w:type="pct" w:w="14%"/>
            <w:shd w:fill="C9A84C" w:val="clear"/>
            <w:tcMar>
              <w:top w:type="dxa" w:w="60"/>
              <w:left w:type="dxa" w:w="120"/>
              <w:bottom w:type="dxa" w:w="60"/>
              <w:right w:type="dxa" w:w="120"/>
            </w:tcMar>
          </w:tcPr>
          <w:p>
            <w:r>
              <w:rPr>
                <w:rFonts w:ascii="Calibri" w:eastAsia="SimHei"/>
                <w:b/>
                <w:bCs/>
                <w:color w:val="1A1A1A"/>
                <w:sz w:val="21"/>
                <w:szCs w:val="21"/>
              </w:rPr>
              <w:t xml:space="preserve">Тип данных</w:t>
            </w:r>
          </w:p>
        </w:tc>
        <w:tc>
          <w:tcPr>
            <w:tcW w:type="pct" w:w="22%"/>
            <w:shd w:fill="C9A84C" w:val="clear"/>
            <w:tcMar>
              <w:top w:type="dxa" w:w="60"/>
              <w:left w:type="dxa" w:w="120"/>
              <w:bottom w:type="dxa" w:w="60"/>
              <w:right w:type="dxa" w:w="120"/>
            </w:tcMar>
          </w:tcPr>
          <w:p>
            <w:r>
              <w:rPr>
                <w:rFonts w:ascii="Calibri" w:eastAsia="SimHei"/>
                <w:b/>
                <w:bCs/>
                <w:color w:val="1A1A1A"/>
                <w:sz w:val="21"/>
                <w:szCs w:val="21"/>
              </w:rPr>
              <w:t xml:space="preserve">Хранилище</w:t>
            </w:r>
          </w:p>
        </w:tc>
        <w:tc>
          <w:tcPr>
            <w:tcW w:type="pct" w:w="16%"/>
            <w:shd w:fill="C9A84C" w:val="clear"/>
            <w:tcMar>
              <w:top w:type="dxa" w:w="60"/>
              <w:left w:type="dxa" w:w="120"/>
              <w:bottom w:type="dxa" w:w="60"/>
              <w:right w:type="dxa" w:w="120"/>
            </w:tcMar>
          </w:tcPr>
          <w:p>
            <w:r>
              <w:rPr>
                <w:rFonts w:ascii="Calibri" w:eastAsia="SimHei"/>
                <w:b/>
                <w:bCs/>
                <w:color w:val="1A1A1A"/>
                <w:sz w:val="21"/>
                <w:szCs w:val="21"/>
              </w:rPr>
              <w:t xml:space="preserve">Retention</w:t>
            </w:r>
          </w:p>
        </w:tc>
        <w:tc>
          <w:tcPr>
            <w:tcW w:type="pct" w:w="22%"/>
            <w:shd w:fill="C9A84C" w:val="clear"/>
            <w:tcMar>
              <w:top w:type="dxa" w:w="60"/>
              <w:left w:type="dxa" w:w="120"/>
              <w:bottom w:type="dxa" w:w="60"/>
              <w:right w:type="dxa" w:w="120"/>
            </w:tcMar>
          </w:tcPr>
          <w:p>
            <w:r>
              <w:rPr>
                <w:rFonts w:ascii="Calibri" w:eastAsia="SimHei"/>
                <w:b/>
                <w:bCs/>
                <w:color w:val="1A1A1A"/>
                <w:sz w:val="21"/>
                <w:szCs w:val="21"/>
              </w:rPr>
              <w:t xml:space="preserve">Compression</w:t>
            </w:r>
          </w:p>
        </w:tc>
        <w:tc>
          <w:tcPr>
            <w:tcW w:type="pct" w:w="16%"/>
            <w:shd w:fill="C9A84C" w:val="clear"/>
            <w:tcMar>
              <w:top w:type="dxa" w:w="60"/>
              <w:left w:type="dxa" w:w="120"/>
              <w:bottom w:type="dxa" w:w="60"/>
              <w:right w:type="dxa" w:w="120"/>
            </w:tcMar>
          </w:tcPr>
          <w:p>
            <w:r>
              <w:rPr>
                <w:rFonts w:ascii="Calibri" w:eastAsia="SimHei"/>
                <w:b/>
                <w:bCs/>
                <w:color w:val="1A1A1A"/>
                <w:sz w:val="21"/>
                <w:szCs w:val="21"/>
              </w:rPr>
              <w:t xml:space="preserve">Запросы/сек</w:t>
            </w:r>
          </w:p>
        </w:tc>
      </w:tr>
      <w:tr>
        <w:trPr>
          <w:cantSplit/>
        </w:trPr>
        <w:tc>
          <w:tcPr>
            <w:tcW w:type="pct" w:w="14%"/>
            <w:shd w:fill="F5F2E8" w:val="clear"/>
            <w:tcMar>
              <w:top w:type="dxa" w:w="50"/>
              <w:left w:type="dxa" w:w="100"/>
              <w:bottom w:type="dxa" w:w="50"/>
              <w:right w:type="dxa" w:w="100"/>
            </w:tcMar>
          </w:tcPr>
          <w:p>
            <w:r>
              <w:rPr>
                <w:rFonts w:ascii="Calibri" w:eastAsia="Microsoft YaHei"/>
                <w:color w:val="000000"/>
                <w:sz w:val="20"/>
                <w:szCs w:val="20"/>
              </w:rPr>
              <w:t xml:space="preserve">Тики (ticks)</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TimescaleDB hypertable</w:t>
            </w:r>
          </w:p>
        </w:tc>
        <w:tc>
          <w:tcPr>
            <w:tcW w:type="pct" w:w="16%"/>
            <w:shd w:fill="F5F2E8" w:val="clear"/>
            <w:tcMar>
              <w:top w:type="dxa" w:w="50"/>
              <w:left w:type="dxa" w:w="100"/>
              <w:bottom w:type="dxa" w:w="50"/>
              <w:right w:type="dxa" w:w="100"/>
            </w:tcMar>
          </w:tcPr>
          <w:p>
            <w:r>
              <w:rPr>
                <w:rFonts w:ascii="Calibri" w:eastAsia="Microsoft YaHei"/>
                <w:color w:val="000000"/>
                <w:sz w:val="20"/>
                <w:szCs w:val="20"/>
              </w:rPr>
              <w:t xml:space="preserve">2 года</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После 30 дней (95% ratio)</w:t>
            </w:r>
          </w:p>
        </w:tc>
        <w:tc>
          <w:tcPr>
            <w:tcW w:type="pct" w:w="16%"/>
            <w:shd w:fill="F5F2E8" w:val="clear"/>
            <w:tcMar>
              <w:top w:type="dxa" w:w="50"/>
              <w:left w:type="dxa" w:w="100"/>
              <w:bottom w:type="dxa" w:w="50"/>
              <w:right w:type="dxa" w:w="100"/>
            </w:tcMar>
          </w:tcPr>
          <w:p>
            <w:r>
              <w:rPr>
                <w:rFonts w:ascii="Calibri" w:eastAsia="Microsoft YaHei"/>
                <w:color w:val="000000"/>
                <w:sz w:val="20"/>
                <w:szCs w:val="20"/>
              </w:rPr>
              <w:t xml:space="preserve">100K writes, 1K reads</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Свечи 1m-1d</w:t>
            </w:r>
          </w:p>
        </w:tc>
        <w:tc>
          <w:tcPr>
            <w:tcW w:type="pct" w:w="22%"/>
            <w:tcMar>
              <w:top w:type="dxa" w:w="50"/>
              <w:left w:type="dxa" w:w="100"/>
              <w:bottom w:type="dxa" w:w="50"/>
              <w:right w:type="dxa" w:w="100"/>
            </w:tcMar>
          </w:tcPr>
          <w:p>
            <w:r>
              <w:rPr>
                <w:rFonts w:ascii="Calibri" w:eastAsia="Microsoft YaHei"/>
                <w:color w:val="000000"/>
                <w:sz w:val="20"/>
                <w:szCs w:val="20"/>
              </w:rPr>
              <w:t xml:space="preserve">TimescaleDB cont. aggregate</w:t>
            </w:r>
          </w:p>
        </w:tc>
        <w:tc>
          <w:tcPr>
            <w:tcW w:type="pct" w:w="16%"/>
            <w:tcMar>
              <w:top w:type="dxa" w:w="50"/>
              <w:left w:type="dxa" w:w="100"/>
              <w:bottom w:type="dxa" w:w="50"/>
              <w:right w:type="dxa" w:w="100"/>
            </w:tcMar>
          </w:tcPr>
          <w:p>
            <w:r>
              <w:rPr>
                <w:rFonts w:ascii="Calibri" w:eastAsia="Microsoft YaHei"/>
                <w:color w:val="000000"/>
                <w:sz w:val="20"/>
                <w:szCs w:val="20"/>
              </w:rPr>
              <w:t xml:space="preserve">Бессрочно</w:t>
            </w:r>
          </w:p>
        </w:tc>
        <w:tc>
          <w:tcPr>
            <w:tcW w:type="pct" w:w="22%"/>
            <w:tcMar>
              <w:top w:type="dxa" w:w="50"/>
              <w:left w:type="dxa" w:w="100"/>
              <w:bottom w:type="dxa" w:w="50"/>
              <w:right w:type="dxa" w:w="100"/>
            </w:tcMar>
          </w:tcPr>
          <w:p>
            <w:r>
              <w:rPr>
                <w:rFonts w:ascii="Calibri" w:eastAsia="Microsoft YaHei"/>
                <w:color w:val="000000"/>
                <w:sz w:val="20"/>
                <w:szCs w:val="20"/>
              </w:rPr>
              <w:t xml:space="preserve">Нет</w:t>
            </w:r>
          </w:p>
        </w:tc>
        <w:tc>
          <w:tcPr>
            <w:tcW w:type="pct" w:w="16%"/>
            <w:tcMar>
              <w:top w:type="dxa" w:w="50"/>
              <w:left w:type="dxa" w:w="100"/>
              <w:bottom w:type="dxa" w:w="50"/>
              <w:right w:type="dxa" w:w="100"/>
            </w:tcMar>
          </w:tcPr>
          <w:p>
            <w:r>
              <w:rPr>
                <w:rFonts w:ascii="Calibri" w:eastAsia="Microsoft YaHei"/>
                <w:color w:val="000000"/>
                <w:sz w:val="20"/>
                <w:szCs w:val="20"/>
              </w:rPr>
              <w:t xml:space="preserve">10K reads</w:t>
            </w:r>
          </w:p>
        </w:tc>
      </w:tr>
      <w:tr>
        <w:trPr>
          <w:cantSplit/>
        </w:trPr>
        <w:tc>
          <w:tcPr>
            <w:tcW w:type="pct" w:w="14%"/>
            <w:shd w:fill="F5F2E8" w:val="clear"/>
            <w:tcMar>
              <w:top w:type="dxa" w:w="50"/>
              <w:left w:type="dxa" w:w="100"/>
              <w:bottom w:type="dxa" w:w="50"/>
              <w:right w:type="dxa" w:w="100"/>
            </w:tcMar>
          </w:tcPr>
          <w:p>
            <w:r>
              <w:rPr>
                <w:rFonts w:ascii="Calibri" w:eastAsia="Microsoft YaHei"/>
                <w:color w:val="000000"/>
                <w:sz w:val="20"/>
                <w:szCs w:val="20"/>
              </w:rPr>
              <w:t xml:space="preserve">Стакан (L2)</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Redis (latest) + S3 (snapshots)</w:t>
            </w:r>
          </w:p>
        </w:tc>
        <w:tc>
          <w:tcPr>
            <w:tcW w:type="pct" w:w="16%"/>
            <w:shd w:fill="F5F2E8" w:val="clear"/>
            <w:tcMar>
              <w:top w:type="dxa" w:w="50"/>
              <w:left w:type="dxa" w:w="100"/>
              <w:bottom w:type="dxa" w:w="50"/>
              <w:right w:type="dxa" w:w="100"/>
            </w:tcMar>
          </w:tcPr>
          <w:p>
            <w:r>
              <w:rPr>
                <w:rFonts w:ascii="Calibri" w:eastAsia="Microsoft YaHei"/>
                <w:color w:val="000000"/>
                <w:sz w:val="20"/>
                <w:szCs w:val="20"/>
              </w:rPr>
              <w:t xml:space="preserve">7 дней Redis, 1 год S3</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Snappy (Redis)</w:t>
            </w:r>
          </w:p>
        </w:tc>
        <w:tc>
          <w:tcPr>
            <w:tcW w:type="pct" w:w="16%"/>
            <w:shd w:fill="F5F2E8" w:val="clear"/>
            <w:tcMar>
              <w:top w:type="dxa" w:w="50"/>
              <w:left w:type="dxa" w:w="100"/>
              <w:bottom w:type="dxa" w:w="50"/>
              <w:right w:type="dxa" w:w="100"/>
            </w:tcMar>
          </w:tcPr>
          <w:p>
            <w:r>
              <w:rPr>
                <w:rFonts w:ascii="Calibri" w:eastAsia="Microsoft YaHei"/>
                <w:color w:val="000000"/>
                <w:sz w:val="20"/>
                <w:szCs w:val="20"/>
              </w:rPr>
              <w:t xml:space="preserve">50K reads</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Индекс (цена)</w:t>
            </w:r>
          </w:p>
        </w:tc>
        <w:tc>
          <w:tcPr>
            <w:tcW w:type="pct" w:w="22%"/>
            <w:tcMar>
              <w:top w:type="dxa" w:w="50"/>
              <w:left w:type="dxa" w:w="100"/>
              <w:bottom w:type="dxa" w:w="50"/>
              <w:right w:type="dxa" w:w="100"/>
            </w:tcMar>
          </w:tcPr>
          <w:p>
            <w:r>
              <w:rPr>
                <w:rFonts w:ascii="Calibri" w:eastAsia="Microsoft YaHei"/>
                <w:color w:val="000000"/>
                <w:sz w:val="20"/>
                <w:szCs w:val="20"/>
              </w:rPr>
              <w:t xml:space="preserve">Redis string</w:t>
            </w:r>
          </w:p>
        </w:tc>
        <w:tc>
          <w:tcPr>
            <w:tcW w:type="pct" w:w="16%"/>
            <w:tcMar>
              <w:top w:type="dxa" w:w="50"/>
              <w:left w:type="dxa" w:w="100"/>
              <w:bottom w:type="dxa" w:w="50"/>
              <w:right w:type="dxa" w:w="100"/>
            </w:tcMar>
          </w:tcPr>
          <w:p>
            <w:r>
              <w:rPr>
                <w:rFonts w:ascii="Calibri" w:eastAsia="Microsoft YaHei"/>
                <w:color w:val="000000"/>
                <w:sz w:val="20"/>
                <w:szCs w:val="20"/>
              </w:rPr>
              <w:t xml:space="preserve">Real-time</w:t>
            </w:r>
          </w:p>
        </w:tc>
        <w:tc>
          <w:tcPr>
            <w:tcW w:type="pct" w:w="22%"/>
            <w:tcMar>
              <w:top w:type="dxa" w:w="50"/>
              <w:left w:type="dxa" w:w="100"/>
              <w:bottom w:type="dxa" w:w="50"/>
              <w:right w:type="dxa" w:w="100"/>
            </w:tcMar>
          </w:tcPr>
          <w:p>
            <w:r>
              <w:rPr>
                <w:rFonts w:ascii="Calibri" w:eastAsia="Microsoft YaHei"/>
                <w:color w:val="000000"/>
                <w:sz w:val="20"/>
                <w:szCs w:val="20"/>
              </w:rPr>
              <w:t xml:space="preserve">Нет</w:t>
            </w:r>
          </w:p>
        </w:tc>
        <w:tc>
          <w:tcPr>
            <w:tcW w:type="pct" w:w="16%"/>
            <w:tcMar>
              <w:top w:type="dxa" w:w="50"/>
              <w:left w:type="dxa" w:w="100"/>
              <w:bottom w:type="dxa" w:w="50"/>
              <w:right w:type="dxa" w:w="100"/>
            </w:tcMar>
          </w:tcPr>
          <w:p>
            <w:r>
              <w:rPr>
                <w:rFonts w:ascii="Calibri" w:eastAsia="Microsoft YaHei"/>
                <w:color w:val="000000"/>
                <w:sz w:val="20"/>
                <w:szCs w:val="20"/>
              </w:rPr>
              <w:t xml:space="preserve">100K reads</w:t>
            </w:r>
          </w:p>
        </w:tc>
      </w:tr>
    </w:tbl>
    <w:p>
      <w:pPr>
        <w:spacing w:after="200" w:before="80" w:line="312"/>
        <w:jc w:val="center"/>
      </w:pPr>
      <w:r>
        <w:rPr>
          <w:rFonts w:ascii="Calibri" w:eastAsia="Microsoft YaHei"/>
          <w:i/>
          <w:iCs/>
          <w:color w:val="4A6575"/>
          <w:sz w:val="21"/>
          <w:szCs w:val="21"/>
        </w:rPr>
        <w:t xml:space="preserve">Таблица 4. Хранение рыночных данных</w:t>
      </w:r>
    </w:p>
    <w:p>
      <w:pPr>
        <w:pStyle w:val="Heading1"/>
        <w:spacing w:after="160" w:before="360" w:line="312"/>
      </w:pPr>
      <w:bookmarkStart w:id="100020" w:name="_Toc100020"/>
      <w:r>
        <w:rPr>
          <w:rFonts w:ascii="Calibri" w:eastAsia="SimHei"/>
          <w:b/>
          <w:bCs/>
          <w:color w:val="0F2027"/>
          <w:sz w:val="32"/>
          <w:szCs w:val="32"/>
        </w:rPr>
        <w:t xml:space="preserve">Identity &amp; Access Management: детальный дизайн</w:t>
      </w:r>
      <w:bookmarkEnd w:id="100020"/>
    </w:p>
    <w:p>
      <w:pPr>
        <w:pStyle w:val="Heading2"/>
        <w:spacing w:after="120" w:before="240" w:line="312"/>
      </w:pPr>
      <w:bookmarkStart w:id="100021" w:name="_Toc100021"/>
      <w:r>
        <w:rPr>
          <w:rFonts w:ascii="Calibri" w:eastAsia="SimHei"/>
          <w:b/>
          <w:bCs/>
          <w:color w:val="0F2027"/>
          <w:sz w:val="28"/>
          <w:szCs w:val="28"/>
        </w:rPr>
        <w:t xml:space="preserve">Конвейер верификации KYC</w:t>
      </w:r>
      <w:bookmarkEnd w:id="100021"/>
    </w:p>
    <w:p>
      <w:pPr>
        <w:spacing w:after="120" w:line="312"/>
        <w:ind w:firstLine="480"/>
        <w:jc w:val="both"/>
      </w:pPr>
      <w:r>
        <w:rPr>
          <w:rFonts w:ascii="Calibri" w:eastAsia="Microsoft YaHei"/>
          <w:color w:val="000000"/>
          <w:sz w:val="24"/>
          <w:szCs w:val="24"/>
        </w:rPr>
        <w:t xml:space="preserve">Конвейер KYC-верификации реализован как state machine с шестью состояниями: UNINITIATED → PHONE_VERIFIED → DOCUMENT_VERIFIED → SELFIE_VERIFIED → ADDRESS_VERIFIED → FULLY_VERIFIED (или LIMITED / REJECTED на любом этапе). Переходы между состояниями инициируются пользователем через REST API и обрабатываются асинхронно через ML pipeline. Каждое состояние соответствует уровню доступа: PHONE_VERIFIED → Level 0 (только просмотр), DOCUMENT_VERIFIED → Level 1 (депозиты), FULLY_VERIFIED → Level 2 (полный доступ).</w:t>
      </w:r>
    </w:p>
    <w:p>
      <w:pPr>
        <w:spacing w:after="120" w:line="312"/>
        <w:ind w:firstLine="480"/>
        <w:jc w:val="both"/>
      </w:pPr>
      <w:r>
        <w:rPr>
          <w:rFonts w:ascii="Calibri" w:eastAsia="Microsoft YaHei"/>
          <w:color w:val="000000"/>
          <w:sz w:val="24"/>
          <w:szCs w:val="24"/>
        </w:rPr>
        <w:t xml:space="preserve">OCR-обработка документов использует fine-tuned модель на базе PaddleOCR с дополнительной валидацией формата российских паспортов (серия, номер, код подразделения, дата выдачи). Confidence score ниже 0.85 автоматически инициирует ручную проверку. Биометрическая верификация включает liveness detection (3D depth analysis + eye blink + head movement) и face matching между selfie и фото из документа. Порог совпадения — 0.90 cosine similarity; при значении 0.80-0.90 назначается ручная проверка, ниже 0.80 — автоматический отказ.</w:t>
      </w:r>
    </w:p>
    <w:p>
      <w:pPr>
        <w:pStyle w:val="Heading2"/>
        <w:spacing w:after="120" w:before="240" w:line="312"/>
      </w:pPr>
      <w:bookmarkStart w:id="100022" w:name="_Toc100022"/>
      <w:r>
        <w:rPr>
          <w:rFonts w:ascii="Calibri" w:eastAsia="SimHei"/>
          <w:b/>
          <w:bCs/>
          <w:color w:val="0F2027"/>
          <w:sz w:val="28"/>
          <w:szCs w:val="28"/>
        </w:rPr>
        <w:t xml:space="preserve">Интеграция с ЕСИА (Госуслуги)</w:t>
      </w:r>
      <w:bookmarkEnd w:id="100022"/>
    </w:p>
    <w:p>
      <w:pPr>
        <w:spacing w:after="120" w:line="312"/>
        <w:ind w:firstLine="480"/>
        <w:jc w:val="both"/>
      </w:pPr>
      <w:r>
        <w:rPr>
          <w:rFonts w:ascii="Calibri" w:eastAsia="Microsoft YaHei"/>
          <w:color w:val="000000"/>
          <w:sz w:val="24"/>
          <w:szCs w:val="24"/>
        </w:rPr>
        <w:t xml:space="preserve">Интеграция с Единой системой идентификации и аутентификации (ЕСИА) реализована через SAML 2.0/OAuth 2.0 протокол. При авторизации через Госуслуги платформа получает верифицированные данные гражданина: ФИО, дата рождения, СНИЛС, адрес регистрации. Эти данные автоматически заполняют KYC-профиль, что значительно ускоряет процесс верификации (конверсия для пользователей ЕСИА на 35% выше). Для юридических лиц интеграция с ЕГРЮЛ через API ФНС позволяет автоматически верифицировать реквизиты компании и данные руководителя.</w:t>
      </w:r>
    </w:p>
    <w:p>
      <w:pPr>
        <w:spacing w:after="120" w:line="312"/>
        <w:ind w:firstLine="480"/>
        <w:jc w:val="both"/>
      </w:pPr>
      <w:r>
        <w:rPr>
          <w:rFonts w:ascii="Calibri" w:eastAsia="Microsoft YaHei"/>
          <w:color w:val="000000"/>
          <w:sz w:val="24"/>
          <w:szCs w:val="24"/>
        </w:rPr>
        <w:t xml:space="preserve">Квалификационное тестирование инвесторов реализовано как adaptive test engine с банком из 500 вопросов по 5 категориям: основы криптовалют (100 вопросов), рыночные риски (100), технические аспекты блокчейна (100), правовое регулирование в РФ (100), налоговые последствия (100). Для каждого тестирования случайным образом выбирается 25 вопросов. Порог прохождения — 20 из 25 правильных ответов. Результат тестирования действителен 1 год. Альтернативный путь квалификации — подтверждение активов свыше 3 млн руб. через выписку из брокерского счёта или банковского депозита, верифицированную через API банка-партнёра.</w:t>
      </w:r>
    </w:p>
    <w:p>
      <w:pPr>
        <w:pStyle w:val="Heading2"/>
        <w:spacing w:after="120" w:before="240" w:line="312"/>
      </w:pPr>
      <w:bookmarkStart w:id="100023" w:name="_Toc100023"/>
      <w:r>
        <w:rPr>
          <w:rFonts w:ascii="Calibri" w:eastAsia="SimHei"/>
          <w:b/>
          <w:bCs/>
          <w:color w:val="0F2027"/>
          <w:sz w:val="28"/>
          <w:szCs w:val="28"/>
        </w:rPr>
        <w:t xml:space="preserve">RBAC + ABAC авторизация</w:t>
      </w:r>
      <w:bookmarkEnd w:id="100023"/>
    </w:p>
    <w:p>
      <w:pPr>
        <w:spacing w:after="120" w:line="312"/>
        <w:ind w:firstLine="480"/>
        <w:jc w:val="both"/>
      </w:pPr>
      <w:r>
        <w:rPr>
          <w:rFonts w:ascii="Calibri" w:eastAsia="Microsoft YaHei"/>
          <w:color w:val="000000"/>
          <w:sz w:val="24"/>
          <w:szCs w:val="24"/>
        </w:rPr>
        <w:t xml:space="preserve">Гибридная модель авторизации реализует двухфазную проверку: RBAC определяет базовые permissions на основе роли пользователя, а ABAC добавляет контекстные проверки на основе атрибутов субъекта, ресурса и среды. Авторизационное решение вычисляется по формуле: Access = RBAC(Role, Resource, Action) AND ABAC(Subject.Attributes, Resource.Attributes, Environment.Attributes, Policy). Политики ABAC описываются на языке ABAC-Policy DSL и хранятся в PostgreSQL с кэшированием в Redis (TTL 5 минут).</w:t>
      </w:r>
    </w:p>
    <w:p>
      <w:pPr>
        <w:spacing w:after="120" w:line="312"/>
        <w:ind w:firstLine="480"/>
        <w:jc w:val="both"/>
      </w:pPr>
      <w:r>
        <w:rPr>
          <w:rFonts w:ascii="Calibri" w:eastAsia="Microsoft YaHei"/>
          <w:color w:val="000000"/>
          <w:sz w:val="24"/>
          <w:szCs w:val="24"/>
        </w:rPr>
        <w:t xml:space="preserve">Пример ABAC-политики: для неквалифицированного инвестора с ролью UNQUALIFIED_INVESTOR, пытающегося купить BTC на 50 000 RUB, RBAC возвращает TRUE (разрешение TRADE_SPOT есть), но ABAC проверяет: subject.yearlyVolume(280000) + action.amount(50000) = 330000 &gt; policy.yearlyLimit(300000) → DENY. Результат авторизации кэшируется в JWT-токене как набор разрешённых действий с TTL 15 минут, что снижает нагрузку на Authorization Service при каждом запросе.</w:t>
      </w:r>
    </w:p>
    <w:p>
      <w:pPr>
        <w:pStyle w:val="Heading1"/>
        <w:spacing w:after="160" w:before="360" w:line="312"/>
      </w:pPr>
      <w:bookmarkStart w:id="100024" w:name="_Toc100024"/>
      <w:r>
        <w:rPr>
          <w:rFonts w:ascii="Calibri" w:eastAsia="SimHei"/>
          <w:b/>
          <w:bCs/>
          <w:color w:val="0F2027"/>
          <w:sz w:val="32"/>
          <w:szCs w:val="32"/>
        </w:rPr>
        <w:t xml:space="preserve">API-контракты и межсервисная коммуникация</w:t>
      </w:r>
      <w:bookmarkEnd w:id="100024"/>
    </w:p>
    <w:p>
      <w:pPr>
        <w:pStyle w:val="Heading2"/>
        <w:spacing w:after="120" w:before="240" w:line="312"/>
      </w:pPr>
      <w:bookmarkStart w:id="100025" w:name="_Toc100025"/>
      <w:r>
        <w:rPr>
          <w:rFonts w:ascii="Calibri" w:eastAsia="SimHei"/>
          <w:b/>
          <w:bCs/>
          <w:color w:val="0F2027"/>
          <w:sz w:val="28"/>
          <w:szCs w:val="28"/>
        </w:rPr>
        <w:t xml:space="preserve">OpenAPI 3.1 спецификация</w:t>
      </w:r>
      <w:bookmarkEnd w:id="100025"/>
    </w:p>
    <w:p>
      <w:pPr>
        <w:spacing w:after="120" w:line="312"/>
        <w:ind w:firstLine="480"/>
        <w:jc w:val="both"/>
      </w:pPr>
      <w:r>
        <w:rPr>
          <w:rFonts w:ascii="Calibri" w:eastAsia="Microsoft YaHei"/>
          <w:color w:val="000000"/>
          <w:sz w:val="24"/>
          <w:szCs w:val="24"/>
        </w:rPr>
        <w:t xml:space="preserve">Спецификация API контрактов между сервисами платформы описана в формате OpenAPI 3.1 и покрывает 6 ключевых API: Trading API (ордера, сделки), Wallet &amp; Custody API (балансы, депозиты, выводы), KYC/Identity API (верификация, квалификация), Payment &amp; Cross-Border API (платежи, коридоры), Market Data API (тики, свечи, стакан) и Compliance API (AML-проверки, алерты). Спецификация включает полную модель данных: 25+ схем, 30+ эндпоинтов, enum-типы для статусов и типов операций, а также примеры запросов и ответов.</w:t>
      </w:r>
    </w:p>
    <w:p>
      <w:pPr>
        <w:spacing w:after="120" w:line="312"/>
        <w:ind w:firstLine="480"/>
        <w:jc w:val="both"/>
      </w:pPr>
      <w:r>
        <w:rPr>
          <w:rFonts w:ascii="Calibri" w:eastAsia="Microsoft YaHei"/>
          <w:color w:val="000000"/>
          <w:sz w:val="24"/>
          <w:szCs w:val="24"/>
        </w:rPr>
        <w:t xml:space="preserve">Внутренние коммуникации между микросервисами используют gRPC/Protobuf для синхронных вызовов (latency-critical: баланс, резервирование средств, мэтчинг) и Apache Kafka для асинхронных событий (event-driven: уведомления, комплаенс-проверки, аналитика). Каждый gRPC-сервис определяется через .proto-файл с строгой типизацией и обратной совместимостью через semantic versioning. Kafka-события описываются через Avro schema в Schema Registry, что обеспечивает совместимость продюсеров и консьюмеров при эволюции схемы.</w:t>
      </w:r>
    </w:p>
    <w:p>
      <w:pPr>
        <w:pStyle w:val="Heading2"/>
        <w:spacing w:after="120" w:before="240" w:line="312"/>
      </w:pPr>
      <w:bookmarkStart w:id="100026" w:name="_Toc100026"/>
      <w:r>
        <w:rPr>
          <w:rFonts w:ascii="Calibri" w:eastAsia="SimHei"/>
          <w:b/>
          <w:bCs/>
          <w:color w:val="0F2027"/>
          <w:sz w:val="28"/>
          <w:szCs w:val="28"/>
        </w:rPr>
        <w:t xml:space="preserve">Idempotency и гарантии доставки</w:t>
      </w:r>
      <w:bookmarkEnd w:id="100026"/>
    </w:p>
    <w:p>
      <w:pPr>
        <w:spacing w:after="120" w:line="312"/>
        <w:ind w:firstLine="480"/>
        <w:jc w:val="both"/>
      </w:pPr>
      <w:r>
        <w:rPr>
          <w:rFonts w:ascii="Calibri" w:eastAsia="Microsoft YaHei"/>
          <w:color w:val="000000"/>
          <w:sz w:val="24"/>
          <w:szCs w:val="24"/>
        </w:rPr>
        <w:t xml:space="preserve">Все мутационные операции (создание ордера, вывод средств, инициирование платежа) поддерживают idempotency через client-generated idempotency key. Ключ проверяется через Redis SETNX с TTL 24 часа. При повторном запросе с тем же ключом возвращается результат оригинальной операции без повторного выполнения. Это критически важно для сетей с ненадёжной доставкой (mobile clients), где повторная отправка запроса является нормой.</w:t>
      </w:r>
    </w:p>
    <w:p>
      <w:pPr>
        <w:spacing w:after="120" w:line="312"/>
        <w:ind w:firstLine="480"/>
        <w:jc w:val="both"/>
      </w:pPr>
      <w:r>
        <w:rPr>
          <w:rFonts w:ascii="Calibri" w:eastAsia="Microsoft YaHei"/>
          <w:color w:val="000000"/>
          <w:sz w:val="24"/>
          <w:szCs w:val="24"/>
        </w:rPr>
        <w:t xml:space="preserve">Гарантии доставки событий между сервисами реализуются через комбинацию Transactional Outbox Pattern и CDC (Change Data Capture). При записи бизнес-данных в PostgreSQL в рамках той же транзакции записывается событие в outbox-таблицу. Debezium CDC connector вычитывает события из outbox и публикует в Kafka, обеспечивая at-least-once доставку. Идемпотентная обработка на стороне консьюмера через deduplication table (PostgreSQL UNIQUE constraint на event_id) превращает at-least-once в exactly-once semantics.</w:t>
      </w:r>
    </w:p>
    <w:p>
      <w:pPr>
        <w:pStyle w:val="Heading2"/>
        <w:spacing w:after="120" w:before="240" w:line="312"/>
      </w:pPr>
      <w:bookmarkStart w:id="100027" w:name="_Toc100027"/>
      <w:r>
        <w:rPr>
          <w:rFonts w:ascii="Calibri" w:eastAsia="SimHei"/>
          <w:b/>
          <w:bCs/>
          <w:color w:val="0F2027"/>
          <w:sz w:val="28"/>
          <w:szCs w:val="28"/>
        </w:rPr>
        <w:t xml:space="preserve">Rate Limiting и защита от злоупотреблений</w:t>
      </w:r>
      <w:bookmarkEnd w:id="100027"/>
    </w:p>
    <w:p>
      <w:pPr>
        <w:spacing w:after="120" w:line="312"/>
        <w:ind w:firstLine="480"/>
        <w:jc w:val="both"/>
      </w:pPr>
      <w:r>
        <w:rPr>
          <w:rFonts w:ascii="Calibri" w:eastAsia="Microsoft YaHei"/>
          <w:color w:val="000000"/>
          <w:sz w:val="24"/>
          <w:szCs w:val="24"/>
        </w:rPr>
        <w:t xml:space="preserve">Многоуровневая система rate limiting реализована на трёх уровнях: 1) API Gateway (Kong) — глобальные лимиты по IP и API key; 2) Application level — гранулярные лимиты по user_id и типу операции; 3) Infrastructure level — connection limits на уровне TCP (syn cookies, connection throttling). Лимиты настраиваются через Admin Panel и применяются мгновенно без редеплоя. При превышении лимита клиент получает HTTP 429 с заголовком Retry-After. Для WebSocket-соединений реализован message rate limiting: при превышении лимита сообщений соединение закрывается с кодом 1008 (Policy Violation).</w:t>
      </w:r>
    </w:p>
    <w:p>
      <w:pPr>
        <w:pStyle w:val="Heading1"/>
        <w:spacing w:after="160" w:before="360" w:line="312"/>
      </w:pPr>
      <w:bookmarkStart w:id="100028" w:name="_Toc100028"/>
      <w:r>
        <w:rPr>
          <w:rFonts w:ascii="Calibri" w:eastAsia="SimHei"/>
          <w:b/>
          <w:bCs/>
          <w:color w:val="0F2027"/>
          <w:sz w:val="32"/>
          <w:szCs w:val="32"/>
        </w:rPr>
        <w:t xml:space="preserve">Инфраструктура: детальный дизайн</w:t>
      </w:r>
      <w:bookmarkEnd w:id="100028"/>
    </w:p>
    <w:p>
      <w:pPr>
        <w:pStyle w:val="Heading2"/>
        <w:spacing w:after="120" w:before="240" w:line="312"/>
      </w:pPr>
      <w:bookmarkStart w:id="100029" w:name="_Toc100029"/>
      <w:r>
        <w:rPr>
          <w:rFonts w:ascii="Calibri" w:eastAsia="SimHei"/>
          <w:b/>
          <w:bCs/>
          <w:color w:val="0F2027"/>
          <w:sz w:val="28"/>
          <w:szCs w:val="28"/>
        </w:rPr>
        <w:t xml:space="preserve">Kubernetes и Istio Service Mesh</w:t>
      </w:r>
      <w:bookmarkEnd w:id="100029"/>
    </w:p>
    <w:p>
      <w:pPr>
        <w:spacing w:after="120" w:line="312"/>
        <w:ind w:firstLine="480"/>
        <w:jc w:val="both"/>
      </w:pPr>
      <w:r>
        <w:rPr>
          <w:rFonts w:ascii="Calibri" w:eastAsia="Microsoft YaHei"/>
          <w:color w:val="000000"/>
          <w:sz w:val="24"/>
          <w:szCs w:val="24"/>
        </w:rPr>
        <w:t xml:space="preserve">Kubernetes-кластеры развёрнуты в двух дата-центрах (Москва и Санкт-Петербург) в конфигурации active-active. Каждый кластер содержит: 3 master-узла (etcd quorum, HAProxy load balancer), dedicated node pools для Trading Engine (high-memory, CPU pinning для deterministic latency), Custody (HSM-connected nodes через device plugin), ML-inference (GPU nodes для KYC/AML моделей) и general workloads (стандартные worker nodes с HPA). Istio Service Mesh обеспечивает zero-trust networking: mutual TLS между всеми подами, circuit breaking, retry с exponential backoff и canary deployments.</w:t>
      </w:r>
    </w:p>
    <w:p>
      <w:pPr>
        <w:spacing w:after="120" w:line="312"/>
        <w:ind w:firstLine="480"/>
        <w:jc w:val="both"/>
      </w:pPr>
      <w:r>
        <w:rPr>
          <w:rFonts w:ascii="Calibri" w:eastAsia="Microsoft YaHei"/>
          <w:color w:val="000000"/>
          <w:sz w:val="24"/>
          <w:szCs w:val="24"/>
        </w:rPr>
        <w:t xml:space="preserve">Network policies (Calico) реализуют micro-segmentation на уровне подов: каждый под может общаться только с явно разрешёнными подами. Правила определяются через Kubernetes NetworkPolicy и Istio AuthorizationPolicy. Например, Wallet Service может отправлять gRPC-запросы только к HSM (port 9030), PostgreSQL (port 5432) и Kafka (port 9092). Все остальные соединения блокируются. Runtime security обеспечивается через Falco с кастомными правилами: обнаружение exec в контейнере, чтение /etc/shadow, неожиданные сетевые соединения.</w:t>
      </w:r>
    </w:p>
    <w:p>
      <w:pPr>
        <w:pStyle w:val="Heading2"/>
        <w:spacing w:after="120" w:before="240" w:line="312"/>
      </w:pPr>
      <w:bookmarkStart w:id="100030" w:name="_Toc100030"/>
      <w:r>
        <w:rPr>
          <w:rFonts w:ascii="Calibri" w:eastAsia="SimHei"/>
          <w:b/>
          <w:bCs/>
          <w:color w:val="0F2027"/>
          <w:sz w:val="28"/>
          <w:szCs w:val="28"/>
        </w:rPr>
        <w:t xml:space="preserve">CI/CD Pipeline</w:t>
      </w:r>
      <w:bookmarkEnd w:id="100030"/>
    </w:p>
    <w:p>
      <w:pPr>
        <w:spacing w:after="120" w:line="312"/>
        <w:ind w:firstLine="480"/>
        <w:jc w:val="both"/>
      </w:pPr>
      <w:r>
        <w:rPr>
          <w:rFonts w:ascii="Calibri" w:eastAsia="Microsoft YaHei"/>
          <w:color w:val="000000"/>
          <w:sz w:val="24"/>
          <w:szCs w:val="24"/>
        </w:rPr>
        <w:t xml:space="preserve">CI/CD pipeline реализован на базе GitLab CI с mandatory этапами: lint (golangci-lint / ruff / eslint) → unit tests (coverage &gt; 80%) → integration tests (Testcontainers) → SAST/DAST scan (SonarQube + ZAP) → container scan (Trivy, критические уязвимости блокируют deploy) → deploy to staging → smoke tests → canary deployment (5% → 25% → 50% → 100%) → production. Автоматический rollback при повышении error rate более 1% в течение 5 минут (оценивается через Prometheus metrics + custom canary analysis tool).</w:t>
      </w:r>
    </w:p>
    <w:p>
      <w:pPr>
        <w:spacing w:after="120" w:line="312"/>
        <w:ind w:firstLine="480"/>
        <w:jc w:val="both"/>
      </w:pPr>
      <w:r>
        <w:rPr>
          <w:rFonts w:ascii="Calibri" w:eastAsia="Microsoft YaHei"/>
          <w:color w:val="000000"/>
          <w:sz w:val="24"/>
          <w:szCs w:val="24"/>
        </w:rPr>
        <w:t xml:space="preserve">Deployment frequency: до 10 релизов в день для некритичных сервисов (Notification, Admin), до 2 релизов в день для core-сервисов (Trading, Custody). Emergency hotfix: менее 30 минут от коммита до production (bypass canary, но с обязательным post-deploy verification). Feature flags через LaunchDarkly позволяют включать/выключать функциональность без редеплоя, что используется для A/B тестирования и gradual rollout новых торговых пар.</w:t>
      </w:r>
    </w:p>
    <w:p>
      <w:pPr>
        <w:pStyle w:val="Heading2"/>
        <w:spacing w:after="120" w:before="240" w:line="312"/>
      </w:pPr>
      <w:bookmarkStart w:id="100031" w:name="_Toc100031"/>
      <w:r>
        <w:rPr>
          <w:rFonts w:ascii="Calibri" w:eastAsia="SimHei"/>
          <w:b/>
          <w:bCs/>
          <w:color w:val="0F2027"/>
          <w:sz w:val="28"/>
          <w:szCs w:val="28"/>
        </w:rPr>
        <w:t xml:space="preserve">Disaster Recovery и Business Continuity</w:t>
      </w:r>
      <w:bookmarkEnd w:id="100031"/>
    </w:p>
    <w:p>
      <w:pPr>
        <w:spacing w:after="120" w:line="312"/>
        <w:ind w:firstLine="480"/>
        <w:jc w:val="both"/>
      </w:pPr>
      <w:r>
        <w:rPr>
          <w:rFonts w:ascii="Calibri" w:eastAsia="Microsoft YaHei"/>
          <w:color w:val="000000"/>
          <w:sz w:val="24"/>
          <w:szCs w:val="24"/>
        </w:rPr>
        <w:t xml:space="preserve">Стратегия DR основана на Active-Active конфигурации с RPO &lt; 1 минута и RTO &lt; 15 минут. Синхронная репликация PostgreSQL между DC обеспечивает zero data loss для критичных данных (ордера, балансы, транзакции). Kafka MirrorMaker 2 реплицирует события bidirectionally. При отказе одного DC, DNS failover (TTL 30 сек) переключает трафик на второй DC. Регулярные DR drills проводятся ежеквартально: один DC выводится из эксплуатации, и система должна полностью функционировать на втором DC в течение 15 минут.</w:t>
      </w:r>
    </w:p>
    <w:p>
      <w:pPr>
        <w:spacing w:after="120" w:line="312"/>
        <w:ind w:firstLine="480"/>
        <w:jc w:val="both"/>
      </w:pPr>
      <w:r>
        <w:rPr>
          <w:rFonts w:ascii="Calibri" w:eastAsia="Microsoft YaHei"/>
          <w:color w:val="000000"/>
          <w:sz w:val="24"/>
          <w:szCs w:val="24"/>
        </w:rPr>
        <w:t xml:space="preserve">Backup стратегия: PostgreSQL — pg_basebackup каждые 6 часов + WAL archiving каждые 60 секунд (point-in-time recovery на любую секунду); Kafka — replication factor 3 + cross-DC MirrorMaker; Object Storage — versioning + cross-region replication. Все backup-ы зашифрованы (GOST 28147-89) и хранятся в отдельном защищённом сегменте сети, недоступном для модификации даже администраторами платформы. Ежемесячное тестирование restore procedure на staging-окружении с верификацией целостности через checksum validation.</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tcW w:type="pct" w:w="18%"/>
            <w:shd w:fill="C9A84C" w:val="clear"/>
            <w:tcMar>
              <w:top w:type="dxa" w:w="60"/>
              <w:left w:type="dxa" w:w="120"/>
              <w:bottom w:type="dxa" w:w="60"/>
              <w:right w:type="dxa" w:w="120"/>
            </w:tcMar>
          </w:tcPr>
          <w:p>
            <w:r>
              <w:rPr>
                <w:rFonts w:ascii="Calibri" w:eastAsia="SimHei"/>
                <w:b/>
                <w:bCs/>
                <w:color w:val="1A1A1A"/>
                <w:sz w:val="21"/>
                <w:szCs w:val="21"/>
              </w:rPr>
              <w:t xml:space="preserve">Параметр DR</w:t>
            </w:r>
          </w:p>
        </w:tc>
        <w:tc>
          <w:tcPr>
            <w:tcW w:type="pct" w:w="22%"/>
            <w:shd w:fill="C9A84C" w:val="clear"/>
            <w:tcMar>
              <w:top w:type="dxa" w:w="60"/>
              <w:left w:type="dxa" w:w="120"/>
              <w:bottom w:type="dxa" w:w="60"/>
              <w:right w:type="dxa" w:w="120"/>
            </w:tcMar>
          </w:tcPr>
          <w:p>
            <w:r>
              <w:rPr>
                <w:rFonts w:ascii="Calibri" w:eastAsia="SimHei"/>
                <w:b/>
                <w:bCs/>
                <w:color w:val="1A1A1A"/>
                <w:sz w:val="21"/>
                <w:szCs w:val="21"/>
              </w:rPr>
              <w:t xml:space="preserve">Значение</w:t>
            </w:r>
          </w:p>
        </w:tc>
        <w:tc>
          <w:tcPr>
            <w:tcW w:type="pct" w:w="40%"/>
            <w:shd w:fill="C9A84C" w:val="clear"/>
            <w:tcMar>
              <w:top w:type="dxa" w:w="60"/>
              <w:left w:type="dxa" w:w="120"/>
              <w:bottom w:type="dxa" w:w="60"/>
              <w:right w:type="dxa" w:w="120"/>
            </w:tcMar>
          </w:tcPr>
          <w:p>
            <w:r>
              <w:rPr>
                <w:rFonts w:ascii="Calibri" w:eastAsia="SimHei"/>
                <w:b/>
                <w:bCs/>
                <w:color w:val="1A1A1A"/>
                <w:sz w:val="21"/>
                <w:szCs w:val="21"/>
              </w:rPr>
              <w:t xml:space="preserve">Метод обеспечения</w:t>
            </w:r>
          </w:p>
        </w:tc>
      </w:tr>
      <w:tr>
        <w:trPr>
          <w:cantSplit/>
        </w:trPr>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RPO (Data Loss)</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&lt;1 мин</w:t>
            </w:r>
          </w:p>
        </w:tc>
        <w:tc>
          <w:tcPr>
            <w:tcW w:type="pct" w:w="40%"/>
            <w:shd w:fill="F5F2E8" w:val="clear"/>
            <w:tcMar>
              <w:top w:type="dxa" w:w="50"/>
              <w:left w:type="dxa" w:w="100"/>
              <w:bottom w:type="dxa" w:w="50"/>
              <w:right w:type="dxa" w:w="100"/>
            </w:tcMar>
          </w:tcPr>
          <w:p>
            <w:r>
              <w:rPr>
                <w:rFonts w:ascii="Calibri" w:eastAsia="Microsoft YaHei"/>
                <w:color w:val="000000"/>
                <w:sz w:val="20"/>
                <w:szCs w:val="20"/>
              </w:rPr>
              <w:t xml:space="preserve">Sync PostgreSQL replication + WAL archiving</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RTO (Downtime)</w:t>
            </w:r>
          </w:p>
        </w:tc>
        <w:tc>
          <w:tcPr>
            <w:tcW w:type="pct" w:w="22%"/>
            <w:tcMar>
              <w:top w:type="dxa" w:w="50"/>
              <w:left w:type="dxa" w:w="100"/>
              <w:bottom w:type="dxa" w:w="50"/>
              <w:right w:type="dxa" w:w="100"/>
            </w:tcMar>
          </w:tcPr>
          <w:p>
            <w:r>
              <w:rPr>
                <w:rFonts w:ascii="Calibri" w:eastAsia="Microsoft YaHei"/>
                <w:color w:val="000000"/>
                <w:sz w:val="20"/>
                <w:szCs w:val="20"/>
              </w:rPr>
              <w:t xml:space="preserve">&lt;15 мин</w:t>
            </w:r>
          </w:p>
        </w:tc>
        <w:tc>
          <w:tcPr>
            <w:tcW w:type="pct" w:w="40%"/>
            <w:tcMar>
              <w:top w:type="dxa" w:w="50"/>
              <w:left w:type="dxa" w:w="100"/>
              <w:bottom w:type="dxa" w:w="50"/>
              <w:right w:type="dxa" w:w="100"/>
            </w:tcMar>
          </w:tcPr>
          <w:p>
            <w:r>
              <w:rPr>
                <w:rFonts w:ascii="Calibri" w:eastAsia="Microsoft YaHei"/>
                <w:color w:val="000000"/>
                <w:sz w:val="20"/>
                <w:szCs w:val="20"/>
              </w:rPr>
              <w:t xml:space="preserve">DNS failover + auto-scaling на standby DC</w:t>
            </w:r>
          </w:p>
        </w:tc>
      </w:tr>
      <w:tr>
        <w:trPr>
          <w:cantSplit/>
        </w:trPr>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Backup retention</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30 дней online, 1 год archive</w:t>
            </w:r>
          </w:p>
        </w:tc>
        <w:tc>
          <w:tcPr>
            <w:tcW w:type="pct" w:w="40%"/>
            <w:shd w:fill="F5F2E8" w:val="clear"/>
            <w:tcMar>
              <w:top w:type="dxa" w:w="50"/>
              <w:left w:type="dxa" w:w="100"/>
              <w:bottom w:type="dxa" w:w="50"/>
              <w:right w:type="dxa" w:w="100"/>
            </w:tcMar>
          </w:tcPr>
          <w:p>
            <w:r>
              <w:rPr>
                <w:rFonts w:ascii="Calibri" w:eastAsia="Microsoft YaHei"/>
                <w:color w:val="000000"/>
                <w:sz w:val="20"/>
                <w:szCs w:val="20"/>
              </w:rPr>
              <w:t xml:space="preserve">S3 lifecycle policies + Glacier</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DR drill frequency</w:t>
            </w:r>
          </w:p>
        </w:tc>
        <w:tc>
          <w:tcPr>
            <w:tcW w:type="pct" w:w="22%"/>
            <w:tcMar>
              <w:top w:type="dxa" w:w="50"/>
              <w:left w:type="dxa" w:w="100"/>
              <w:bottom w:type="dxa" w:w="50"/>
              <w:right w:type="dxa" w:w="100"/>
            </w:tcMar>
          </w:tcPr>
          <w:p>
            <w:r>
              <w:rPr>
                <w:rFonts w:ascii="Calibri" w:eastAsia="Microsoft YaHei"/>
                <w:color w:val="000000"/>
                <w:sz w:val="20"/>
                <w:szCs w:val="20"/>
              </w:rPr>
              <w:t xml:space="preserve">Ежеквартально</w:t>
            </w:r>
          </w:p>
        </w:tc>
        <w:tc>
          <w:tcPr>
            <w:tcW w:type="pct" w:w="40%"/>
            <w:tcMar>
              <w:top w:type="dxa" w:w="50"/>
              <w:left w:type="dxa" w:w="100"/>
              <w:bottom w:type="dxa" w:w="50"/>
              <w:right w:type="dxa" w:w="100"/>
            </w:tcMar>
          </w:tcPr>
          <w:p>
            <w:r>
              <w:rPr>
                <w:rFonts w:ascii="Calibri" w:eastAsia="Microsoft YaHei"/>
                <w:color w:val="000000"/>
                <w:sz w:val="20"/>
                <w:szCs w:val="20"/>
              </w:rPr>
              <w:t xml:space="preserve">Chaos engineering (Chaos Monkey)</w:t>
            </w:r>
          </w:p>
        </w:tc>
      </w:tr>
      <w:tr>
        <w:trPr>
          <w:cantSplit/>
        </w:trPr>
        <w:tc>
          <w:tcPr>
            <w:tcW w:type="pct" w:w="18%"/>
            <w:shd w:fill="F5F2E8" w:val="clear"/>
            <w:tcMar>
              <w:top w:type="dxa" w:w="50"/>
              <w:left w:type="dxa" w:w="100"/>
              <w:bottom w:type="dxa" w:w="50"/>
              <w:right w:type="dxa" w:w="100"/>
            </w:tcMar>
          </w:tcPr>
          <w:p>
            <w:r>
              <w:rPr>
                <w:rFonts w:ascii="Calibri" w:eastAsia="Microsoft YaHei"/>
                <w:color w:val="000000"/>
                <w:sz w:val="20"/>
                <w:szCs w:val="20"/>
              </w:rPr>
              <w:t xml:space="preserve">Data integrity</w:t>
            </w:r>
          </w:p>
        </w:tc>
        <w:tc>
          <w:tcPr>
            <w:tcW w:type="pct" w:w="22%"/>
            <w:shd w:fill="F5F2E8" w:val="clear"/>
            <w:tcMar>
              <w:top w:type="dxa" w:w="50"/>
              <w:left w:type="dxa" w:w="100"/>
              <w:bottom w:type="dxa" w:w="50"/>
              <w:right w:type="dxa" w:w="100"/>
            </w:tcMar>
          </w:tcPr>
          <w:p>
            <w:r>
              <w:rPr>
                <w:rFonts w:ascii="Calibri" w:eastAsia="Microsoft YaHei"/>
                <w:color w:val="000000"/>
                <w:sz w:val="20"/>
                <w:szCs w:val="20"/>
              </w:rPr>
              <w:t xml:space="preserve">Merkle Tree + checksums</w:t>
            </w:r>
          </w:p>
        </w:tc>
        <w:tc>
          <w:tcPr>
            <w:tcW w:type="pct" w:w="40%"/>
            <w:shd w:fill="F5F2E8" w:val="clear"/>
            <w:tcMar>
              <w:top w:type="dxa" w:w="50"/>
              <w:left w:type="dxa" w:w="100"/>
              <w:bottom w:type="dxa" w:w="50"/>
              <w:right w:type="dxa" w:w="100"/>
            </w:tcMar>
          </w:tcPr>
          <w:p>
            <w:r>
              <w:rPr>
                <w:rFonts w:ascii="Calibri" w:eastAsia="Microsoft YaHei"/>
                <w:color w:val="000000"/>
                <w:sz w:val="20"/>
                <w:szCs w:val="20"/>
              </w:rPr>
              <w:t xml:space="preserve">Hourly Merkle Root publication</w:t>
            </w:r>
          </w:p>
        </w:tc>
      </w:tr>
    </w:tbl>
    <w:p>
      <w:pPr>
        <w:spacing w:after="200" w:before="80" w:line="312"/>
        <w:jc w:val="center"/>
      </w:pPr>
      <w:r>
        <w:rPr>
          <w:rFonts w:ascii="Calibri" w:eastAsia="Microsoft YaHei"/>
          <w:i/>
          <w:iCs/>
          <w:color w:val="4A6575"/>
          <w:sz w:val="21"/>
          <w:szCs w:val="21"/>
        </w:rPr>
        <w:t xml:space="preserve">Таблица 5. Параметры Disaster Recovery</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4A6575"/>
        <w:sz w:val="18"/>
        <w:szCs w:val="18"/>
      </w:rPr>
      <w:t xml:space="preserve">Domain Design | Крипто-платформа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4A6575"/>
        <w:sz w:val="18"/>
        <w:szCs w:val="18"/>
      </w:rPr>
      <w:t xml:space="preserve">Domain Design | Крипто-платформа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F2027"/>
      <w:sz w:val="32"/>
      <w:szCs w:val="32"/>
    </w:rPr>
  </w:style>
  <w:style w:type="paragraph" w:styleId="Heading2">
    <w:name w:val="Heading 2"/>
    <w:basedOn w:val="Normal"/>
    <w:next w:val="Normal"/>
    <w:qFormat/>
    <w:pPr>
      <w:spacing w:after="120" w:before="240" w:line="312"/>
      <w:outlineLvl w:val="1"/>
    </w:pPr>
    <w:rPr>
      <w:rFonts w:ascii="Calibri" w:eastAsia="SimHei"/>
      <w:b/>
      <w:bCs/>
      <w:color w:val="0F2027"/>
      <w:sz w:val="28"/>
      <w:szCs w:val="28"/>
    </w:rPr>
  </w:style>
  <w:style w:type="paragraph" w:styleId="Heading3">
    <w:name w:val="Heading 3"/>
    <w:basedOn w:val="Normal"/>
    <w:next w:val="Normal"/>
    <w:qFormat/>
    <w:pPr>
      <w:spacing w:after="100" w:before="200" w:line="312"/>
      <w:outlineLvl w:val="2"/>
    </w:pPr>
    <w:rPr>
      <w:rFonts w:ascii="Calibri" w:eastAsia="SimHei"/>
      <w:b/>
      <w:bCs/>
      <w:color w:val="0F2027"/>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2026-06-16T09:18:09.221Z</dcterms:created>
  <dcterms:modified xsi:type="dcterms:W3CDTF">2026-06-16T09:18:09.221Z</dcterms:modified>
</cp:coreProperties>
</file>

<file path=docProps/custom.xml><?xml version="1.0" encoding="utf-8"?>
<Properties xmlns="http://schemas.openxmlformats.org/officeDocument/2006/custom-properties" xmlns:vt="http://schemas.openxmlformats.org/officeDocument/2006/docPropsVTypes"/>
</file>